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Doc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Kicker"/>
      </w:pPr>
      <w:r>
        <w:rPr>
          <w:color w:val="24364B"/>
        </w:rPr>
        <w:t xml:space="preserve">I&amp;C LAUNDRY</w:t>
      </w:r>
    </w:p>
    <w:p>
      <w:pPr>
        <w:pStyle w:val="Title"/>
      </w:pPr>
      <w:r>
        <w:rPr>
          <w:color w:val="24364B"/>
        </w:rPr>
        <w:t xml:space="preserve">TESTING AND EVALUATION</w:t>
      </w:r>
    </w:p>
    <w:p>
      <w:pPr>
        <w:pStyle w:val="Subtitle"/>
      </w:pPr>
      <w:r>
        <w:rPr>
          <w:color w:val="24364B"/>
        </w:rPr>
        <w:t xml:space="preserve">Functional Test Cases and User Acceptance Evaluation</w:t>
      </w:r>
    </w:p>
    <w:p>
      <w:pPr>
        <w:pStyle w:val="Intro"/>
      </w:pPr>
      <w:r>
        <w:rPr>
          <w:color w:val="24364B"/>
        </w:rPr>
        <w:t xml:space="preserve">Prepared for system evaluation. Execute manual cases in a test/staging environment and record actual results and status during execution.</w:t>
      </w:r>
    </w:p>
    <w:p>
      <w:pPr>
        <w:pStyle w:val="Heading1"/>
        <w:keepNext/>
      </w:pPr>
      <w:r>
        <w:rPr>
          <w:color w:val="24364B"/>
        </w:rPr>
        <w:t xml:space="preserve">Purpose and Evaluation Setup</w:t>
      </w:r>
    </w:p>
    <w:p>
      <w:pPr>
        <w:pStyle w:val="Normal"/>
      </w:pPr>
      <w:r>
        <w:rPr>
          <w:color w:val="24364B"/>
        </w:rPr>
        <w:t xml:space="preserve">This document provides role-based functional test cases and user evaluation forms for the I&amp;C Laundry system, including Administrator, Staff, and public-facing workflows.</w:t>
      </w:r>
    </w:p>
    <w:p>
      <w:pPr>
        <w:pStyle w:val="Normal"/>
      </w:pPr>
      <w:r>
        <w:rPr>
          <w:color w:val="24364B"/>
        </w:rPr>
        <w:t xml:space="preserve">Respondent count: __________ (verify the active owner/administrator and staff roster before evaluation). Evaluation date: __________. Environment/version: __________.</w:t>
      </w:r>
    </w:p>
    <w:p>
      <w:pPr>
        <w:pStyle w:val="Normal"/>
      </w:pPr>
      <w:r>
        <w:rPr>
          <w:color w:val="24364B"/>
        </w:rPr>
        <w:t xml:space="preserve">Rating scale: 5 – Strongly Agree; 4 – Agree; 3 – Neutral; 2 – Disagree; 1 – Strongly Disagree. Respondents should rate only features they personally tested.</w:t>
      </w:r>
    </w:p>
    <w:p>
      <w:pPr>
        <w:pStyle w:val="Normal"/>
      </w:pPr>
      <w:r>
        <w:rPr>
          <w:color w:val="24364B"/>
        </w:rPr>
        <w:t xml:space="preserve">Execution note: Actual Result and Status cells are intentionally blank. Use a separate approved staging environment for tests that create, update, cancel, or delete records.</w:t>
      </w:r>
    </w:p>
    <w:p>
      <w:pPr>
        <w:pStyle w:val="Heading1"/>
        <w:keepNext/>
      </w:pPr>
      <w:r>
        <w:rPr>
          <w:color w:val="24364B"/>
        </w:rPr>
        <w:t xml:space="preserve">Alignment Notes for the Manuscript</w:t>
      </w:r>
    </w:p>
    <w:tbl>
      <w:tblPr>
        <w:tblW w:w="14040" w:type="dxa"/>
        <w:tblLayout w:type="fixed"/>
        <w:tblBorders>
          <w:top w:val="single" w:sz="5" w:color="B8C9D8"/>
          <w:left w:val="single" w:sz="5" w:color="B8C9D8"/>
          <w:bottom w:val="single" w:sz="5" w:color="B8C9D8"/>
          <w:right w:val="single" w:sz="5" w:color="B8C9D8"/>
          <w:insideH w:val="single" w:sz="5" w:color="B8C9D8"/>
          <w:insideV w:val="single" w:sz="5" w:color="B8C9D8"/>
        </w:tblBorders>
        <w:tblCellMar>
          <w:top w:w="55" w:type="dxa"/>
          <w:left w:w="75" w:type="dxa"/>
          <w:bottom w:w="55" w:type="dxa"/>
          <w:right w:w="75" w:type="dxa"/>
        </w:tblCellMar>
      </w:tblPr>
      <w:tblGrid>
        <w:gridCol w:w="2550"/>
        <w:gridCol w:w="11490"/>
      </w:tblGrid>
      <w:tr>
        <w:trPr>
          <w:cantSplit/>
          <w:tblHeader/>
        </w:trPr>
        <w:tc>
          <w:tcPr>
            <w:tcW w:w="255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Topic</w:t>
            </w:r>
          </w:p>
        </w:tc>
        <w:tc>
          <w:tcPr>
            <w:tcW w:w="1149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Finding to verify or align</w:t>
            </w:r>
          </w:p>
        </w:tc>
      </w:tr>
      <w:tr>
        <w:trPr>
          <w:cantSplit/>
        </w:trPr>
        <w:tc>
          <w:tcPr>
            <w:tcW w:w="25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Roles and participant forms</w:t>
            </w:r>
          </w:p>
        </w:tc>
        <w:tc>
          <w:tcPr>
            <w:tcW w:w="114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application has Administrator and Staff roles. The reference’s Meter Reader and Consumer forms do not map directly; this document uses owner/administrator and staff forms. Public order tracking is not an authenticated consumer portal.</w:t>
            </w:r>
          </w:p>
        </w:tc>
      </w:tr>
      <w:tr>
        <w:trPr>
          <w:cantSplit/>
        </w:trPr>
        <w:tc>
          <w:tcPr>
            <w:tcW w:w="25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AI and forecasting description</w:t>
            </w:r>
          </w:p>
        </w:tc>
        <w:tc>
          <w:tcPr>
            <w:tcW w:w="114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Forecasting and DSS are Gemini-assisted when a usable provider response is available, with deterministic local fallback behavior for sparse data or provider errors. Describe this as AI-assisted with fallback, not as Gemini being the only calculation path.</w:t>
            </w:r>
          </w:p>
        </w:tc>
      </w:tr>
      <w:tr>
        <w:trPr>
          <w:cantSplit/>
        </w:trPr>
        <w:tc>
          <w:tcPr>
            <w:tcW w:w="25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Completed evaluation claims</w:t>
            </w:r>
          </w:p>
        </w:tc>
        <w:tc>
          <w:tcPr>
            <w:tcW w:w="114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manuscript describes testing and evaluation in future tense. Do not report UAT, usability, performance, forecast-accuracy, weighted-mean, or satisfaction results until they have been conducted and documented.</w:t>
            </w:r>
          </w:p>
        </w:tc>
      </w:tr>
      <w:tr>
        <w:trPr>
          <w:cantSplit/>
        </w:trPr>
        <w:tc>
          <w:tcPr>
            <w:tcW w:w="25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Respondents and statistics</w:t>
            </w:r>
          </w:p>
        </w:tc>
        <w:tc>
          <w:tcPr>
            <w:tcW w:w="114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manuscript specifies owner plus all staff and a 5-point Likert scale/weighted mean. Confirm the live roster and respondent count; add the approved interpretation ranges and actual calculations only after the instrument and data are finalized.</w:t>
            </w:r>
          </w:p>
        </w:tc>
      </w:tr>
      <w:tr>
        <w:trPr>
          <w:cantSplit/>
        </w:trPr>
        <w:tc>
          <w:tcPr>
            <w:tcW w:w="25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Performance and forecast accuracy</w:t>
            </w:r>
          </w:p>
        </w:tc>
        <w:tc>
          <w:tcPr>
            <w:tcW w:w="114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No performance thresholds or forecast-accuracy results are supplied in the current materials. Record measured results and an adviser-approved acceptance criterion before claiming these evaluations passed.</w:t>
            </w:r>
          </w:p>
        </w:tc>
      </w:tr>
      <w:tr>
        <w:trPr>
          <w:cantSplit/>
        </w:trPr>
        <w:tc>
          <w:tcPr>
            <w:tcW w:w="25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Automated suite baseline</w:t>
            </w:r>
          </w:p>
        </w:tc>
        <w:tc>
          <w:tcPr>
            <w:tcW w:w="114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On 14 October 2026, npm.cmd test reported 87 passing and 2 failing out of 89. Both failures are assertions about workload-summary wording (expected “expected today” wording); they are not evidence that all testing passed.</w:t>
            </w:r>
          </w:p>
        </w:tc>
      </w:tr>
    </w:tbl>
    <w:p>
      <w:pPr>
        <w:pStyle w:val="AfterTable"/>
      </w:pPr>
      <w:r>
        <w:rPr>
          <w:color w:val="24364B"/>
        </w:rPr>
        <w:t xml:space="preserve"/>
      </w:r>
    </w:p>
    <w:p>
      <w:pPr>
        <w:pStyle w:val="Heading1"/>
        <w:pageBreakBefore/>
        <w:keepNext/>
      </w:pPr>
      <w:r>
        <w:rPr>
          <w:color w:val="24364B"/>
        </w:rPr>
        <w:t xml:space="preserve">Functional Test Cases — Administrator</w:t>
      </w:r>
    </w:p>
    <w:tbl>
      <w:tblPr>
        <w:tblW w:w="14040" w:type="dxa"/>
        <w:tblLayout w:type="fixed"/>
        <w:tblBorders>
          <w:top w:val="single" w:sz="5" w:color="B8C9D8"/>
          <w:left w:val="single" w:sz="5" w:color="B8C9D8"/>
          <w:bottom w:val="single" w:sz="5" w:color="B8C9D8"/>
          <w:right w:val="single" w:sz="5" w:color="B8C9D8"/>
          <w:insideH w:val="single" w:sz="5" w:color="B8C9D8"/>
          <w:insideV w:val="single" w:sz="5" w:color="B8C9D8"/>
        </w:tblBorders>
        <w:tblCellMar>
          <w:top w:w="55" w:type="dxa"/>
          <w:left w:w="75" w:type="dxa"/>
          <w:bottom w:w="55" w:type="dxa"/>
          <w:right w:w="75" w:type="dxa"/>
        </w:tblCellMar>
      </w:tblPr>
      <w:tblGrid>
        <w:gridCol w:w="1050"/>
        <w:gridCol w:w="5650"/>
        <w:gridCol w:w="4300"/>
        <w:gridCol w:w="2050"/>
        <w:gridCol w:w="990"/>
      </w:tblGrid>
      <w:tr>
        <w:trPr>
          <w:cantSplit/>
          <w:tblHeader/>
        </w:trPr>
        <w:tc>
          <w:tcPr>
            <w:tcW w:w="105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Test Case ID</w:t>
            </w:r>
          </w:p>
        </w:tc>
        <w:tc>
          <w:tcPr>
            <w:tcW w:w="565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Test Case Description</w:t>
            </w:r>
          </w:p>
        </w:tc>
        <w:tc>
          <w:tcPr>
            <w:tcW w:w="43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Expected Result</w:t>
            </w:r>
          </w:p>
        </w:tc>
        <w:tc>
          <w:tcPr>
            <w:tcW w:w="205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Actual Result</w:t>
            </w:r>
          </w:p>
        </w:tc>
        <w:tc>
          <w:tcPr>
            <w:tcW w:w="99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Status</w:t>
            </w:r>
          </w:p>
        </w:tc>
      </w:tr>
      <w:tr>
        <w:trPr>
          <w:cantSplit/>
        </w:trPr>
        <w:tc>
          <w:tcPr>
            <w:tcW w:w="1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ADM-01</w:t>
            </w:r>
          </w:p>
        </w:tc>
        <w:tc>
          <w:tcPr>
            <w:tcW w:w="56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Administrator sign-in and access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An active administrator account is available and signed out.</w:t>
            </w:r>
            <w:r>
              <w:br/>
            </w:r>
            <w:r>
              <w:rPr>
                <w:color w:val="24364B"/>
                <w:sz w:val="16"/>
              </w:rPr>
              <w:t xml:space="preserve">Steps: Sign in with valid credentials, then open Analytics, Staff, Settings, and Recycle Bin.</w:t>
            </w:r>
          </w:p>
        </w:tc>
        <w:tc>
          <w:tcPr>
            <w:tcW w:w="43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administrator reaches the dashboard and can open administrator-only modules.</w:t>
            </w:r>
          </w:p>
        </w:tc>
        <w:tc>
          <w:tcPr>
            <w:tcW w:w="2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ADM-02</w:t>
            </w:r>
          </w:p>
        </w:tc>
        <w:tc>
          <w:tcPr>
            <w:tcW w:w="56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Create a branch-assigned staff account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Administrator is signed in; a valid test branch and unused account details are available.</w:t>
            </w:r>
            <w:r>
              <w:br/>
            </w:r>
            <w:r>
              <w:rPr>
                <w:color w:val="24364B"/>
                <w:sz w:val="16"/>
              </w:rPr>
              <w:t xml:space="preserve">Steps: Open Staff, create a staff account, assign one branch, save, then review the staff list.</w:t>
            </w:r>
          </w:p>
        </w:tc>
        <w:tc>
          <w:tcPr>
            <w:tcW w:w="43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account is saved with the staff role and selected branch; the account is not given global administrator access.</w:t>
            </w:r>
          </w:p>
        </w:tc>
        <w:tc>
          <w:tcPr>
            <w:tcW w:w="2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ADM-03</w:t>
            </w:r>
          </w:p>
        </w:tc>
        <w:tc>
          <w:tcPr>
            <w:tcW w:w="56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Create an inventory item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Administrator is signed in; a test branch and unique item name are available.</w:t>
            </w:r>
            <w:r>
              <w:br/>
            </w:r>
            <w:r>
              <w:rPr>
                <w:color w:val="24364B"/>
                <w:sz w:val="16"/>
              </w:rPr>
              <w:t xml:space="preserve">Steps: Open Inventory, add an item, select its unit and branch, enter starting stock and minimum level, and save.</w:t>
            </w:r>
          </w:p>
        </w:tc>
        <w:tc>
          <w:tcPr>
            <w:tcW w:w="43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item appears once with the entered unit, quantities, and branch.</w:t>
            </w:r>
          </w:p>
        </w:tc>
        <w:tc>
          <w:tcPr>
            <w:tcW w:w="2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ADM-04</w:t>
            </w:r>
          </w:p>
        </w:tc>
        <w:tc>
          <w:tcPr>
            <w:tcW w:w="56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Restock inventory and record cost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A test inventory item exists in a selected branch.</w:t>
            </w:r>
            <w:r>
              <w:br/>
            </w:r>
            <w:r>
              <w:rPr>
                <w:color w:val="24364B"/>
                <w:sz w:val="16"/>
              </w:rPr>
              <w:t xml:space="preserve">Steps: Restock the item with a positive quantity, total cost, and supplier; review stock, restock history, and expenses.</w:t>
            </w:r>
          </w:p>
        </w:tc>
        <w:tc>
          <w:tcPr>
            <w:tcW w:w="43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Stock increases for the selected branch, a restock entry is recorded, and the related expense is reflected once.</w:t>
            </w:r>
          </w:p>
        </w:tc>
        <w:tc>
          <w:tcPr>
            <w:tcW w:w="2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ADM-05</w:t>
            </w:r>
          </w:p>
        </w:tc>
        <w:tc>
          <w:tcPr>
            <w:tcW w:w="56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Create an order for a selected branch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An active service and sufficient branch stock exist; a valid customer and cash payment at or above the required minimum are prepared.</w:t>
            </w:r>
            <w:r>
              <w:br/>
            </w:r>
            <w:r>
              <w:rPr>
                <w:color w:val="24364B"/>
                <w:sz w:val="16"/>
              </w:rPr>
              <w:t xml:space="preserve">Steps: Create an order as administrator, select a branch, add service and weight, enter payment, and submit once.</w:t>
            </w:r>
          </w:p>
        </w:tc>
        <w:tc>
          <w:tcPr>
            <w:tcW w:w="43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order is created once for the selected branch with the correct service, price, payment state, and initial Received status.</w:t>
            </w:r>
          </w:p>
        </w:tc>
        <w:tc>
          <w:tcPr>
            <w:tcW w:w="2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ADM-06</w:t>
            </w:r>
          </w:p>
        </w:tc>
        <w:tc>
          <w:tcPr>
            <w:tcW w:w="56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Reject an invalid order submission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Administrator is signed in; use a disposable test form without submitting valid data.</w:t>
            </w:r>
            <w:r>
              <w:br/>
            </w:r>
            <w:r>
              <w:rPr>
                <w:color w:val="24364B"/>
                <w:sz w:val="16"/>
              </w:rPr>
              <w:t xml:space="preserve">Steps: Attempt to submit with a missing branch, invalid weight, or payment below the allowed minimum.</w:t>
            </w:r>
          </w:p>
        </w:tc>
        <w:tc>
          <w:tcPr>
            <w:tcW w:w="43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Validation prevents order creation and no customer, payment, or inventory side effect is recorded.</w:t>
            </w:r>
          </w:p>
        </w:tc>
        <w:tc>
          <w:tcPr>
            <w:tcW w:w="2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ADM-07</w:t>
            </w:r>
          </w:p>
        </w:tc>
        <w:tc>
          <w:tcPr>
            <w:tcW w:w="56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Review and complete an order payment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A test order with a remaining balance exists.</w:t>
            </w:r>
            <w:r>
              <w:br/>
            </w:r>
            <w:r>
              <w:rPr>
                <w:color w:val="24364B"/>
                <w:sz w:val="16"/>
              </w:rPr>
              <w:t xml:space="preserve">Steps: Record a partial payment, review payment status, then record the exact remaining cash balance.</w:t>
            </w:r>
          </w:p>
        </w:tc>
        <w:tc>
          <w:tcPr>
            <w:tcW w:w="43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Recorded paid amount and payment status update correctly; a Ready order can only be Released after full payment.</w:t>
            </w:r>
          </w:p>
        </w:tc>
        <w:tc>
          <w:tcPr>
            <w:tcW w:w="2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ADM-08</w:t>
            </w:r>
          </w:p>
        </w:tc>
        <w:tc>
          <w:tcPr>
            <w:tcW w:w="56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Review an order stage history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A test order is available and its stage history can be inspected.</w:t>
            </w:r>
            <w:r>
              <w:br/>
            </w:r>
            <w:r>
              <w:rPr>
                <w:color w:val="24364B"/>
                <w:sz w:val="16"/>
              </w:rPr>
              <w:t xml:space="preserve">Steps: Advance the order through permitted stages, then make a backward correction with a reason.</w:t>
            </w:r>
          </w:p>
        </w:tc>
        <w:tc>
          <w:tcPr>
            <w:tcW w:w="43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Only allowed stage transitions occur; the correction reason and stage/ETA history are retained.</w:t>
            </w:r>
          </w:p>
        </w:tc>
        <w:tc>
          <w:tcPr>
            <w:tcW w:w="2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ADM-09</w:t>
            </w:r>
          </w:p>
        </w:tc>
        <w:tc>
          <w:tcPr>
            <w:tcW w:w="56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Cancel an active order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A disposable active order has inventory usage recorded.</w:t>
            </w:r>
            <w:r>
              <w:br/>
            </w:r>
            <w:r>
              <w:rPr>
                <w:color w:val="24364B"/>
                <w:sz w:val="16"/>
              </w:rPr>
              <w:t xml:space="preserve">Steps: Cancel it with a reason; inspect status, inventory, audit/history, and public tracking.</w:t>
            </w:r>
          </w:p>
        </w:tc>
        <w:tc>
          <w:tcPr>
            <w:tcW w:w="43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order is marked cancelled, inventory is restored once, the reason is recorded, and public tracking does not expose the cancelled order.</w:t>
            </w:r>
          </w:p>
        </w:tc>
        <w:tc>
          <w:tcPr>
            <w:tcW w:w="2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ADM-10</w:t>
            </w:r>
          </w:p>
        </w:tc>
        <w:tc>
          <w:tcPr>
            <w:tcW w:w="56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Filter analytics by branch and date range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Administrator has access to test records in more than one branch and date period.</w:t>
            </w:r>
            <w:r>
              <w:br/>
            </w:r>
            <w:r>
              <w:rPr>
                <w:color w:val="24364B"/>
                <w:sz w:val="16"/>
              </w:rPr>
              <w:t xml:space="preserve">Steps: Open Analytics, change branch and date filters, and compare summary cards, charts, and tables.</w:t>
            </w:r>
          </w:p>
        </w:tc>
        <w:tc>
          <w:tcPr>
            <w:tcW w:w="43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All analytics sections update to the selected scope and exclude records according to displayed report rules.</w:t>
            </w:r>
          </w:p>
        </w:tc>
        <w:tc>
          <w:tcPr>
            <w:tcW w:w="2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ADM-11</w:t>
            </w:r>
          </w:p>
        </w:tc>
        <w:tc>
          <w:tcPr>
            <w:tcW w:w="56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Export analytics report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Analytics has loaded for a selected range and branch scope.</w:t>
            </w:r>
            <w:r>
              <w:br/>
            </w:r>
            <w:r>
              <w:rPr>
                <w:color w:val="24364B"/>
                <w:sz w:val="16"/>
              </w:rPr>
              <w:t xml:space="preserve">Steps: Export CSV and print/save the report as PDF; compare visible values and selected filters.</w:t>
            </w:r>
          </w:p>
        </w:tc>
        <w:tc>
          <w:tcPr>
            <w:tcW w:w="43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Exports are readable and correspond to the selected scope and range without mixing unrelated branch records.</w:t>
            </w:r>
          </w:p>
        </w:tc>
        <w:tc>
          <w:tcPr>
            <w:tcW w:w="2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ADM-12</w:t>
            </w:r>
          </w:p>
        </w:tc>
        <w:tc>
          <w:tcPr>
            <w:tcW w:w="56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Review revenue and demand forecast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Forecast data is available; if Gemini is used, the provider can be made unavailable in a staging test.</w:t>
            </w:r>
            <w:r>
              <w:br/>
            </w:r>
            <w:r>
              <w:rPr>
                <w:color w:val="24364B"/>
                <w:sz w:val="16"/>
              </w:rPr>
              <w:t xml:space="preserve">Steps: Open Analytics forecast, note the forecast title, values, date range, confidence/method, and fallback state.</w:t>
            </w:r>
          </w:p>
        </w:tc>
        <w:tc>
          <w:tcPr>
            <w:tcW w:w="43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Forecast values are clearly labeled as estimates. If Gemini is unavailable or data is limited, the local fallback is identified and confidence is not overstated.</w:t>
            </w:r>
          </w:p>
        </w:tc>
        <w:tc>
          <w:tcPr>
            <w:tcW w:w="2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ADM-13</w:t>
            </w:r>
          </w:p>
        </w:tc>
        <w:tc>
          <w:tcPr>
            <w:tcW w:w="56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Review DSS insights and recommendations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Analytics metrics, forecast, and operational signals are available or intentionally sparse.</w:t>
            </w:r>
            <w:r>
              <w:br/>
            </w:r>
            <w:r>
              <w:rPr>
                <w:color w:val="24364B"/>
                <w:sz w:val="16"/>
              </w:rPr>
              <w:t xml:space="preserve">Steps: Open the DSS overview and inspect its insights, evidence, and suggested next actions.</w:t>
            </w:r>
          </w:p>
        </w:tc>
        <w:tc>
          <w:tcPr>
            <w:tcW w:w="43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Insights correspond to supplied signals, express uncertainty when data is limited, and present recommendations as optional decision support.</w:t>
            </w:r>
          </w:p>
        </w:tc>
        <w:tc>
          <w:tcPr>
            <w:tcW w:w="2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ADM-14</w:t>
            </w:r>
          </w:p>
        </w:tc>
        <w:tc>
          <w:tcPr>
            <w:tcW w:w="56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Review loyalty rewards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Loyalty is enabled and a test customer has qualifying reward records.</w:t>
            </w:r>
            <w:r>
              <w:br/>
            </w:r>
            <w:r>
              <w:rPr>
                <w:color w:val="24364B"/>
                <w:sz w:val="16"/>
              </w:rPr>
              <w:t xml:space="preserve">Steps: Open the rewards view, inspect eligibility and status, then revoke a disposable eligible reward with a reason if appropriate.</w:t>
            </w:r>
          </w:p>
        </w:tc>
        <w:tc>
          <w:tcPr>
            <w:tcW w:w="43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Reward details and status are displayed accurately; an authorized revocation is recorded and cannot be performed by staff.</w:t>
            </w:r>
          </w:p>
        </w:tc>
        <w:tc>
          <w:tcPr>
            <w:tcW w:w="2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ADM-15</w:t>
            </w:r>
          </w:p>
        </w:tc>
        <w:tc>
          <w:tcPr>
            <w:tcW w:w="56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Restore a deleted record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Administrator is signed in; a disposable test record has been archived.</w:t>
            </w:r>
            <w:r>
              <w:br/>
            </w:r>
            <w:r>
              <w:rPr>
                <w:color w:val="24364B"/>
                <w:sz w:val="16"/>
              </w:rPr>
              <w:t xml:space="preserve">Steps: Open Recycle Bin, locate the record, restore it, and verify its active list and audit entry.</w:t>
            </w:r>
          </w:p>
        </w:tc>
        <w:tc>
          <w:tcPr>
            <w:tcW w:w="43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record returns to the active list once and the restore action is traceable.</w:t>
            </w:r>
          </w:p>
        </w:tc>
        <w:tc>
          <w:tcPr>
            <w:tcW w:w="2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</w:tbl>
    <w:p>
      <w:pPr>
        <w:pStyle w:val="AfterTable"/>
      </w:pPr>
      <w:r>
        <w:rPr>
          <w:color w:val="24364B"/>
        </w:rPr>
        <w:t xml:space="preserve"/>
      </w:r>
    </w:p>
    <w:p>
      <w:pPr>
        <w:pStyle w:val="Heading1"/>
        <w:pageBreakBefore/>
        <w:keepNext/>
      </w:pPr>
      <w:r>
        <w:rPr>
          <w:color w:val="24364B"/>
        </w:rPr>
        <w:t xml:space="preserve">Functional Test Cases — Staff</w:t>
      </w:r>
    </w:p>
    <w:tbl>
      <w:tblPr>
        <w:tblW w:w="14040" w:type="dxa"/>
        <w:tblLayout w:type="fixed"/>
        <w:tblBorders>
          <w:top w:val="single" w:sz="5" w:color="B8C9D8"/>
          <w:left w:val="single" w:sz="5" w:color="B8C9D8"/>
          <w:bottom w:val="single" w:sz="5" w:color="B8C9D8"/>
          <w:right w:val="single" w:sz="5" w:color="B8C9D8"/>
          <w:insideH w:val="single" w:sz="5" w:color="B8C9D8"/>
          <w:insideV w:val="single" w:sz="5" w:color="B8C9D8"/>
        </w:tblBorders>
        <w:tblCellMar>
          <w:top w:w="55" w:type="dxa"/>
          <w:left w:w="75" w:type="dxa"/>
          <w:bottom w:w="55" w:type="dxa"/>
          <w:right w:w="75" w:type="dxa"/>
        </w:tblCellMar>
      </w:tblPr>
      <w:tblGrid>
        <w:gridCol w:w="1050"/>
        <w:gridCol w:w="5650"/>
        <w:gridCol w:w="4300"/>
        <w:gridCol w:w="2050"/>
        <w:gridCol w:w="990"/>
      </w:tblGrid>
      <w:tr>
        <w:trPr>
          <w:cantSplit/>
          <w:tblHeader/>
        </w:trPr>
        <w:tc>
          <w:tcPr>
            <w:tcW w:w="105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Test Case ID</w:t>
            </w:r>
          </w:p>
        </w:tc>
        <w:tc>
          <w:tcPr>
            <w:tcW w:w="565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Test Case Description</w:t>
            </w:r>
          </w:p>
        </w:tc>
        <w:tc>
          <w:tcPr>
            <w:tcW w:w="43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Expected Result</w:t>
            </w:r>
          </w:p>
        </w:tc>
        <w:tc>
          <w:tcPr>
            <w:tcW w:w="205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Actual Result</w:t>
            </w:r>
          </w:p>
        </w:tc>
        <w:tc>
          <w:tcPr>
            <w:tcW w:w="99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Status</w:t>
            </w:r>
          </w:p>
        </w:tc>
      </w:tr>
      <w:tr>
        <w:trPr>
          <w:cantSplit/>
        </w:trPr>
        <w:tc>
          <w:tcPr>
            <w:tcW w:w="1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STF-01</w:t>
            </w:r>
          </w:p>
        </w:tc>
        <w:tc>
          <w:tcPr>
            <w:tcW w:w="56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Staff sign-in and branch scope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An active staff account assigned to a branch is available and signed out.</w:t>
            </w:r>
            <w:r>
              <w:br/>
            </w:r>
            <w:r>
              <w:rPr>
                <w:color w:val="24364B"/>
                <w:sz w:val="16"/>
              </w:rPr>
              <w:t xml:space="preserve">Steps: Sign in and open Dashboard, Orders, Customers, and Inventory; attempt to access an administrator-only route.</w:t>
            </w:r>
          </w:p>
        </w:tc>
        <w:tc>
          <w:tcPr>
            <w:tcW w:w="43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Staff can access operational modules for the assigned branch; administrator-only access is denied.</w:t>
            </w:r>
          </w:p>
        </w:tc>
        <w:tc>
          <w:tcPr>
            <w:tcW w:w="2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STF-02</w:t>
            </w:r>
          </w:p>
        </w:tc>
        <w:tc>
          <w:tcPr>
            <w:tcW w:w="56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Create an order for a new customer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Staff is signed in; required services and branch stock are available; valid unused customer contact details are prepared.</w:t>
            </w:r>
            <w:r>
              <w:br/>
            </w:r>
            <w:r>
              <w:rPr>
                <w:color w:val="24364B"/>
                <w:sz w:val="16"/>
              </w:rPr>
              <w:t xml:space="preserve">Steps: Open New Order, enter customer details, choose service and weight, enter an allowed cash payment, and submit once.</w:t>
            </w:r>
          </w:p>
        </w:tc>
        <w:tc>
          <w:tcPr>
            <w:tcW w:w="43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Customer and order are created once, linked to the staff branch, and the order begins in Received status with correct pricing/payment.</w:t>
            </w:r>
          </w:p>
        </w:tc>
        <w:tc>
          <w:tcPr>
            <w:tcW w:w="2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STF-03</w:t>
            </w:r>
          </w:p>
        </w:tc>
        <w:tc>
          <w:tcPr>
            <w:tcW w:w="56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Create an order for an existing customer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An active customer with a matching phone number exists in the staff branch.</w:t>
            </w:r>
            <w:r>
              <w:br/>
            </w:r>
            <w:r>
              <w:rPr>
                <w:color w:val="24364B"/>
                <w:sz w:val="16"/>
              </w:rPr>
              <w:t xml:space="preserve">Steps: Start New Order, search by the customer phone, select the existing customer, complete order details, and submit.</w:t>
            </w:r>
          </w:p>
        </w:tc>
        <w:tc>
          <w:tcPr>
            <w:tcW w:w="43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existing customer is selected without a duplicate customer record; the new order is linked to that customer and branch.</w:t>
            </w:r>
          </w:p>
        </w:tc>
        <w:tc>
          <w:tcPr>
            <w:tcW w:w="2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STF-04</w:t>
            </w:r>
          </w:p>
        </w:tc>
        <w:tc>
          <w:tcPr>
            <w:tcW w:w="56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Reject invalid order inputs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Staff is signed in and the New Order form is open.</w:t>
            </w:r>
            <w:r>
              <w:br/>
            </w:r>
            <w:r>
              <w:rPr>
                <w:color w:val="24364B"/>
                <w:sz w:val="16"/>
              </w:rPr>
              <w:t xml:space="preserve">Steps: Try missing required fields, zero/invalid weight, or a payment below the configured minimum; submit each attempt.</w:t>
            </w:r>
          </w:p>
        </w:tc>
        <w:tc>
          <w:tcPr>
            <w:tcW w:w="43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Each invalid attempt shows a validation message and creates no order, payment, or inventory deduction.</w:t>
            </w:r>
          </w:p>
        </w:tc>
        <w:tc>
          <w:tcPr>
            <w:tcW w:w="2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STF-05</w:t>
            </w:r>
          </w:p>
        </w:tc>
        <w:tc>
          <w:tcPr>
            <w:tcW w:w="56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Deduct inventory for order services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The assigned branch has sufficient stock and each selected service has configured inventory usage.</w:t>
            </w:r>
            <w:r>
              <w:br/>
            </w:r>
            <w:r>
              <w:rPr>
                <w:color w:val="24364B"/>
                <w:sz w:val="16"/>
              </w:rPr>
              <w:t xml:space="preserve">Steps: Create an order with one or more services, then inspect stock and usage logs for the assigned branch.</w:t>
            </w:r>
          </w:p>
        </w:tc>
        <w:tc>
          <w:tcPr>
            <w:tcW w:w="43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Configured quantities and units are deducted for the correct branch once per order; no unrelated branch stock changes.</w:t>
            </w:r>
          </w:p>
        </w:tc>
        <w:tc>
          <w:tcPr>
            <w:tcW w:w="2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STF-06</w:t>
            </w:r>
          </w:p>
        </w:tc>
        <w:tc>
          <w:tcPr>
            <w:tcW w:w="56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Prevent order creation when stock is insufficient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The selected service requires more stock than is available at the staff branch.</w:t>
            </w:r>
            <w:r>
              <w:br/>
            </w:r>
            <w:r>
              <w:rPr>
                <w:color w:val="24364B"/>
                <w:sz w:val="16"/>
              </w:rPr>
              <w:t xml:space="preserve">Steps: Attempt to place the order and inspect order, payment, customer-branch association, stock, and usage log.</w:t>
            </w:r>
          </w:p>
        </w:tc>
        <w:tc>
          <w:tcPr>
            <w:tcW w:w="43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operation is rejected without partial order/payment records or inventory changes.</w:t>
            </w:r>
          </w:p>
        </w:tc>
        <w:tc>
          <w:tcPr>
            <w:tcW w:w="2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STF-07</w:t>
            </w:r>
          </w:p>
        </w:tc>
        <w:tc>
          <w:tcPr>
            <w:tcW w:w="56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Advance an order through service stages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A Received order assigned to the staff branch is available.</w:t>
            </w:r>
            <w:r>
              <w:br/>
            </w:r>
            <w:r>
              <w:rPr>
                <w:color w:val="24364B"/>
                <w:sz w:val="16"/>
              </w:rPr>
              <w:t xml:space="preserve">Steps: Move it to On Process, then Ready for Pickup using the page controls.</w:t>
            </w:r>
          </w:p>
        </w:tc>
        <w:tc>
          <w:tcPr>
            <w:tcW w:w="43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Each permitted step updates the order status and its corresponding processing/ready timestamps.</w:t>
            </w:r>
          </w:p>
        </w:tc>
        <w:tc>
          <w:tcPr>
            <w:tcW w:w="2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STF-08</w:t>
            </w:r>
          </w:p>
        </w:tc>
        <w:tc>
          <w:tcPr>
            <w:tcW w:w="56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Search within a selected status filter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Orders exist in at least two statuses, including order numbers that can be searched.</w:t>
            </w:r>
            <w:r>
              <w:br/>
            </w:r>
            <w:r>
              <w:rPr>
                <w:color w:val="24364B"/>
                <w:sz w:val="16"/>
              </w:rPr>
              <w:t xml:space="preserve">Steps: Select one status filter, search for an order in that status, then search for a matching order in another status.</w:t>
            </w:r>
          </w:p>
        </w:tc>
        <w:tc>
          <w:tcPr>
            <w:tcW w:w="43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Search results remain constrained by the selected status; the matching order from another status is not shown.</w:t>
            </w:r>
          </w:p>
        </w:tc>
        <w:tc>
          <w:tcPr>
            <w:tcW w:w="2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STF-09</w:t>
            </w:r>
          </w:p>
        </w:tc>
        <w:tc>
          <w:tcPr>
            <w:tcW w:w="56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Correct an order stage backward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An assigned-branch order is at On Process or Ready for Pickup.</w:t>
            </w:r>
            <w:r>
              <w:br/>
            </w:r>
            <w:r>
              <w:rPr>
                <w:color w:val="24364B"/>
                <w:sz w:val="16"/>
              </w:rPr>
              <w:t xml:space="preserve">Steps: Move the order back one stage and provide a correction reason when prompted.</w:t>
            </w:r>
          </w:p>
        </w:tc>
        <w:tc>
          <w:tcPr>
            <w:tcW w:w="43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backward correction is allowed only through the correction flow; reason, revised ETA, and history are recorded.</w:t>
            </w:r>
          </w:p>
        </w:tc>
        <w:tc>
          <w:tcPr>
            <w:tcW w:w="2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STF-10</w:t>
            </w:r>
          </w:p>
        </w:tc>
        <w:tc>
          <w:tcPr>
            <w:tcW w:w="56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Record partial and final balance payments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A valid order with a remaining balance exists in the assigned branch.</w:t>
            </w:r>
            <w:r>
              <w:br/>
            </w:r>
            <w:r>
              <w:rPr>
                <w:color w:val="24364B"/>
                <w:sz w:val="16"/>
              </w:rPr>
              <w:t xml:space="preserve">Steps: Record a partial cash payment, verify the balance, then submit the exact remaining balance.</w:t>
            </w:r>
          </w:p>
        </w:tc>
        <w:tc>
          <w:tcPr>
            <w:tcW w:w="43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Payment records and balance update accurately; the order cannot be released before fully paid.</w:t>
            </w:r>
          </w:p>
        </w:tc>
        <w:tc>
          <w:tcPr>
            <w:tcW w:w="2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STF-11</w:t>
            </w:r>
          </w:p>
        </w:tc>
        <w:tc>
          <w:tcPr>
            <w:tcW w:w="56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Release a fully paid order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An order is Ready for Pickup and fully paid.</w:t>
            </w:r>
            <w:r>
              <w:br/>
            </w:r>
            <w:r>
              <w:rPr>
                <w:color w:val="24364B"/>
                <w:sz w:val="16"/>
              </w:rPr>
              <w:t xml:space="preserve">Steps: Confirm pickup/release using the available order action.</w:t>
            </w:r>
          </w:p>
        </w:tc>
        <w:tc>
          <w:tcPr>
            <w:tcW w:w="43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order becomes Released and the pickup timestamp is saved; further active-stage edits are blocked.</w:t>
            </w:r>
          </w:p>
        </w:tc>
        <w:tc>
          <w:tcPr>
            <w:tcW w:w="2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STF-12</w:t>
            </w:r>
          </w:p>
        </w:tc>
        <w:tc>
          <w:tcPr>
            <w:tcW w:w="56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Restock only the assigned branch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Staff is signed in; an inventory item belongs to the assigned branch.</w:t>
            </w:r>
            <w:r>
              <w:br/>
            </w:r>
            <w:r>
              <w:rPr>
                <w:color w:val="24364B"/>
                <w:sz w:val="16"/>
              </w:rPr>
              <w:t xml:space="preserve">Steps: Submit a valid restock, then attempt to restock an item belonging to another branch.</w:t>
            </w:r>
          </w:p>
        </w:tc>
        <w:tc>
          <w:tcPr>
            <w:tcW w:w="43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A valid restock updates only the assigned branch and is logged; another-branch item is rejected.</w:t>
            </w:r>
          </w:p>
        </w:tc>
        <w:tc>
          <w:tcPr>
            <w:tcW w:w="2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STF-13</w:t>
            </w:r>
          </w:p>
        </w:tc>
        <w:tc>
          <w:tcPr>
            <w:tcW w:w="56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View the branch customer directory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Staff is signed in and customers exist in multiple branches.</w:t>
            </w:r>
            <w:r>
              <w:br/>
            </w:r>
            <w:r>
              <w:rPr>
                <w:color w:val="24364B"/>
                <w:sz w:val="16"/>
              </w:rPr>
              <w:t xml:space="preserve">Steps: Open Customers and search for a customer assigned to the staff branch and another branch.</w:t>
            </w:r>
          </w:p>
        </w:tc>
        <w:tc>
          <w:tcPr>
            <w:tcW w:w="43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list exposes only permitted customers for the staff branch and excludes archived records.</w:t>
            </w:r>
          </w:p>
        </w:tc>
        <w:tc>
          <w:tcPr>
            <w:tcW w:w="2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STF-14</w:t>
            </w:r>
          </w:p>
        </w:tc>
        <w:tc>
          <w:tcPr>
            <w:tcW w:w="56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Review ETA on a new order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A service has a configured default ETA; comparable history may be available for a test branch.</w:t>
            </w:r>
            <w:r>
              <w:br/>
            </w:r>
            <w:r>
              <w:rPr>
                <w:color w:val="24364B"/>
                <w:sz w:val="16"/>
              </w:rPr>
              <w:t xml:space="preserve">Steps: Create a comparable order and review the saved ETA and its displayed source/revised label.</w:t>
            </w:r>
          </w:p>
        </w:tc>
        <w:tc>
          <w:tcPr>
            <w:tcW w:w="43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order receives one saved ETA based on the applicable configured or historical method; later settings changes do not silently rewrite it.</w:t>
            </w:r>
          </w:p>
        </w:tc>
        <w:tc>
          <w:tcPr>
            <w:tcW w:w="2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STF-15</w:t>
            </w:r>
          </w:p>
        </w:tc>
        <w:tc>
          <w:tcPr>
            <w:tcW w:w="56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Verify a ready-for-pickup notification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A test order has a customer email address and the email provider is configured for staging.</w:t>
            </w:r>
            <w:r>
              <w:br/>
            </w:r>
            <w:r>
              <w:rPr>
                <w:color w:val="24364B"/>
                <w:sz w:val="16"/>
              </w:rPr>
              <w:t xml:space="preserve">Steps: Move the order to Ready for Pickup and inspect the test inbox and safe delivery result.</w:t>
            </w:r>
          </w:p>
        </w:tc>
        <w:tc>
          <w:tcPr>
            <w:tcW w:w="43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A ready notification is attempted for the test recipient; message details are correct and secrets or unrelated customer data are not exposed.</w:t>
            </w:r>
          </w:p>
        </w:tc>
        <w:tc>
          <w:tcPr>
            <w:tcW w:w="2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</w:tbl>
    <w:p>
      <w:pPr>
        <w:pStyle w:val="AfterTable"/>
      </w:pPr>
      <w:r>
        <w:rPr>
          <w:color w:val="24364B"/>
        </w:rPr>
        <w:t xml:space="preserve"/>
      </w:r>
    </w:p>
    <w:p>
      <w:pPr>
        <w:pStyle w:val="Heading1"/>
        <w:pageBreakBefore/>
        <w:keepNext/>
      </w:pPr>
      <w:r>
        <w:rPr>
          <w:color w:val="24364B"/>
        </w:rPr>
        <w:t xml:space="preserve">Functional Test Cases — Public Pages</w:t>
      </w:r>
    </w:p>
    <w:tbl>
      <w:tblPr>
        <w:tblW w:w="14040" w:type="dxa"/>
        <w:tblLayout w:type="fixed"/>
        <w:tblBorders>
          <w:top w:val="single" w:sz="5" w:color="B8C9D8"/>
          <w:left w:val="single" w:sz="5" w:color="B8C9D8"/>
          <w:bottom w:val="single" w:sz="5" w:color="B8C9D8"/>
          <w:right w:val="single" w:sz="5" w:color="B8C9D8"/>
          <w:insideH w:val="single" w:sz="5" w:color="B8C9D8"/>
          <w:insideV w:val="single" w:sz="5" w:color="B8C9D8"/>
        </w:tblBorders>
        <w:tblCellMar>
          <w:top w:w="55" w:type="dxa"/>
          <w:left w:w="75" w:type="dxa"/>
          <w:bottom w:w="55" w:type="dxa"/>
          <w:right w:w="75" w:type="dxa"/>
        </w:tblCellMar>
      </w:tblPr>
      <w:tblGrid>
        <w:gridCol w:w="1050"/>
        <w:gridCol w:w="5650"/>
        <w:gridCol w:w="4300"/>
        <w:gridCol w:w="2050"/>
        <w:gridCol w:w="990"/>
      </w:tblGrid>
      <w:tr>
        <w:trPr>
          <w:cantSplit/>
          <w:tblHeader/>
        </w:trPr>
        <w:tc>
          <w:tcPr>
            <w:tcW w:w="105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Test Case ID</w:t>
            </w:r>
          </w:p>
        </w:tc>
        <w:tc>
          <w:tcPr>
            <w:tcW w:w="565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Test Case Description</w:t>
            </w:r>
          </w:p>
        </w:tc>
        <w:tc>
          <w:tcPr>
            <w:tcW w:w="43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Expected Result</w:t>
            </w:r>
          </w:p>
        </w:tc>
        <w:tc>
          <w:tcPr>
            <w:tcW w:w="205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Actual Result</w:t>
            </w:r>
          </w:p>
        </w:tc>
        <w:tc>
          <w:tcPr>
            <w:tcW w:w="99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Status</w:t>
            </w:r>
          </w:p>
        </w:tc>
      </w:tr>
      <w:tr>
        <w:trPr>
          <w:cantSplit/>
        </w:trPr>
        <w:tc>
          <w:tcPr>
            <w:tcW w:w="1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PUB-01</w:t>
            </w:r>
          </w:p>
        </w:tc>
        <w:tc>
          <w:tcPr>
            <w:tcW w:w="56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Track an active laundry order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A non-cancelled test order has a valid tracking number.</w:t>
            </w:r>
            <w:r>
              <w:br/>
            </w:r>
            <w:r>
              <w:rPr>
                <w:color w:val="24364B"/>
                <w:sz w:val="16"/>
              </w:rPr>
              <w:t xml:space="preserve">Steps: Open the public tracking page while signed out and search using the complete tracking number.</w:t>
            </w:r>
          </w:p>
        </w:tc>
        <w:tc>
          <w:tcPr>
            <w:tcW w:w="43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Public tracking displays only customer-safe order status, service/weight, and ETA information.</w:t>
            </w:r>
          </w:p>
        </w:tc>
        <w:tc>
          <w:tcPr>
            <w:tcW w:w="2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PUB-02</w:t>
            </w:r>
          </w:p>
        </w:tc>
        <w:tc>
          <w:tcPr>
            <w:tcW w:w="56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Reject invalid or cancelled tracking requests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An invalid number and a cancelled test order are available.</w:t>
            </w:r>
            <w:r>
              <w:br/>
            </w:r>
            <w:r>
              <w:rPr>
                <w:color w:val="24364B"/>
                <w:sz w:val="16"/>
              </w:rPr>
              <w:t xml:space="preserve">Steps: Search with an incomplete tracking number, then attempt to track the cancelled order.</w:t>
            </w:r>
          </w:p>
        </w:tc>
        <w:tc>
          <w:tcPr>
            <w:tcW w:w="43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Invalid input is rejected; cancelled orders are not returned; customer, payment, and staff details remain private.</w:t>
            </w:r>
          </w:p>
        </w:tc>
        <w:tc>
          <w:tcPr>
            <w:tcW w:w="2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PUB-03</w:t>
            </w:r>
          </w:p>
        </w:tc>
        <w:tc>
          <w:tcPr>
            <w:tcW w:w="56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Submit the landing-page contact form safely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Turnstile site and secret keys and a test inbox are configured in staging.</w:t>
            </w:r>
            <w:r>
              <w:br/>
            </w:r>
            <w:r>
              <w:rPr>
                <w:color w:val="24364B"/>
                <w:sz w:val="16"/>
              </w:rPr>
              <w:t xml:space="preserve">Steps: Submit incomplete fields; submit with an unchecked/expired security token; then submit valid test details with a completed Turnstile check.</w:t>
            </w:r>
          </w:p>
        </w:tc>
        <w:tc>
          <w:tcPr>
            <w:tcW w:w="43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Invalid attempts are rejected without email delivery. A valid request passes server-side verification and reaches only the configured test inbox.</w:t>
            </w:r>
          </w:p>
        </w:tc>
        <w:tc>
          <w:tcPr>
            <w:tcW w:w="20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PUB-04</w:t>
            </w:r>
          </w:p>
        </w:tc>
        <w:tc>
          <w:tcPr>
            <w:tcW w:w="56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Apply contact-form bot and rate protections</w:t>
            </w:r>
            <w:r>
              <w:br/>
            </w:r>
            <w:r>
              <w:rPr>
                <w:color w:val="24364B"/>
                <w:sz w:val="16"/>
              </w:rPr>
              <w:t xml:space="preserve">Preconditions: Contact form rate limiting and Turnstile are active in staging; do not use production.</w:t>
            </w:r>
            <w:r>
              <w:br/>
            </w:r>
            <w:r>
              <w:rPr>
                <w:color w:val="24364B"/>
                <w:sz w:val="16"/>
              </w:rPr>
              <w:t xml:space="preserve">Steps: Submit with the honeypot populated, then exceed the configured contact request limit using test data.</w:t>
            </w:r>
          </w:p>
        </w:tc>
        <w:tc>
          <w:tcPr>
            <w:tcW w:w="43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Honeypot submissions are silently discarded; rate-limited requests are blocked; no contact email is sent for blocked submissions.</w:t>
            </w:r>
          </w:p>
        </w:tc>
        <w:tc>
          <w:tcPr>
            <w:tcW w:w="20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9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</w:tbl>
    <w:p>
      <w:pPr>
        <w:pStyle w:val="AfterTable"/>
      </w:pPr>
      <w:r>
        <w:rPr>
          <w:color w:val="24364B"/>
        </w:rPr>
        <w:t xml:space="preserve"/>
      </w:r>
    </w:p>
    <w:p>
      <w:pPr>
        <w:pStyle w:val="Heading1"/>
        <w:pageBreakBefore/>
        <w:keepNext/>
      </w:pPr>
      <w:r>
        <w:rPr>
          <w:color w:val="24364B"/>
        </w:rPr>
        <w:t xml:space="preserve">Corrective Action and Retest Log</w:t>
      </w:r>
    </w:p>
    <w:p>
      <w:pPr>
        <w:pStyle w:val="Normal"/>
      </w:pPr>
      <w:r>
        <w:rPr>
          <w:color w:val="24364B"/>
        </w:rPr>
        <w:t xml:space="preserve">Use this log when a test fails. Record the original result, the correction made, and the result after retesting.</w:t>
      </w:r>
    </w:p>
    <w:tbl>
      <w:tblPr>
        <w:tblW w:w="14040" w:type="dxa"/>
        <w:tblLayout w:type="fixed"/>
        <w:tblBorders>
          <w:top w:val="single" w:sz="5" w:color="B8C9D8"/>
          <w:left w:val="single" w:sz="5" w:color="B8C9D8"/>
          <w:bottom w:val="single" w:sz="5" w:color="B8C9D8"/>
          <w:right w:val="single" w:sz="5" w:color="B8C9D8"/>
          <w:insideH w:val="single" w:sz="5" w:color="B8C9D8"/>
          <w:insideV w:val="single" w:sz="5" w:color="B8C9D8"/>
        </w:tblBorders>
        <w:tblCellMar>
          <w:top w:w="55" w:type="dxa"/>
          <w:left w:w="75" w:type="dxa"/>
          <w:bottom w:w="55" w:type="dxa"/>
          <w:right w:w="75" w:type="dxa"/>
        </w:tblCellMar>
      </w:tblPr>
      <w:tblGrid>
        <w:gridCol w:w="1600"/>
        <w:gridCol w:w="2700"/>
        <w:gridCol w:w="5200"/>
        <w:gridCol w:w="2700"/>
        <w:gridCol w:w="1840"/>
      </w:tblGrid>
      <w:tr>
        <w:trPr>
          <w:cantSplit/>
          <w:tblHeader/>
        </w:trPr>
        <w:tc>
          <w:tcPr>
            <w:tcW w:w="16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Test Case ID</w:t>
            </w:r>
          </w:p>
        </w:tc>
        <w:tc>
          <w:tcPr>
            <w:tcW w:w="27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Initial Result</w:t>
            </w:r>
          </w:p>
        </w:tc>
        <w:tc>
          <w:tcPr>
            <w:tcW w:w="52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Corrective Action</w:t>
            </w:r>
          </w:p>
        </w:tc>
        <w:tc>
          <w:tcPr>
            <w:tcW w:w="27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Retest Result</w:t>
            </w:r>
          </w:p>
        </w:tc>
        <w:tc>
          <w:tcPr>
            <w:tcW w:w="184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Date / Tester</w:t>
            </w:r>
          </w:p>
        </w:tc>
      </w:tr>
      <w:tr>
        <w:trPr>
          <w:cantSplit/>
        </w:trPr>
        <w:tc>
          <w:tcPr>
            <w:tcW w:w="16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/>
            </w:r>
          </w:p>
        </w:tc>
        <w:tc>
          <w:tcPr>
            <w:tcW w:w="27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52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27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184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6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/>
            </w:r>
          </w:p>
        </w:tc>
        <w:tc>
          <w:tcPr>
            <w:tcW w:w="27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52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27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184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6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/>
            </w:r>
          </w:p>
        </w:tc>
        <w:tc>
          <w:tcPr>
            <w:tcW w:w="27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52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27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184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6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/>
            </w:r>
          </w:p>
        </w:tc>
        <w:tc>
          <w:tcPr>
            <w:tcW w:w="27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52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27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184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6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/>
            </w:r>
          </w:p>
        </w:tc>
        <w:tc>
          <w:tcPr>
            <w:tcW w:w="27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52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27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184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6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/>
            </w:r>
          </w:p>
        </w:tc>
        <w:tc>
          <w:tcPr>
            <w:tcW w:w="27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52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27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184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6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/>
            </w:r>
          </w:p>
        </w:tc>
        <w:tc>
          <w:tcPr>
            <w:tcW w:w="27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52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27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184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  <w:tr>
        <w:trPr>
          <w:cantSplit/>
        </w:trPr>
        <w:tc>
          <w:tcPr>
            <w:tcW w:w="16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/>
            </w:r>
          </w:p>
        </w:tc>
        <w:tc>
          <w:tcPr>
            <w:tcW w:w="27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52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27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  <w:tc>
          <w:tcPr>
            <w:tcW w:w="184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/>
            </w:r>
          </w:p>
        </w:tc>
      </w:tr>
    </w:tbl>
    <w:p>
      <w:pPr>
        <w:pStyle w:val="AfterTable"/>
      </w:pPr>
      <w:r>
        <w:rPr>
          <w:color w:val="24364B"/>
        </w:rPr>
        <w:t xml:space="preserve"/>
      </w:r>
    </w:p>
    <w:p>
      <w:pPr>
        <w:pStyle w:val="Heading1"/>
        <w:pageBreakBefore/>
        <w:keepNext/>
      </w:pPr>
      <w:r>
        <w:rPr>
          <w:color w:val="24364B"/>
        </w:rPr>
        <w:t xml:space="preserve">Administrator / Owner Evaluation Form</w:t>
      </w:r>
    </w:p>
    <w:p>
      <w:pPr>
        <w:pStyle w:val="Normal"/>
      </w:pPr>
      <w:r>
        <w:rPr>
          <w:color w:val="24364B"/>
        </w:rPr>
        <w:t xml:space="preserve">Respondent role: ____________________    Name (optional): ____________________    Date: ____________________</w:t>
      </w:r>
    </w:p>
    <w:p>
      <w:pPr>
        <w:pStyle w:val="Normal"/>
      </w:pPr>
      <w:r>
        <w:rPr>
          <w:color w:val="24364B"/>
        </w:rPr>
        <w:t xml:space="preserve">Instructions: After testing the relevant system functions, place one check mark in the response column that best represents your opinion. Leave an item blank if you did not test that feature.</w:t>
      </w:r>
    </w:p>
    <w:tbl>
      <w:tblPr>
        <w:tblW w:w="14040" w:type="dxa"/>
        <w:tblLayout w:type="fixed"/>
        <w:tblBorders>
          <w:top w:val="single" w:sz="5" w:color="B8C9D8"/>
          <w:left w:val="single" w:sz="5" w:color="B8C9D8"/>
          <w:bottom w:val="single" w:sz="5" w:color="B8C9D8"/>
          <w:right w:val="single" w:sz="5" w:color="B8C9D8"/>
          <w:insideH w:val="single" w:sz="5" w:color="B8C9D8"/>
          <w:insideV w:val="single" w:sz="5" w:color="B8C9D8"/>
        </w:tblBorders>
        <w:tblCellMar>
          <w:top w:w="55" w:type="dxa"/>
          <w:left w:w="75" w:type="dxa"/>
          <w:bottom w:w="55" w:type="dxa"/>
          <w:right w:w="75" w:type="dxa"/>
        </w:tblCellMar>
      </w:tblPr>
      <w:tblGrid>
        <w:gridCol w:w="850"/>
        <w:gridCol w:w="8190"/>
        <w:gridCol w:w="1000"/>
        <w:gridCol w:w="1000"/>
        <w:gridCol w:w="1000"/>
        <w:gridCol w:w="1000"/>
        <w:gridCol w:w="1000"/>
      </w:tblGrid>
      <w:tr>
        <w:trPr>
          <w:cantSplit/>
          <w:tblHeader/>
        </w:trPr>
        <w:tc>
          <w:tcPr>
            <w:tcW w:w="85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No.</w:t>
            </w:r>
          </w:p>
        </w:tc>
        <w:tc>
          <w:tcPr>
            <w:tcW w:w="819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Evaluation Statement</w:t>
            </w:r>
          </w:p>
        </w:tc>
        <w:tc>
          <w:tcPr>
            <w:tcW w:w="10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5</w:t>
            </w:r>
          </w:p>
        </w:tc>
        <w:tc>
          <w:tcPr>
            <w:tcW w:w="10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4</w:t>
            </w:r>
          </w:p>
        </w:tc>
        <w:tc>
          <w:tcPr>
            <w:tcW w:w="10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3</w:t>
            </w:r>
          </w:p>
        </w:tc>
        <w:tc>
          <w:tcPr>
            <w:tcW w:w="10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2</w:t>
            </w:r>
          </w:p>
        </w:tc>
        <w:tc>
          <w:tcPr>
            <w:tcW w:w="10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1</w:t>
            </w:r>
          </w:p>
        </w:tc>
      </w:tr>
      <w:tr>
        <w:trPr>
          <w:cantSplit/>
        </w:trPr>
        <w:tc>
          <w:tcPr>
            <w:tcW w:w="8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AD-01</w:t>
            </w:r>
          </w:p>
        </w:tc>
        <w:tc>
          <w:tcPr>
            <w:tcW w:w="81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system restricts administrative functions to authorized accounts.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</w:tr>
      <w:tr>
        <w:trPr>
          <w:cantSplit/>
        </w:trPr>
        <w:tc>
          <w:tcPr>
            <w:tcW w:w="8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AD-02</w:t>
            </w:r>
          </w:p>
        </w:tc>
        <w:tc>
          <w:tcPr>
            <w:tcW w:w="81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dashboard and branch filters help me monitor operations across branches.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</w:tr>
      <w:tr>
        <w:trPr>
          <w:cantSplit/>
        </w:trPr>
        <w:tc>
          <w:tcPr>
            <w:tcW w:w="8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AD-03</w:t>
            </w:r>
          </w:p>
        </w:tc>
        <w:tc>
          <w:tcPr>
            <w:tcW w:w="81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Analytics clearly presents sales, service demand, branch productivity, and customer trends.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</w:tr>
      <w:tr>
        <w:trPr>
          <w:cantSplit/>
        </w:trPr>
        <w:tc>
          <w:tcPr>
            <w:tcW w:w="8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AD-04</w:t>
            </w:r>
          </w:p>
        </w:tc>
        <w:tc>
          <w:tcPr>
            <w:tcW w:w="81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Reports and exports are understandable and match the selected reporting scope.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</w:tr>
      <w:tr>
        <w:trPr>
          <w:cantSplit/>
        </w:trPr>
        <w:tc>
          <w:tcPr>
            <w:tcW w:w="8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AD-05</w:t>
            </w:r>
          </w:p>
        </w:tc>
        <w:tc>
          <w:tcPr>
            <w:tcW w:w="81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revenue and demand forecast is clearly labeled, and its uncertainty is understandable.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</w:tr>
      <w:tr>
        <w:trPr>
          <w:cantSplit/>
        </w:trPr>
        <w:tc>
          <w:tcPr>
            <w:tcW w:w="8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AD-06</w:t>
            </w:r>
          </w:p>
        </w:tc>
        <w:tc>
          <w:tcPr>
            <w:tcW w:w="81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DSS insights are relevant to the operational data displayed.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</w:tr>
      <w:tr>
        <w:trPr>
          <w:cantSplit/>
        </w:trPr>
        <w:tc>
          <w:tcPr>
            <w:tcW w:w="8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AD-07</w:t>
            </w:r>
          </w:p>
        </w:tc>
        <w:tc>
          <w:tcPr>
            <w:tcW w:w="81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DSS recommendations are practical options and leave final decisions to management.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</w:tr>
      <w:tr>
        <w:trPr>
          <w:cantSplit/>
        </w:trPr>
        <w:tc>
          <w:tcPr>
            <w:tcW w:w="8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AD-08</w:t>
            </w:r>
          </w:p>
        </w:tc>
        <w:tc>
          <w:tcPr>
            <w:tcW w:w="81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Inventory and loyalty information help me identify items or records needing review.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</w:tr>
      <w:tr>
        <w:trPr>
          <w:cantSplit/>
        </w:trPr>
        <w:tc>
          <w:tcPr>
            <w:tcW w:w="8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AD-09</w:t>
            </w:r>
          </w:p>
        </w:tc>
        <w:tc>
          <w:tcPr>
            <w:tcW w:w="81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system responds reliably during the management tasks I performed.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</w:tr>
      <w:tr>
        <w:trPr>
          <w:cantSplit/>
        </w:trPr>
        <w:tc>
          <w:tcPr>
            <w:tcW w:w="8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AD-10</w:t>
            </w:r>
          </w:p>
        </w:tc>
        <w:tc>
          <w:tcPr>
            <w:tcW w:w="81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Overall, the system supports my monitoring and decision-making responsibilities.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</w:tr>
    </w:tbl>
    <w:p>
      <w:pPr>
        <w:pStyle w:val="AfterTable"/>
      </w:pPr>
      <w:r>
        <w:rPr>
          <w:color w:val="24364B"/>
        </w:rPr>
        <w:t xml:space="preserve"/>
      </w:r>
    </w:p>
    <w:p>
      <w:pPr>
        <w:pStyle w:val="Normal"/>
      </w:pPr>
      <w:r>
        <w:rPr>
          <w:color w:val="24364B"/>
        </w:rPr>
        <w:t xml:space="preserve">Comments or suggested improvements: ____________________________________________________________________________________</w:t>
      </w:r>
    </w:p>
    <w:p>
      <w:pPr>
        <w:pStyle w:val="Normal"/>
      </w:pPr>
      <w:r>
        <w:rPr>
          <w:color w:val="24364B"/>
        </w:rPr>
        <w:t xml:space="preserve">____________________________________________________________________________________________________________________________</w:t>
      </w:r>
    </w:p>
    <w:p>
      <w:pPr>
        <w:pStyle w:val="Heading1"/>
        <w:pageBreakBefore/>
        <w:keepNext/>
      </w:pPr>
      <w:r>
        <w:rPr>
          <w:color w:val="24364B"/>
        </w:rPr>
        <w:t xml:space="preserve">Staff Evaluation Form</w:t>
      </w:r>
    </w:p>
    <w:p>
      <w:pPr>
        <w:pStyle w:val="Normal"/>
      </w:pPr>
      <w:r>
        <w:rPr>
          <w:color w:val="24364B"/>
        </w:rPr>
        <w:t xml:space="preserve">Respondent role: ____________________    Name (optional): ____________________    Date: ____________________</w:t>
      </w:r>
    </w:p>
    <w:p>
      <w:pPr>
        <w:pStyle w:val="Normal"/>
      </w:pPr>
      <w:r>
        <w:rPr>
          <w:color w:val="24364B"/>
        </w:rPr>
        <w:t xml:space="preserve">Instructions: After testing the relevant system functions, place one check mark in the response column that best represents your opinion. Leave an item blank if you did not test that feature.</w:t>
      </w:r>
    </w:p>
    <w:tbl>
      <w:tblPr>
        <w:tblW w:w="14040" w:type="dxa"/>
        <w:tblLayout w:type="fixed"/>
        <w:tblBorders>
          <w:top w:val="single" w:sz="5" w:color="B8C9D8"/>
          <w:left w:val="single" w:sz="5" w:color="B8C9D8"/>
          <w:bottom w:val="single" w:sz="5" w:color="B8C9D8"/>
          <w:right w:val="single" w:sz="5" w:color="B8C9D8"/>
          <w:insideH w:val="single" w:sz="5" w:color="B8C9D8"/>
          <w:insideV w:val="single" w:sz="5" w:color="B8C9D8"/>
        </w:tblBorders>
        <w:tblCellMar>
          <w:top w:w="55" w:type="dxa"/>
          <w:left w:w="75" w:type="dxa"/>
          <w:bottom w:w="55" w:type="dxa"/>
          <w:right w:w="75" w:type="dxa"/>
        </w:tblCellMar>
      </w:tblPr>
      <w:tblGrid>
        <w:gridCol w:w="850"/>
        <w:gridCol w:w="8190"/>
        <w:gridCol w:w="1000"/>
        <w:gridCol w:w="1000"/>
        <w:gridCol w:w="1000"/>
        <w:gridCol w:w="1000"/>
        <w:gridCol w:w="1000"/>
      </w:tblGrid>
      <w:tr>
        <w:trPr>
          <w:cantSplit/>
          <w:tblHeader/>
        </w:trPr>
        <w:tc>
          <w:tcPr>
            <w:tcW w:w="85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No.</w:t>
            </w:r>
          </w:p>
        </w:tc>
        <w:tc>
          <w:tcPr>
            <w:tcW w:w="819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Evaluation Statement</w:t>
            </w:r>
          </w:p>
        </w:tc>
        <w:tc>
          <w:tcPr>
            <w:tcW w:w="10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5</w:t>
            </w:r>
          </w:p>
        </w:tc>
        <w:tc>
          <w:tcPr>
            <w:tcW w:w="10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4</w:t>
            </w:r>
          </w:p>
        </w:tc>
        <w:tc>
          <w:tcPr>
            <w:tcW w:w="10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3</w:t>
            </w:r>
          </w:p>
        </w:tc>
        <w:tc>
          <w:tcPr>
            <w:tcW w:w="10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2</w:t>
            </w:r>
          </w:p>
        </w:tc>
        <w:tc>
          <w:tcPr>
            <w:tcW w:w="10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6"/>
              </w:rPr>
              <w:t xml:space="preserve">1</w:t>
            </w:r>
          </w:p>
        </w:tc>
      </w:tr>
      <w:tr>
        <w:trPr>
          <w:cantSplit/>
        </w:trPr>
        <w:tc>
          <w:tcPr>
            <w:tcW w:w="8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ST-01</w:t>
            </w:r>
          </w:p>
        </w:tc>
        <w:tc>
          <w:tcPr>
            <w:tcW w:w="81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system is easy to navigate for my daily branch tasks.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</w:tr>
      <w:tr>
        <w:trPr>
          <w:cantSplit/>
        </w:trPr>
        <w:tc>
          <w:tcPr>
            <w:tcW w:w="8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ST-02</w:t>
            </w:r>
          </w:p>
        </w:tc>
        <w:tc>
          <w:tcPr>
            <w:tcW w:w="81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Creating or finding a customer and recording an order is clear.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</w:tr>
      <w:tr>
        <w:trPr>
          <w:cantSplit/>
        </w:trPr>
        <w:tc>
          <w:tcPr>
            <w:tcW w:w="8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ST-03</w:t>
            </w:r>
          </w:p>
        </w:tc>
        <w:tc>
          <w:tcPr>
            <w:tcW w:w="81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Order service, payment, and status information is easy to understand.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</w:tr>
      <w:tr>
        <w:trPr>
          <w:cantSplit/>
        </w:trPr>
        <w:tc>
          <w:tcPr>
            <w:tcW w:w="8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ST-04</w:t>
            </w:r>
          </w:p>
        </w:tc>
        <w:tc>
          <w:tcPr>
            <w:tcW w:w="81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Inventory quantities and units are clear when I create or process an order.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</w:tr>
      <w:tr>
        <w:trPr>
          <w:cantSplit/>
        </w:trPr>
        <w:tc>
          <w:tcPr>
            <w:tcW w:w="8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ST-05</w:t>
            </w:r>
          </w:p>
        </w:tc>
        <w:tc>
          <w:tcPr>
            <w:tcW w:w="81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system prevents invalid entries and explains what needs correction.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</w:tr>
      <w:tr>
        <w:trPr>
          <w:cantSplit/>
        </w:trPr>
        <w:tc>
          <w:tcPr>
            <w:tcW w:w="8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ST-06</w:t>
            </w:r>
          </w:p>
        </w:tc>
        <w:tc>
          <w:tcPr>
            <w:tcW w:w="81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order list search and filters help me find the correct order.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</w:tr>
      <w:tr>
        <w:trPr>
          <w:cantSplit/>
        </w:trPr>
        <w:tc>
          <w:tcPr>
            <w:tcW w:w="8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ST-07</w:t>
            </w:r>
          </w:p>
        </w:tc>
        <w:tc>
          <w:tcPr>
            <w:tcW w:w="81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system responds reliably while I complete operational tasks.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</w:tr>
      <w:tr>
        <w:trPr>
          <w:cantSplit/>
        </w:trPr>
        <w:tc>
          <w:tcPr>
            <w:tcW w:w="8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ST-08</w:t>
            </w:r>
          </w:p>
        </w:tc>
        <w:tc>
          <w:tcPr>
            <w:tcW w:w="81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information shown for my branch is relevant to my work.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</w:tr>
      <w:tr>
        <w:trPr>
          <w:cantSplit/>
        </w:trPr>
        <w:tc>
          <w:tcPr>
            <w:tcW w:w="85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ST-09</w:t>
            </w:r>
          </w:p>
        </w:tc>
        <w:tc>
          <w:tcPr>
            <w:tcW w:w="819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The system helps me complete work more efficiently than the previous process.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</w:tr>
      <w:tr>
        <w:trPr>
          <w:cantSplit/>
        </w:trPr>
        <w:tc>
          <w:tcPr>
            <w:tcW w:w="85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6"/>
              </w:rPr>
              <w:t xml:space="preserve">ST-10</w:t>
            </w:r>
          </w:p>
        </w:tc>
        <w:tc>
          <w:tcPr>
            <w:tcW w:w="819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Overall, I am satisfied with the system for my assigned responsibilities.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  <w:tc>
          <w:tcPr>
            <w:tcW w:w="10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6"/>
              </w:rPr>
              <w:t xml:space="preserve">☐</w:t>
            </w:r>
          </w:p>
        </w:tc>
      </w:tr>
    </w:tbl>
    <w:p>
      <w:pPr>
        <w:pStyle w:val="AfterTable"/>
      </w:pPr>
      <w:r>
        <w:rPr>
          <w:color w:val="24364B"/>
        </w:rPr>
        <w:t xml:space="preserve"/>
      </w:r>
    </w:p>
    <w:p>
      <w:pPr>
        <w:pStyle w:val="Normal"/>
      </w:pPr>
      <w:r>
        <w:rPr>
          <w:color w:val="24364B"/>
        </w:rPr>
        <w:t xml:space="preserve">Comments or suggested improvements: ____________________________________________________________________________________</w:t>
      </w:r>
    </w:p>
    <w:p>
      <w:pPr>
        <w:pStyle w:val="Normal"/>
      </w:pPr>
      <w:r>
        <w:rPr>
          <w:color w:val="24364B"/>
        </w:rPr>
        <w:t xml:space="preserve">____________________________________________________________________________________________________________________________</w:t>
      </w:r>
    </w:p>
    <w:p>
      <w:pPr>
        <w:pStyle w:val="Heading1"/>
        <w:pageBreakBefore/>
        <w:keepNext/>
      </w:pPr>
      <w:r>
        <w:rPr>
          <w:color w:val="24364B"/>
        </w:rPr>
        <w:t xml:space="preserve">Evaluation Record and Sign-Off</w:t>
      </w:r>
    </w:p>
    <w:tbl>
      <w:tblPr>
        <w:tblW w:w="14040" w:type="dxa"/>
        <w:tblLayout w:type="fixed"/>
        <w:tblBorders>
          <w:top w:val="single" w:sz="5" w:color="B8C9D8"/>
          <w:left w:val="single" w:sz="5" w:color="B8C9D8"/>
          <w:bottom w:val="single" w:sz="5" w:color="B8C9D8"/>
          <w:right w:val="single" w:sz="5" w:color="B8C9D8"/>
          <w:insideH w:val="single" w:sz="5" w:color="B8C9D8"/>
          <w:insideV w:val="single" w:sz="5" w:color="B8C9D8"/>
        </w:tblBorders>
        <w:tblCellMar>
          <w:top w:w="85" w:type="dxa"/>
          <w:left w:w="75" w:type="dxa"/>
          <w:bottom w:w="85" w:type="dxa"/>
          <w:right w:w="75" w:type="dxa"/>
        </w:tblCellMar>
      </w:tblPr>
      <w:tblGrid>
        <w:gridCol w:w="4200"/>
        <w:gridCol w:w="9840"/>
      </w:tblGrid>
      <w:tr>
        <w:trPr>
          <w:cantSplit/>
          <w:tblHeader/>
        </w:trPr>
        <w:tc>
          <w:tcPr>
            <w:tcW w:w="420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8"/>
              </w:rPr>
              <w:t xml:space="preserve">Record</w:t>
            </w:r>
          </w:p>
        </w:tc>
        <w:tc>
          <w:tcPr>
            <w:tcW w:w="9840" w:type="dxa"/>
            <w:shd w:val="clear" w:fill="174A6E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  <w:sz w:val="18"/>
              </w:rPr>
              <w:t xml:space="preserve">Details</w:t>
            </w:r>
          </w:p>
        </w:tc>
      </w:tr>
      <w:tr>
        <w:trPr>
          <w:cantSplit/>
        </w:trPr>
        <w:tc>
          <w:tcPr>
            <w:tcW w:w="42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8"/>
              </w:rPr>
              <w:t xml:space="preserve">System version / environment</w:t>
            </w:r>
          </w:p>
        </w:tc>
        <w:tc>
          <w:tcPr>
            <w:tcW w:w="984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8"/>
              </w:rPr>
              <w:t xml:space="preserve"/>
            </w:r>
          </w:p>
        </w:tc>
      </w:tr>
      <w:tr>
        <w:trPr>
          <w:cantSplit/>
        </w:trPr>
        <w:tc>
          <w:tcPr>
            <w:tcW w:w="42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8"/>
              </w:rPr>
              <w:t xml:space="preserve">Evaluation date(s)</w:t>
            </w:r>
          </w:p>
        </w:tc>
        <w:tc>
          <w:tcPr>
            <w:tcW w:w="984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8"/>
              </w:rPr>
              <w:t xml:space="preserve"/>
            </w:r>
          </w:p>
        </w:tc>
      </w:tr>
      <w:tr>
        <w:trPr>
          <w:cantSplit/>
        </w:trPr>
        <w:tc>
          <w:tcPr>
            <w:tcW w:w="42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8"/>
              </w:rPr>
              <w:t xml:space="preserve">Verified number of respondents</w:t>
            </w:r>
          </w:p>
        </w:tc>
        <w:tc>
          <w:tcPr>
            <w:tcW w:w="984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8"/>
              </w:rPr>
              <w:t xml:space="preserve"/>
            </w:r>
          </w:p>
        </w:tc>
      </w:tr>
      <w:tr>
        <w:trPr>
          <w:cantSplit/>
        </w:trPr>
        <w:tc>
          <w:tcPr>
            <w:tcW w:w="42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8"/>
              </w:rPr>
              <w:t xml:space="preserve">Completed test cases / evidence location</w:t>
            </w:r>
          </w:p>
        </w:tc>
        <w:tc>
          <w:tcPr>
            <w:tcW w:w="984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8"/>
              </w:rPr>
              <w:t xml:space="preserve"/>
            </w:r>
          </w:p>
        </w:tc>
      </w:tr>
      <w:tr>
        <w:trPr>
          <w:cantSplit/>
        </w:trPr>
        <w:tc>
          <w:tcPr>
            <w:tcW w:w="42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8"/>
              </w:rPr>
              <w:t xml:space="preserve">Open defects and retest status</w:t>
            </w:r>
          </w:p>
        </w:tc>
        <w:tc>
          <w:tcPr>
            <w:tcW w:w="984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8"/>
              </w:rPr>
              <w:t xml:space="preserve"/>
            </w:r>
          </w:p>
        </w:tc>
      </w:tr>
      <w:tr>
        <w:trPr>
          <w:cantSplit/>
        </w:trPr>
        <w:tc>
          <w:tcPr>
            <w:tcW w:w="42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8"/>
              </w:rPr>
              <w:t xml:space="preserve">Summary of evaluation findings</w:t>
            </w:r>
          </w:p>
        </w:tc>
        <w:tc>
          <w:tcPr>
            <w:tcW w:w="984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8"/>
              </w:rPr>
              <w:t xml:space="preserve"/>
            </w:r>
          </w:p>
        </w:tc>
      </w:tr>
      <w:tr>
        <w:trPr>
          <w:cantSplit/>
        </w:trPr>
        <w:tc>
          <w:tcPr>
            <w:tcW w:w="420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8"/>
              </w:rPr>
              <w:t xml:space="preserve">Owner / administrator acknowledgment</w:t>
            </w:r>
          </w:p>
        </w:tc>
        <w:tc>
          <w:tcPr>
            <w:tcW w:w="9840" w:type="dxa"/>
            <w:shd w:val="clear" w:fill="F0F5F9"/>
            <w:vAlign w:val="top"/>
          </w:tcPr>
          <w:p>
            <w:pPr>
              <w:pStyle w:val="TableText"/>
            </w:pPr>
            <w:r>
              <w:rPr>
                <w:color w:val="24364B"/>
                <w:sz w:val="18"/>
              </w:rPr>
              <w:t xml:space="preserve">Name: ______________________________  Signature: ______________________________  Date: ______________</w:t>
            </w:r>
          </w:p>
        </w:tc>
      </w:tr>
      <w:tr>
        <w:trPr>
          <w:cantSplit/>
        </w:trPr>
        <w:tc>
          <w:tcPr>
            <w:tcW w:w="420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b/>
                <w:color w:val="24364B"/>
                <w:sz w:val="18"/>
              </w:rPr>
              <w:t xml:space="preserve">Researcher / evaluator</w:t>
            </w:r>
          </w:p>
        </w:tc>
        <w:tc>
          <w:tcPr>
            <w:tcW w:w="9840" w:type="dxa"/>
            <w:shd w:val="clear" w:fill="FFFFFF"/>
            <w:vAlign w:val="top"/>
          </w:tcPr>
          <w:p>
            <w:pPr>
              <w:pStyle w:val="TableText"/>
            </w:pPr>
            <w:r>
              <w:rPr>
                <w:color w:val="24364B"/>
                <w:sz w:val="18"/>
              </w:rPr>
              <w:t xml:space="preserve">Name: ______________________________  Signature: ______________________________  Date: ______________</w:t>
            </w:r>
          </w:p>
        </w:tc>
      </w:tr>
    </w:tbl>
    <w:p>
      <w:pPr>
        <w:pStyle w:val="AfterTable"/>
      </w:pPr>
      <w:r>
        <w:rPr>
          <w:color w:val="24364B"/>
        </w:rPr>
        <w:t xml:space="preserve"/>
      </w:r>
    </w:p>
    <w:p>
      <w:pPr>
        <w:pStyle w:val="Normal"/>
      </w:pPr>
      <w:r>
        <w:rPr>
          <w:color w:val="24364B"/>
        </w:rPr>
        <w:t xml:space="preserve">Do not fill the summary with assumed outcomes. Report the actual questionnaire responses and test evidence, and use only the statistical interpretation ranges approved for the study.</w:t>
      </w:r>
    </w:p>
    <w:sectPr>
      <w:pgSz w:w="15840" w:h="12240" w:orient="landscape"/>
      <w:pgMar w:top="900" w:right="900" w:bottom="900" w:left="900" w:header="450" w:footer="45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color w:val="24364B"/>
        <w:sz w:val="20"/>
        <w:lang w:val="en-PH"/>
      </w:rPr>
    </w:rPrDefault>
    <w:pPrDefault>
      <w:pPr>
        <w:widowControl/>
      </w:pPr>
    </w:pPrDefault>
  </w:docDefaults>
  <w:style w:type="paragraph" w:styleId="Normal" w:default="1">
    <w:name w:val="Normal"/>
    <w:pPr>
      <w:jc w:val="both"/>
      <w:ind w:firstLine="0"/>
      <w:spacing w:after="120" w:line="250" w:lineRule="auto"/>
    </w:pPr>
    <w:rPr>
      <w:sz w:val="20"/>
    </w:rPr>
  </w:style>
  <w:style w:type="paragraph" w:styleId="Kicker">
    <w:name w:val="Kicker"/>
    <w:basedOn w:val="Normal"/>
    <w:pPr>
      <w:jc w:val="center"/>
      <w:ind w:firstLine="0"/>
      <w:spacing w:before="1000" w:after="100"/>
    </w:pPr>
    <w:rPr>
      <w:b/>
      <w:color w:val="1280A8"/>
      <w:sz w:val="25"/>
    </w:rPr>
  </w:style>
  <w:style w:type="paragraph" w:styleId="Title">
    <w:name w:val="Title"/>
    <w:basedOn w:val="Normal"/>
    <w:pPr>
      <w:jc w:val="center"/>
      <w:ind w:firstLine="0"/>
      <w:spacing w:after="100"/>
    </w:pPr>
    <w:rPr>
      <w:b/>
      <w:color w:val="173B5E"/>
      <w:sz w:val="36"/>
    </w:rPr>
  </w:style>
  <w:style w:type="paragraph" w:styleId="Subtitle">
    <w:name w:val="Subtitle"/>
    <w:basedOn w:val="Normal"/>
    <w:pPr>
      <w:jc w:val="center"/>
      <w:ind w:firstLine="0"/>
      <w:spacing w:after="160"/>
    </w:pPr>
    <w:rPr>
      <w:color w:val="5B7185"/>
      <w:sz w:val="23"/>
    </w:rPr>
  </w:style>
  <w:style w:type="paragraph" w:styleId="Intro">
    <w:name w:val="Intro"/>
    <w:basedOn w:val="Normal"/>
    <w:pPr>
      <w:jc w:val="center"/>
      <w:ind w:firstLine="0"/>
      <w:spacing w:after="300"/>
    </w:pPr>
    <w:rPr>
      <w:color w:val="5B7185"/>
      <w:sz w:val="19"/>
    </w:rPr>
  </w:style>
  <w:style w:type="paragraph" w:styleId="Heading1">
    <w:name w:val="Heading1"/>
    <w:basedOn w:val="Normal"/>
    <w:pPr>
      <w:jc w:val="left"/>
      <w:ind w:firstLine="0"/>
      <w:keepNext/>
      <w:outlineLvl w:val="0"/>
      <w:spacing w:before="230" w:after="120"/>
    </w:pPr>
    <w:rPr>
      <w:b/>
      <w:color w:val="173B5E"/>
      <w:sz w:val="25"/>
    </w:rPr>
  </w:style>
  <w:style w:type="paragraph" w:styleId="TableText">
    <w:name w:val="TableText"/>
    <w:basedOn w:val="Normal"/>
    <w:pPr>
      <w:jc w:val="left"/>
      <w:spacing w:after="0" w:line="225" w:lineRule="auto"/>
    </w:pPr>
    <w:rPr>
      <w:sz w:val="18"/>
    </w:rPr>
  </w:style>
  <w:style w:type="paragraph" w:styleId="AfterTable">
    <w:name w:val="AfterTable"/>
    <w:basedOn w:val="Normal"/>
    <w:pPr>
      <w:ind w:firstLine="0"/>
      <w:spacing w:after="80" w:line="50" w:lineRule="exact"/>
    </w:pPr>
    <w:rPr>
      <w:sz w:val="4"/>
    </w:rPr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I&amp;C Laundry Testing and Evaluation</dc:title>
  <dc:creator>I&amp;C Laundry Project</dc:creator>
  <dc:description>Role-based functional test cases and user acceptance evaluation forms.</dc:description>
</cp:coreProperties>
</file>