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79F817" w14:textId="77777777" w:rsidR="00DF075C" w:rsidRDefault="00C25B43" w:rsidP="00D12DC2">
      <w:pPr>
        <w:pStyle w:val="BodyText1"/>
      </w:pPr>
      <w:r>
        <w:rPr>
          <w:noProof/>
          <w:lang w:eastAsia="en-AU"/>
        </w:rPr>
        <w:drawing>
          <wp:inline distT="0" distB="0" distL="0" distR="0" wp14:anchorId="1BC80F6D" wp14:editId="65047AA6">
            <wp:extent cx="2520000" cy="1124053"/>
            <wp:effectExtent l="0" t="0" r="0" b="0"/>
            <wp:docPr id="6" name="Picture 6" descr="Department of Agriculture and Water Resources, ABA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BARES_Inline-new-logo.jpg"/>
                    <pic:cNvPicPr/>
                  </pic:nvPicPr>
                  <pic:blipFill>
                    <a:blip r:embed="rId8">
                      <a:extLst>
                        <a:ext uri="{28A0092B-C50C-407E-A947-70E740481C1C}">
                          <a14:useLocalDpi xmlns:a14="http://schemas.microsoft.com/office/drawing/2010/main" val="0"/>
                        </a:ext>
                      </a:extLst>
                    </a:blip>
                    <a:stretch>
                      <a:fillRect/>
                    </a:stretch>
                  </pic:blipFill>
                  <pic:spPr>
                    <a:xfrm>
                      <a:off x="0" y="0"/>
                      <a:ext cx="2520000" cy="1124053"/>
                    </a:xfrm>
                    <a:prstGeom prst="rect">
                      <a:avLst/>
                    </a:prstGeom>
                  </pic:spPr>
                </pic:pic>
              </a:graphicData>
            </a:graphic>
          </wp:inline>
        </w:drawing>
      </w:r>
    </w:p>
    <w:p w14:paraId="0230462A" w14:textId="15ADD830" w:rsidR="00495DE2" w:rsidRPr="00F91FB6" w:rsidRDefault="00526A4F" w:rsidP="00526A4F">
      <w:pPr>
        <w:pStyle w:val="Titlepageheading"/>
      </w:pPr>
      <w:r>
        <w:t>Farm share and price spread in Australia's sugar supply</w:t>
      </w:r>
      <w:r w:rsidR="00D7599B">
        <w:t xml:space="preserve"> chain</w:t>
      </w:r>
      <w:r>
        <w:t xml:space="preserve"> </w:t>
      </w:r>
    </w:p>
    <w:p w14:paraId="1100791A" w14:textId="6405A770" w:rsidR="002B0A63" w:rsidRDefault="00526A4F" w:rsidP="00210424">
      <w:pPr>
        <w:pStyle w:val="Titlepageauthor"/>
        <w:ind w:left="1560" w:hanging="130"/>
      </w:pPr>
      <w:r>
        <w:t xml:space="preserve">Breeana Sandley, </w:t>
      </w:r>
      <w:r w:rsidR="00DE0239">
        <w:t>Tim Goesch</w:t>
      </w:r>
      <w:r w:rsidR="00DE0239" w:rsidRPr="00DE0239">
        <w:t xml:space="preserve"> </w:t>
      </w:r>
      <w:r>
        <w:t xml:space="preserve">and </w:t>
      </w:r>
      <w:r w:rsidR="00DE0239">
        <w:t>Nga Nguyen</w:t>
      </w:r>
    </w:p>
    <w:p w14:paraId="5A3284A2" w14:textId="77777777" w:rsidR="00F949BD" w:rsidRDefault="00F949BD" w:rsidP="00F24C79">
      <w:pPr>
        <w:pStyle w:val="Titlepageauthor"/>
        <w:ind w:left="1418"/>
      </w:pPr>
    </w:p>
    <w:p w14:paraId="5F170F72" w14:textId="77777777" w:rsidR="00D21D93" w:rsidRPr="00402350" w:rsidRDefault="00CB0C60" w:rsidP="00402350">
      <w:pPr>
        <w:pStyle w:val="BodyText1"/>
        <w:jc w:val="right"/>
        <w:rPr>
          <w:rFonts w:asciiTheme="minorHAnsi" w:hAnsiTheme="minorHAnsi"/>
          <w:b/>
          <w:sz w:val="20"/>
          <w:szCs w:val="20"/>
        </w:rPr>
      </w:pPr>
      <w:r>
        <w:rPr>
          <w:rFonts w:asciiTheme="minorHAnsi" w:hAnsiTheme="minorHAnsi"/>
          <w:b/>
          <w:noProof/>
          <w:color w:val="auto"/>
          <w:sz w:val="20"/>
          <w:szCs w:val="20"/>
          <w:lang w:eastAsia="en-AU"/>
        </w:rPr>
        <mc:AlternateContent>
          <mc:Choice Requires="wps">
            <w:drawing>
              <wp:anchor distT="4294967295" distB="4294967295" distL="114300" distR="114300" simplePos="0" relativeHeight="251662336" behindDoc="0" locked="0" layoutInCell="1" allowOverlap="1" wp14:anchorId="77E21907" wp14:editId="37E722DF">
                <wp:simplePos x="0" y="0"/>
                <wp:positionH relativeFrom="column">
                  <wp:posOffset>890270</wp:posOffset>
                </wp:positionH>
                <wp:positionV relativeFrom="paragraph">
                  <wp:posOffset>440689</wp:posOffset>
                </wp:positionV>
                <wp:extent cx="4886325" cy="0"/>
                <wp:effectExtent l="0" t="0" r="28575" b="19050"/>
                <wp:wrapNone/>
                <wp:docPr id="7"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6325" cy="0"/>
                        </a:xfrm>
                        <a:prstGeom prst="straightConnector1">
                          <a:avLst/>
                        </a:prstGeom>
                        <a:noFill/>
                        <a:ln w="9525">
                          <a:solidFill>
                            <a:srgbClr val="002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0BAA4D0" id="_x0000_t32" coordsize="21600,21600" o:spt="32" o:oned="t" path="m,l21600,21600e" filled="f">
                <v:path arrowok="t" fillok="f" o:connecttype="none"/>
                <o:lock v:ext="edit" shapetype="t"/>
              </v:shapetype>
              <v:shape id="AutoShape 8" o:spid="_x0000_s1026" type="#_x0000_t32" style="position:absolute;margin-left:70.1pt;margin-top:34.7pt;width:384.75pt;height:0;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" strokecolor="#002060"/>
            </w:pict>
          </mc:Fallback>
        </mc:AlternateContent>
      </w:r>
      <w:r w:rsidR="00D21D93" w:rsidRPr="00402350">
        <w:rPr>
          <w:rFonts w:asciiTheme="minorHAnsi" w:hAnsiTheme="minorHAnsi"/>
          <w:b/>
          <w:sz w:val="20"/>
          <w:szCs w:val="20"/>
        </w:rPr>
        <w:t>Research by the Australian Bureau of Agricultural</w:t>
      </w:r>
      <w:r w:rsidR="00220447" w:rsidRPr="00402350">
        <w:rPr>
          <w:rFonts w:asciiTheme="minorHAnsi" w:hAnsiTheme="minorHAnsi"/>
          <w:b/>
          <w:sz w:val="20"/>
          <w:szCs w:val="20"/>
        </w:rPr>
        <w:br/>
      </w:r>
      <w:r w:rsidR="007E5D1E" w:rsidRPr="00402350">
        <w:rPr>
          <w:rFonts w:asciiTheme="minorHAnsi" w:hAnsiTheme="minorHAnsi"/>
          <w:b/>
          <w:sz w:val="20"/>
          <w:szCs w:val="20"/>
        </w:rPr>
        <w:t>a</w:t>
      </w:r>
      <w:r w:rsidR="00D21D93" w:rsidRPr="00402350">
        <w:rPr>
          <w:rFonts w:asciiTheme="minorHAnsi" w:hAnsiTheme="minorHAnsi"/>
          <w:b/>
          <w:sz w:val="20"/>
          <w:szCs w:val="20"/>
        </w:rPr>
        <w:t>nd Resource Economics and Sciences</w:t>
      </w:r>
    </w:p>
    <w:p w14:paraId="12B86507" w14:textId="0455F5BB" w:rsidR="00D21D93" w:rsidRDefault="0063766A" w:rsidP="00CD1F38">
      <w:pPr>
        <w:pStyle w:val="Titlepageauthor"/>
        <w:ind w:left="1843"/>
        <w:jc w:val="right"/>
      </w:pPr>
      <w:r>
        <w:t>Research report 17.2</w:t>
      </w:r>
    </w:p>
    <w:p w14:paraId="47088480" w14:textId="63C1CA47" w:rsidR="00434FB6" w:rsidRDefault="002046F6" w:rsidP="00B733D0">
      <w:pPr>
        <w:pStyle w:val="Titlepagedate"/>
      </w:pPr>
      <w:r>
        <w:t>July</w:t>
      </w:r>
      <w:r w:rsidR="00A82ABB">
        <w:t xml:space="preserve"> </w:t>
      </w:r>
      <w:r w:rsidR="00F902D7">
        <w:t>201</w:t>
      </w:r>
      <w:r w:rsidR="00E43054">
        <w:t>7</w:t>
      </w:r>
    </w:p>
    <w:p w14:paraId="0C38BA84" w14:textId="100CBB83" w:rsidR="001707C6" w:rsidRDefault="001707C6" w:rsidP="00B733D0">
      <w:pPr>
        <w:pStyle w:val="Titlepagedate"/>
      </w:pPr>
      <w:r w:rsidRPr="001707C6">
        <w:rPr>
          <w:noProof/>
          <w:lang w:eastAsia="en-AU"/>
        </w:rPr>
        <w:drawing>
          <wp:anchor distT="0" distB="0" distL="114300" distR="114300" simplePos="0" relativeHeight="251663360" behindDoc="0" locked="0" layoutInCell="1" allowOverlap="1" wp14:anchorId="0DB4A82A" wp14:editId="448DFD74">
            <wp:simplePos x="0" y="0"/>
            <wp:positionH relativeFrom="margin">
              <wp:align>center</wp:align>
            </wp:positionH>
            <wp:positionV relativeFrom="paragraph">
              <wp:posOffset>118764</wp:posOffset>
            </wp:positionV>
            <wp:extent cx="4486940" cy="4486940"/>
            <wp:effectExtent l="0" t="0" r="0" b="0"/>
            <wp:wrapNone/>
            <wp:docPr id="5" name="Picture 5" descr="\\Act001cl06fs02\abares_data$\ProductivityAndWaterAndSocial\Infrastructure\_Projects\Supply chain margins\Margins - in progress\Farm Surve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ct001cl06fs02\abares_data$\ProductivityAndWaterAndSocial\Infrastructure\_Projects\Supply chain margins\Margins - in progress\Farm Survey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86940" cy="4486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764534" w14:textId="0BF6A460" w:rsidR="001707C6" w:rsidRDefault="001707C6" w:rsidP="00B733D0">
      <w:pPr>
        <w:pStyle w:val="Titlepagedate"/>
      </w:pPr>
    </w:p>
    <w:p w14:paraId="2C2649E5" w14:textId="034A50DF" w:rsidR="003C413C" w:rsidRDefault="003C413C" w:rsidP="001707C6">
      <w:pPr>
        <w:pStyle w:val="BodyText1"/>
      </w:pPr>
    </w:p>
    <w:p w14:paraId="53ED9DE6" w14:textId="72CDB46F" w:rsidR="00DA47A7" w:rsidRDefault="00DA47A7" w:rsidP="00D12DC2">
      <w:pPr>
        <w:pStyle w:val="BodyText1"/>
        <w:rPr>
          <w:sz w:val="19"/>
        </w:rPr>
      </w:pPr>
      <w:r>
        <w:br w:type="page"/>
      </w:r>
    </w:p>
    <w:p w14:paraId="5DCF53E0" w14:textId="66EB7EC2" w:rsidR="001B25C5" w:rsidRDefault="001B25C5" w:rsidP="001B25C5">
      <w:pPr>
        <w:pStyle w:val="Tabletext"/>
      </w:pPr>
      <w:r>
        <w:lastRenderedPageBreak/>
        <w:t>© Commonwealth of Australia 201</w:t>
      </w:r>
      <w:r w:rsidR="00745D27">
        <w:t>7</w:t>
      </w:r>
    </w:p>
    <w:p w14:paraId="75D1919D" w14:textId="77777777" w:rsidR="005F3A45" w:rsidRDefault="005F3A45" w:rsidP="001B25C5">
      <w:pPr>
        <w:pStyle w:val="Tabletext"/>
      </w:pPr>
    </w:p>
    <w:p w14:paraId="03CC1AB1" w14:textId="77777777" w:rsidR="001B25C5" w:rsidRDefault="001B25C5" w:rsidP="001B25C5">
      <w:pPr>
        <w:pStyle w:val="Copyrightpageheading"/>
      </w:pPr>
      <w:r>
        <w:t>Ownership of intellectual property rights</w:t>
      </w:r>
    </w:p>
    <w:p w14:paraId="4828A615" w14:textId="77777777" w:rsidR="001B25C5" w:rsidRDefault="001B25C5" w:rsidP="001B25C5">
      <w:pPr>
        <w:pStyle w:val="Tabletext"/>
      </w:pPr>
      <w:r>
        <w:t>Unless otherwise noted, copyright (and any other intellectual property rights, if any) in this publication is owned by the Commonwealth of Australia (referred to as the Commonwealth).</w:t>
      </w:r>
    </w:p>
    <w:p w14:paraId="5A784CCB" w14:textId="77777777" w:rsidR="001B25C5" w:rsidRDefault="001B25C5" w:rsidP="001B25C5">
      <w:pPr>
        <w:pStyle w:val="Copyrightpageheading"/>
      </w:pPr>
      <w:proofErr w:type="gramStart"/>
      <w:r>
        <w:t>Creative Commons</w:t>
      </w:r>
      <w:proofErr w:type="gramEnd"/>
      <w:r>
        <w:t xml:space="preserve"> licence</w:t>
      </w:r>
    </w:p>
    <w:p w14:paraId="5426E76E" w14:textId="45C20F58" w:rsidR="001B25C5" w:rsidRDefault="001B25C5" w:rsidP="001B25C5">
      <w:pPr>
        <w:pStyle w:val="Tabletext"/>
      </w:pPr>
      <w:r>
        <w:t>All material in this publication is licensed under a Creative Commons Attribution 3.0 Australia Licence, save for content supplied by third parties, logos and the Commonwealth Coat of Arms.</w:t>
      </w:r>
    </w:p>
    <w:p w14:paraId="73893F13" w14:textId="77777777" w:rsidR="001B25C5" w:rsidRDefault="001B25C5" w:rsidP="001B25C5">
      <w:pPr>
        <w:pStyle w:val="Tabletext"/>
      </w:pPr>
      <w:r>
        <w:rPr>
          <w:noProof/>
          <w:lang w:eastAsia="en-AU"/>
        </w:rPr>
        <w:drawing>
          <wp:inline distT="0" distB="0" distL="0" distR="0" wp14:anchorId="39318C45" wp14:editId="3CDF02F1">
            <wp:extent cx="723265" cy="254635"/>
            <wp:effectExtent l="0" t="0" r="0" b="0"/>
            <wp:docPr id="1" name="Picture 1" descr="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3265" cy="254635"/>
                    </a:xfrm>
                    <a:prstGeom prst="rect">
                      <a:avLst/>
                    </a:prstGeom>
                    <a:noFill/>
                    <a:ln>
                      <a:noFill/>
                    </a:ln>
                  </pic:spPr>
                </pic:pic>
              </a:graphicData>
            </a:graphic>
          </wp:inline>
        </w:drawing>
      </w:r>
    </w:p>
    <w:p w14:paraId="7345AD1E" w14:textId="77777777" w:rsidR="001B25C5" w:rsidRDefault="001B25C5" w:rsidP="001B25C5">
      <w:pPr>
        <w:pStyle w:val="Tabletext"/>
      </w:pPr>
      <w:r>
        <w:t xml:space="preserve">Creative Commons Attribution 3.0 Australia Licence is a standard form licence agreement that allows you to copy, distribute, transmit and adapt this publication provided you attribute the work. A summary of the licence terms is available from </w:t>
      </w:r>
      <w:hyperlink r:id="rId11" w:history="1">
        <w:r>
          <w:rPr>
            <w:rStyle w:val="Hyperlink"/>
          </w:rPr>
          <w:t>creativecommons.org/licenses/by/3.0/au/</w:t>
        </w:r>
        <w:proofErr w:type="spellStart"/>
        <w:r>
          <w:rPr>
            <w:rStyle w:val="Hyperlink"/>
          </w:rPr>
          <w:t>deed.en</w:t>
        </w:r>
        <w:proofErr w:type="spellEnd"/>
      </w:hyperlink>
      <w:r>
        <w:t xml:space="preserve">. The full licence terms are available from </w:t>
      </w:r>
      <w:hyperlink r:id="rId12" w:history="1">
        <w:r>
          <w:rPr>
            <w:rStyle w:val="Hyperlink"/>
          </w:rPr>
          <w:t>creativecommons.org/licenses/by/3.0/au/</w:t>
        </w:r>
        <w:proofErr w:type="spellStart"/>
        <w:r>
          <w:rPr>
            <w:rStyle w:val="Hyperlink"/>
          </w:rPr>
          <w:t>legalcode</w:t>
        </w:r>
        <w:proofErr w:type="spellEnd"/>
      </w:hyperlink>
      <w:r>
        <w:t>.</w:t>
      </w:r>
    </w:p>
    <w:p w14:paraId="530F436B" w14:textId="77777777" w:rsidR="001B25C5" w:rsidRDefault="001B25C5" w:rsidP="001B25C5">
      <w:pPr>
        <w:pStyle w:val="Copyrightpageheading"/>
      </w:pPr>
      <w:r>
        <w:t>Cataloguing data</w:t>
      </w:r>
    </w:p>
    <w:p w14:paraId="0B9A52E4" w14:textId="4E6F86D9" w:rsidR="001B25C5" w:rsidRDefault="001B22EA" w:rsidP="001B25C5">
      <w:pPr>
        <w:pStyle w:val="Tabletext"/>
      </w:pPr>
      <w:r w:rsidRPr="001B22EA">
        <w:t xml:space="preserve">Sandley, B, </w:t>
      </w:r>
      <w:r w:rsidR="00DE0239" w:rsidRPr="001B22EA">
        <w:t xml:space="preserve">Goesch, T &amp; </w:t>
      </w:r>
      <w:r w:rsidRPr="001B22EA">
        <w:t>Nguyen, N 201</w:t>
      </w:r>
      <w:r w:rsidR="00E43054">
        <w:t>7</w:t>
      </w:r>
      <w:r w:rsidRPr="001B22EA">
        <w:t xml:space="preserve">, </w:t>
      </w:r>
      <w:r w:rsidRPr="001B22EA">
        <w:rPr>
          <w:rStyle w:val="Italic"/>
        </w:rPr>
        <w:t>Farm share and price spread in Australia's sugar supply chain</w:t>
      </w:r>
      <w:r w:rsidRPr="001B22EA">
        <w:t xml:space="preserve">, </w:t>
      </w:r>
      <w:r w:rsidR="001B25C5" w:rsidRPr="001B22EA">
        <w:t xml:space="preserve">ABARES research </w:t>
      </w:r>
      <w:r w:rsidR="001B25C5" w:rsidRPr="00F914FA">
        <w:t>report</w:t>
      </w:r>
      <w:r w:rsidR="00F31A3E" w:rsidRPr="00F914FA">
        <w:t xml:space="preserve"> </w:t>
      </w:r>
      <w:r w:rsidR="00F914FA" w:rsidRPr="00F914FA">
        <w:t>17.2</w:t>
      </w:r>
      <w:r w:rsidR="001B25C5" w:rsidRPr="00F914FA">
        <w:t>,</w:t>
      </w:r>
      <w:r w:rsidR="001B25C5" w:rsidRPr="001B22EA">
        <w:t xml:space="preserve"> Canberra, </w:t>
      </w:r>
      <w:r w:rsidR="002046F6">
        <w:t>July</w:t>
      </w:r>
      <w:r w:rsidR="001B25C5" w:rsidRPr="001B22EA">
        <w:t>. CC BY 3.0.</w:t>
      </w:r>
    </w:p>
    <w:p w14:paraId="65F801A5" w14:textId="77777777" w:rsidR="00F914FA" w:rsidRPr="001B22EA" w:rsidRDefault="00F914FA" w:rsidP="001B25C5">
      <w:pPr>
        <w:pStyle w:val="Tabletext"/>
      </w:pPr>
    </w:p>
    <w:p w14:paraId="3A6AA156" w14:textId="33B60B37" w:rsidR="00350B96" w:rsidRDefault="001B25C5" w:rsidP="001B25C5">
      <w:pPr>
        <w:pStyle w:val="Tabletext"/>
      </w:pPr>
      <w:r>
        <w:t xml:space="preserve">ISSN </w:t>
      </w:r>
      <w:r w:rsidR="00F914FA" w:rsidRPr="00102E57">
        <w:t>1447-8358</w:t>
      </w:r>
    </w:p>
    <w:p w14:paraId="27BC3609" w14:textId="1493B5DE" w:rsidR="00350B96" w:rsidRDefault="001B25C5" w:rsidP="001B25C5">
      <w:pPr>
        <w:pStyle w:val="Tabletext"/>
      </w:pPr>
      <w:r>
        <w:t>IS</w:t>
      </w:r>
      <w:r w:rsidR="0060073B">
        <w:t xml:space="preserve">BN </w:t>
      </w:r>
      <w:r w:rsidR="00F914FA" w:rsidRPr="00F914FA">
        <w:t>978-1-74323-332-0 </w:t>
      </w:r>
    </w:p>
    <w:p w14:paraId="7A71D048" w14:textId="3631A1DC" w:rsidR="001B25C5" w:rsidRDefault="0060073B" w:rsidP="001B25C5">
      <w:pPr>
        <w:pStyle w:val="Tabletext"/>
      </w:pPr>
      <w:r>
        <w:t xml:space="preserve">ABARES project </w:t>
      </w:r>
      <w:r w:rsidR="000741D5">
        <w:t>43434</w:t>
      </w:r>
    </w:p>
    <w:p w14:paraId="7B505243" w14:textId="77777777" w:rsidR="00350B96" w:rsidRDefault="00350B96" w:rsidP="001B25C5">
      <w:pPr>
        <w:pStyle w:val="Tabletext"/>
      </w:pPr>
    </w:p>
    <w:p w14:paraId="5370DB23" w14:textId="77777777" w:rsidR="001B25C5" w:rsidRDefault="001B25C5" w:rsidP="001B25C5">
      <w:pPr>
        <w:pStyle w:val="Copyrightpageheading"/>
      </w:pPr>
      <w:r>
        <w:t>Internet</w:t>
      </w:r>
    </w:p>
    <w:p w14:paraId="2B939EDD" w14:textId="05F9FFD2" w:rsidR="001B25C5" w:rsidRDefault="001B22EA" w:rsidP="001B25C5">
      <w:pPr>
        <w:pStyle w:val="Tabletext"/>
      </w:pPr>
      <w:r w:rsidRPr="00F41C65">
        <w:rPr>
          <w:rStyle w:val="Italic"/>
        </w:rPr>
        <w:t>Farm share and price spread in Australia’s sugar supply chain</w:t>
      </w:r>
      <w:r>
        <w:t xml:space="preserve"> </w:t>
      </w:r>
      <w:r w:rsidR="001B25C5">
        <w:t xml:space="preserve">is available at </w:t>
      </w:r>
      <w:hyperlink r:id="rId13" w:history="1">
        <w:r w:rsidR="00F85544">
          <w:rPr>
            <w:rStyle w:val="Hyperlink"/>
          </w:rPr>
          <w:t>agriculture.gov.au/</w:t>
        </w:r>
        <w:proofErr w:type="spellStart"/>
        <w:r w:rsidR="00F85544">
          <w:rPr>
            <w:rStyle w:val="Hyperlink"/>
          </w:rPr>
          <w:t>abares</w:t>
        </w:r>
        <w:proofErr w:type="spellEnd"/>
        <w:r w:rsidR="00F85544">
          <w:rPr>
            <w:rStyle w:val="Hyperlink"/>
          </w:rPr>
          <w:t>/publications</w:t>
        </w:r>
      </w:hyperlink>
      <w:r w:rsidR="00745D27">
        <w:rPr>
          <w:rStyle w:val="Hyperlink"/>
        </w:rPr>
        <w:t>/</w:t>
      </w:r>
      <w:r w:rsidR="00745D27" w:rsidRPr="00745D27">
        <w:rPr>
          <w:rStyle w:val="Hyperlink"/>
        </w:rPr>
        <w:t>publications</w:t>
      </w:r>
      <w:r w:rsidR="001B25C5">
        <w:t>.</w:t>
      </w:r>
    </w:p>
    <w:p w14:paraId="5F57AB57" w14:textId="77777777" w:rsidR="0063766A" w:rsidRDefault="0063766A" w:rsidP="001B25C5">
      <w:pPr>
        <w:pStyle w:val="Tabletext"/>
      </w:pPr>
    </w:p>
    <w:p w14:paraId="59425342" w14:textId="77777777" w:rsidR="001B25C5" w:rsidRDefault="001B25C5" w:rsidP="00350B96">
      <w:pPr>
        <w:pStyle w:val="Tabletext"/>
        <w:spacing w:before="0" w:after="0"/>
        <w:rPr>
          <w:rStyle w:val="Bold"/>
        </w:rPr>
      </w:pPr>
      <w:r>
        <w:rPr>
          <w:rStyle w:val="Bold"/>
        </w:rPr>
        <w:t>Australian Bureau of Agricultural and Resource Economics and Sciences (ABARES)</w:t>
      </w:r>
    </w:p>
    <w:p w14:paraId="6080F60C" w14:textId="77777777" w:rsidR="00350B96" w:rsidRDefault="003E567F" w:rsidP="00350B96">
      <w:pPr>
        <w:pStyle w:val="Tabletext"/>
        <w:spacing w:before="0" w:after="0"/>
      </w:pPr>
      <w:r>
        <w:t>Postal address GPO Box 858</w:t>
      </w:r>
      <w:r w:rsidR="001B25C5">
        <w:t xml:space="preserve"> Canberra ACT </w:t>
      </w:r>
      <w:r>
        <w:t>2601</w:t>
      </w:r>
    </w:p>
    <w:p w14:paraId="4E6C19DA" w14:textId="77777777" w:rsidR="00350B96" w:rsidRDefault="003E567F" w:rsidP="00350B96">
      <w:pPr>
        <w:pStyle w:val="Tabletext"/>
        <w:spacing w:before="0" w:after="0"/>
      </w:pPr>
      <w:r>
        <w:t>Switchboard +61 2 6272 3933</w:t>
      </w:r>
    </w:p>
    <w:p w14:paraId="2428A4D3" w14:textId="77777777" w:rsidR="00350B96" w:rsidRDefault="001B25C5" w:rsidP="00350B96">
      <w:pPr>
        <w:pStyle w:val="Tabletext"/>
        <w:spacing w:before="0" w:after="0"/>
      </w:pPr>
      <w:r>
        <w:t xml:space="preserve">Email </w:t>
      </w:r>
      <w:hyperlink r:id="rId14" w:history="1">
        <w:r w:rsidR="00F85544">
          <w:rPr>
            <w:rStyle w:val="Hyperlink"/>
          </w:rPr>
          <w:t>info.abares@agriculture.gov.au</w:t>
        </w:r>
      </w:hyperlink>
    </w:p>
    <w:p w14:paraId="46480A52" w14:textId="77777777" w:rsidR="001B25C5" w:rsidRDefault="001B25C5" w:rsidP="00350B96">
      <w:pPr>
        <w:pStyle w:val="Tabletext"/>
        <w:spacing w:before="0"/>
        <w:rPr>
          <w:rStyle w:val="Hyperlink"/>
        </w:rPr>
      </w:pPr>
      <w:r>
        <w:t xml:space="preserve">Web </w:t>
      </w:r>
      <w:hyperlink r:id="rId15" w:history="1">
        <w:r w:rsidR="00F85544">
          <w:rPr>
            <w:rStyle w:val="Hyperlink"/>
          </w:rPr>
          <w:t>agriculture.gov.au/</w:t>
        </w:r>
        <w:proofErr w:type="spellStart"/>
        <w:r w:rsidR="00F85544">
          <w:rPr>
            <w:rStyle w:val="Hyperlink"/>
          </w:rPr>
          <w:t>abares</w:t>
        </w:r>
        <w:proofErr w:type="spellEnd"/>
      </w:hyperlink>
    </w:p>
    <w:p w14:paraId="21B2B1B2" w14:textId="77777777" w:rsidR="0063766A" w:rsidRDefault="0063766A" w:rsidP="00350B96">
      <w:pPr>
        <w:pStyle w:val="Tabletext"/>
        <w:spacing w:before="0"/>
      </w:pPr>
    </w:p>
    <w:p w14:paraId="54C0B332" w14:textId="77777777" w:rsidR="001B25C5" w:rsidRDefault="001B25C5" w:rsidP="001B25C5">
      <w:pPr>
        <w:pStyle w:val="Tabletext"/>
      </w:pPr>
      <w:r>
        <w:t xml:space="preserve">Inquiries about the licence and any use of this document should be sent to </w:t>
      </w:r>
      <w:hyperlink r:id="rId16" w:history="1">
        <w:r w:rsidR="00F85544">
          <w:rPr>
            <w:rStyle w:val="Hyperlink"/>
          </w:rPr>
          <w:t>copyright@agriculture.gov.au</w:t>
        </w:r>
      </w:hyperlink>
      <w:r>
        <w:t>.</w:t>
      </w:r>
    </w:p>
    <w:p w14:paraId="674581E8" w14:textId="77777777" w:rsidR="00551259" w:rsidRDefault="00551259" w:rsidP="001B25C5">
      <w:pPr>
        <w:pStyle w:val="Tabletext"/>
      </w:pPr>
    </w:p>
    <w:p w14:paraId="7FA762F9" w14:textId="77777777" w:rsidR="001B25C5" w:rsidRDefault="001B25C5" w:rsidP="001B25C5">
      <w:pPr>
        <w:pStyle w:val="Tabletext"/>
      </w:pPr>
      <w:r>
        <w:t>The Australian Government acting through the Department of Agriculture</w:t>
      </w:r>
      <w:r w:rsidR="000F1571">
        <w:t xml:space="preserve"> and Water Resources</w:t>
      </w:r>
      <w:r>
        <w:t xml:space="preserve">, represented by the Australian Bureau of Agricultural and Resource Economics and Sciences, has exercised due care and skill in preparing and compiling the information and data in this publication. Notwithstanding, the </w:t>
      </w:r>
      <w:r w:rsidR="000F1571">
        <w:t>Department of Agriculture and Water Resources</w:t>
      </w:r>
      <w:r>
        <w:t>, ABARES, its employees and advisers disclaim all liability, including for negligence and for any loss, damage, injury, expense or cost incurred by any person as a result o</w:t>
      </w:r>
      <w:r w:rsidR="00D313EC">
        <w:t xml:space="preserve">f accessing, using or relying </w:t>
      </w:r>
      <w:r>
        <w:t>on information or data in this publication to the maximum extent permitted by law.</w:t>
      </w:r>
    </w:p>
    <w:p w14:paraId="70957DD1" w14:textId="77777777" w:rsidR="00551259" w:rsidRDefault="00551259" w:rsidP="001B25C5">
      <w:pPr>
        <w:pStyle w:val="Tabletext"/>
      </w:pPr>
    </w:p>
    <w:p w14:paraId="538CD42E" w14:textId="77777777" w:rsidR="001B25C5" w:rsidRPr="001B25C5" w:rsidRDefault="001B25C5" w:rsidP="001B25C5">
      <w:pPr>
        <w:pStyle w:val="Tabletext"/>
        <w:rPr>
          <w:rStyle w:val="Bold"/>
        </w:rPr>
      </w:pPr>
      <w:r w:rsidRPr="001B25C5">
        <w:rPr>
          <w:rStyle w:val="Bold"/>
        </w:rPr>
        <w:t>Acknowledgements</w:t>
      </w:r>
    </w:p>
    <w:p w14:paraId="73F2460C" w14:textId="56828E7D" w:rsidR="001B22EA" w:rsidRPr="00DD4572" w:rsidRDefault="001B22EA" w:rsidP="001B22EA">
      <w:pPr>
        <w:pStyle w:val="Tabletext"/>
      </w:pPr>
      <w:r w:rsidRPr="00DD4572">
        <w:t>The authors t</w:t>
      </w:r>
      <w:r w:rsidR="00F31A3E">
        <w:t xml:space="preserve">hank </w:t>
      </w:r>
      <w:bookmarkStart w:id="0" w:name="_GoBack"/>
      <w:bookmarkEnd w:id="0"/>
      <w:r w:rsidR="00F31A3E">
        <w:t xml:space="preserve">Richard Green, </w:t>
      </w:r>
      <w:r w:rsidRPr="00DD4572">
        <w:t xml:space="preserve">Haydn Valle </w:t>
      </w:r>
      <w:r w:rsidR="00F31A3E">
        <w:t xml:space="preserve">and David Mobsby </w:t>
      </w:r>
      <w:r w:rsidRPr="00DD4572">
        <w:t xml:space="preserve">for assistance in compiling the data, Neil Thompson and Ben Agbenyegah for reviewing earlier analysis and </w:t>
      </w:r>
      <w:r w:rsidR="009A4E4C" w:rsidRPr="00DD4572">
        <w:t xml:space="preserve">David Galeano </w:t>
      </w:r>
      <w:r w:rsidRPr="00DD4572">
        <w:t xml:space="preserve">and </w:t>
      </w:r>
      <w:r w:rsidR="009A4E4C" w:rsidRPr="00DD4572">
        <w:t xml:space="preserve">Peter Gooday </w:t>
      </w:r>
      <w:r w:rsidRPr="00DD4572">
        <w:t xml:space="preserve">for their comments on this report. The </w:t>
      </w:r>
      <w:r w:rsidR="007B6D18" w:rsidRPr="00DD4572">
        <w:t>authors</w:t>
      </w:r>
      <w:r w:rsidRPr="00DD4572">
        <w:t xml:space="preserve"> </w:t>
      </w:r>
      <w:r w:rsidR="00765A1C" w:rsidRPr="00DD4572">
        <w:t>wo</w:t>
      </w:r>
      <w:r w:rsidR="00765A1C">
        <w:t>ul</w:t>
      </w:r>
      <w:r w:rsidR="00765A1C" w:rsidRPr="00DD4572">
        <w:t xml:space="preserve">d </w:t>
      </w:r>
      <w:r w:rsidRPr="00DD4572">
        <w:t>also like to thank Warren Males from Canegrowers and Jim Crane</w:t>
      </w:r>
      <w:r w:rsidR="007B6D18" w:rsidRPr="00DD4572">
        <w:t xml:space="preserve"> and Dominic Nolan</w:t>
      </w:r>
      <w:r w:rsidRPr="00DD4572">
        <w:t xml:space="preserve"> from the Australian Sugar Milling Council for their comments.</w:t>
      </w:r>
    </w:p>
    <w:p w14:paraId="5CB4CDF0" w14:textId="08A9C4DF" w:rsidR="001B25C5" w:rsidRPr="00CF26FD" w:rsidRDefault="001B25C5" w:rsidP="001B25C5">
      <w:pPr>
        <w:pStyle w:val="Tabletext"/>
        <w:rPr>
          <w:rStyle w:val="Dummytext"/>
        </w:rPr>
      </w:pPr>
    </w:p>
    <w:p w14:paraId="1F4D593D" w14:textId="77777777" w:rsidR="00626FAB" w:rsidRPr="00626FAB" w:rsidRDefault="00626FAB" w:rsidP="00626FAB">
      <w:pPr>
        <w:pStyle w:val="BodyText1"/>
      </w:pPr>
    </w:p>
    <w:p w14:paraId="756545F5" w14:textId="77777777" w:rsidR="00626FAB" w:rsidRDefault="00626FAB" w:rsidP="00A56A8A">
      <w:pPr>
        <w:pStyle w:val="BodyText1"/>
        <w:sectPr w:rsidR="00626FAB" w:rsidSect="004C1FC9">
          <w:pgSz w:w="11906" w:h="16838"/>
          <w:pgMar w:top="1247" w:right="1418" w:bottom="1418" w:left="1418" w:header="510" w:footer="709" w:gutter="0"/>
          <w:pgNumType w:start="1"/>
          <w:cols w:space="708"/>
          <w:docGrid w:linePitch="360"/>
        </w:sectPr>
      </w:pPr>
    </w:p>
    <w:sdt>
      <w:sdtPr>
        <w:rPr>
          <w:rFonts w:ascii="Calibri" w:eastAsia="Calibri" w:hAnsi="Calibri" w:cs="Times New Roman"/>
          <w:b/>
          <w:bCs w:val="0"/>
          <w:noProof/>
          <w:color w:val="000000" w:themeColor="text1"/>
          <w:sz w:val="22"/>
          <w:szCs w:val="22"/>
          <w:shd w:val="clear" w:color="auto" w:fill="FFFF00"/>
          <w:lang w:val="en-AU" w:eastAsia="en-US"/>
        </w:rPr>
        <w:id w:val="785527796"/>
        <w:docPartObj>
          <w:docPartGallery w:val="Table of Contents"/>
          <w:docPartUnique/>
        </w:docPartObj>
      </w:sdtPr>
      <w:sdtEndPr>
        <w:rPr>
          <w:rFonts w:ascii="Cambria" w:hAnsi="Cambria"/>
          <w:b w:val="0"/>
        </w:rPr>
      </w:sdtEndPr>
      <w:sdtContent>
        <w:p w14:paraId="297BDDAE" w14:textId="77777777" w:rsidR="00E53AF0" w:rsidRDefault="00E53AF0" w:rsidP="00C05EF5">
          <w:pPr>
            <w:pStyle w:val="TOCHeading"/>
          </w:pPr>
          <w:r w:rsidRPr="00770540">
            <w:t>Contents</w:t>
          </w:r>
        </w:p>
        <w:p w14:paraId="13393981" w14:textId="77777777" w:rsidR="00F77D9B" w:rsidRDefault="000A7BBE">
          <w:pPr>
            <w:pStyle w:val="TOC1"/>
            <w:rPr>
              <w:rFonts w:asciiTheme="minorHAnsi" w:eastAsiaTheme="minorEastAsia" w:hAnsiTheme="minorHAnsi" w:cstheme="minorBidi"/>
              <w:color w:val="auto"/>
              <w:lang w:eastAsia="en-AU"/>
            </w:rPr>
          </w:pPr>
          <w:r>
            <w:fldChar w:fldCharType="begin"/>
          </w:r>
          <w:r w:rsidR="00B20859">
            <w:instrText xml:space="preserve"> TOC \o "1</w:instrText>
          </w:r>
          <w:r w:rsidR="002B2A7C">
            <w:instrText>-</w:instrText>
          </w:r>
          <w:r w:rsidR="004257E3">
            <w:instrText>2</w:instrText>
          </w:r>
          <w:r w:rsidR="002B2A7C">
            <w:instrText>" \h \z \t "Heading 1,</w:instrText>
          </w:r>
          <w:r w:rsidR="007D54E2">
            <w:instrText>4</w:instrText>
          </w:r>
          <w:r w:rsidR="002B2A7C">
            <w:instrText>,Heading 1  (</w:instrText>
          </w:r>
          <w:r w:rsidR="00B20859">
            <w:instrText>un</w:instrText>
          </w:r>
          <w:r w:rsidR="002B2A7C">
            <w:instrText>numbered chapter),1</w:instrText>
          </w:r>
          <w:r w:rsidR="00B20859">
            <w:instrText>,Heading 2,2</w:instrText>
          </w:r>
          <w:r w:rsidR="002B2A7C">
            <w:instrText xml:space="preserve">" </w:instrText>
          </w:r>
          <w:r>
            <w:fldChar w:fldCharType="separate"/>
          </w:r>
          <w:hyperlink w:anchor="_Toc487721237" w:history="1">
            <w:r w:rsidR="00F77D9B" w:rsidRPr="00502C65">
              <w:rPr>
                <w:rStyle w:val="Hyperlink"/>
              </w:rPr>
              <w:t>Summary</w:t>
            </w:r>
            <w:r w:rsidR="00F77D9B">
              <w:rPr>
                <w:webHidden/>
              </w:rPr>
              <w:tab/>
            </w:r>
            <w:r w:rsidR="00F77D9B">
              <w:rPr>
                <w:webHidden/>
              </w:rPr>
              <w:fldChar w:fldCharType="begin"/>
            </w:r>
            <w:r w:rsidR="00F77D9B">
              <w:rPr>
                <w:webHidden/>
              </w:rPr>
              <w:instrText xml:space="preserve"> PAGEREF _Toc487721237 \h </w:instrText>
            </w:r>
            <w:r w:rsidR="00F77D9B">
              <w:rPr>
                <w:webHidden/>
              </w:rPr>
            </w:r>
            <w:r w:rsidR="00F77D9B">
              <w:rPr>
                <w:webHidden/>
              </w:rPr>
              <w:fldChar w:fldCharType="separate"/>
            </w:r>
            <w:r w:rsidR="00F77D9B">
              <w:rPr>
                <w:webHidden/>
              </w:rPr>
              <w:t>1</w:t>
            </w:r>
            <w:r w:rsidR="00F77D9B">
              <w:rPr>
                <w:webHidden/>
              </w:rPr>
              <w:fldChar w:fldCharType="end"/>
            </w:r>
          </w:hyperlink>
        </w:p>
        <w:p w14:paraId="155FC283" w14:textId="77777777" w:rsidR="00F77D9B" w:rsidRDefault="00623A3F">
          <w:pPr>
            <w:pStyle w:val="TOC4"/>
            <w:rPr>
              <w:rFonts w:asciiTheme="minorHAnsi" w:eastAsiaTheme="minorEastAsia" w:hAnsiTheme="minorHAnsi" w:cstheme="minorBidi"/>
              <w:b w:val="0"/>
              <w:noProof/>
              <w:color w:val="auto"/>
              <w:lang w:eastAsia="en-AU"/>
            </w:rPr>
          </w:pPr>
          <w:hyperlink w:anchor="_Toc487721238" w:history="1">
            <w:r w:rsidR="00F77D9B" w:rsidRPr="00502C65">
              <w:rPr>
                <w:rStyle w:val="Hyperlink"/>
                <w:noProof/>
              </w:rPr>
              <w:t>1</w:t>
            </w:r>
            <w:r w:rsidR="00F77D9B">
              <w:rPr>
                <w:rFonts w:asciiTheme="minorHAnsi" w:eastAsiaTheme="minorEastAsia" w:hAnsiTheme="minorHAnsi" w:cstheme="minorBidi"/>
                <w:b w:val="0"/>
                <w:noProof/>
                <w:color w:val="auto"/>
                <w:lang w:eastAsia="en-AU"/>
              </w:rPr>
              <w:tab/>
            </w:r>
            <w:r w:rsidR="00F77D9B" w:rsidRPr="00502C65">
              <w:rPr>
                <w:rStyle w:val="Hyperlink"/>
                <w:noProof/>
              </w:rPr>
              <w:t>Introduction</w:t>
            </w:r>
            <w:r w:rsidR="00F77D9B">
              <w:rPr>
                <w:noProof/>
                <w:webHidden/>
              </w:rPr>
              <w:tab/>
            </w:r>
            <w:r w:rsidR="00F77D9B">
              <w:rPr>
                <w:noProof/>
                <w:webHidden/>
              </w:rPr>
              <w:fldChar w:fldCharType="begin"/>
            </w:r>
            <w:r w:rsidR="00F77D9B">
              <w:rPr>
                <w:noProof/>
                <w:webHidden/>
              </w:rPr>
              <w:instrText xml:space="preserve"> PAGEREF _Toc487721238 \h </w:instrText>
            </w:r>
            <w:r w:rsidR="00F77D9B">
              <w:rPr>
                <w:noProof/>
                <w:webHidden/>
              </w:rPr>
            </w:r>
            <w:r w:rsidR="00F77D9B">
              <w:rPr>
                <w:noProof/>
                <w:webHidden/>
              </w:rPr>
              <w:fldChar w:fldCharType="separate"/>
            </w:r>
            <w:r w:rsidR="00F77D9B">
              <w:rPr>
                <w:noProof/>
                <w:webHidden/>
              </w:rPr>
              <w:t>3</w:t>
            </w:r>
            <w:r w:rsidR="00F77D9B">
              <w:rPr>
                <w:noProof/>
                <w:webHidden/>
              </w:rPr>
              <w:fldChar w:fldCharType="end"/>
            </w:r>
          </w:hyperlink>
        </w:p>
        <w:p w14:paraId="15B5DB5B" w14:textId="77777777" w:rsidR="00F77D9B" w:rsidRDefault="00623A3F">
          <w:pPr>
            <w:pStyle w:val="TOC4"/>
            <w:rPr>
              <w:rFonts w:asciiTheme="minorHAnsi" w:eastAsiaTheme="minorEastAsia" w:hAnsiTheme="minorHAnsi" w:cstheme="minorBidi"/>
              <w:b w:val="0"/>
              <w:noProof/>
              <w:color w:val="auto"/>
              <w:lang w:eastAsia="en-AU"/>
            </w:rPr>
          </w:pPr>
          <w:hyperlink w:anchor="_Toc487721239" w:history="1">
            <w:r w:rsidR="00F77D9B" w:rsidRPr="00502C65">
              <w:rPr>
                <w:rStyle w:val="Hyperlink"/>
                <w:noProof/>
              </w:rPr>
              <w:t>2</w:t>
            </w:r>
            <w:r w:rsidR="00F77D9B">
              <w:rPr>
                <w:rFonts w:asciiTheme="minorHAnsi" w:eastAsiaTheme="minorEastAsia" w:hAnsiTheme="minorHAnsi" w:cstheme="minorBidi"/>
                <w:b w:val="0"/>
                <w:noProof/>
                <w:color w:val="auto"/>
                <w:lang w:eastAsia="en-AU"/>
              </w:rPr>
              <w:tab/>
            </w:r>
            <w:r w:rsidR="00F77D9B" w:rsidRPr="00502C65">
              <w:rPr>
                <w:rStyle w:val="Hyperlink"/>
                <w:noProof/>
              </w:rPr>
              <w:t>Background</w:t>
            </w:r>
            <w:r w:rsidR="00F77D9B">
              <w:rPr>
                <w:noProof/>
                <w:webHidden/>
              </w:rPr>
              <w:tab/>
            </w:r>
            <w:r w:rsidR="00F77D9B">
              <w:rPr>
                <w:noProof/>
                <w:webHidden/>
              </w:rPr>
              <w:fldChar w:fldCharType="begin"/>
            </w:r>
            <w:r w:rsidR="00F77D9B">
              <w:rPr>
                <w:noProof/>
                <w:webHidden/>
              </w:rPr>
              <w:instrText xml:space="preserve"> PAGEREF _Toc487721239 \h </w:instrText>
            </w:r>
            <w:r w:rsidR="00F77D9B">
              <w:rPr>
                <w:noProof/>
                <w:webHidden/>
              </w:rPr>
            </w:r>
            <w:r w:rsidR="00F77D9B">
              <w:rPr>
                <w:noProof/>
                <w:webHidden/>
              </w:rPr>
              <w:fldChar w:fldCharType="separate"/>
            </w:r>
            <w:r w:rsidR="00F77D9B">
              <w:rPr>
                <w:noProof/>
                <w:webHidden/>
              </w:rPr>
              <w:t>5</w:t>
            </w:r>
            <w:r w:rsidR="00F77D9B">
              <w:rPr>
                <w:noProof/>
                <w:webHidden/>
              </w:rPr>
              <w:fldChar w:fldCharType="end"/>
            </w:r>
          </w:hyperlink>
        </w:p>
        <w:p w14:paraId="7CACFBA3" w14:textId="77777777" w:rsidR="00F77D9B" w:rsidRDefault="00623A3F">
          <w:pPr>
            <w:pStyle w:val="TOC2"/>
            <w:rPr>
              <w:rFonts w:asciiTheme="minorHAnsi" w:eastAsiaTheme="minorEastAsia" w:hAnsiTheme="minorHAnsi" w:cstheme="minorBidi"/>
              <w:color w:val="auto"/>
              <w:szCs w:val="22"/>
              <w:lang w:eastAsia="en-AU"/>
            </w:rPr>
          </w:pPr>
          <w:hyperlink w:anchor="_Toc487721240" w:history="1">
            <w:r w:rsidR="00F77D9B" w:rsidRPr="00502C65">
              <w:rPr>
                <w:rStyle w:val="Hyperlink"/>
              </w:rPr>
              <w:t>The Australian sugar industry</w:t>
            </w:r>
            <w:r w:rsidR="00F77D9B">
              <w:rPr>
                <w:webHidden/>
              </w:rPr>
              <w:tab/>
            </w:r>
            <w:r w:rsidR="00F77D9B">
              <w:rPr>
                <w:webHidden/>
              </w:rPr>
              <w:fldChar w:fldCharType="begin"/>
            </w:r>
            <w:r w:rsidR="00F77D9B">
              <w:rPr>
                <w:webHidden/>
              </w:rPr>
              <w:instrText xml:space="preserve"> PAGEREF _Toc487721240 \h </w:instrText>
            </w:r>
            <w:r w:rsidR="00F77D9B">
              <w:rPr>
                <w:webHidden/>
              </w:rPr>
            </w:r>
            <w:r w:rsidR="00F77D9B">
              <w:rPr>
                <w:webHidden/>
              </w:rPr>
              <w:fldChar w:fldCharType="separate"/>
            </w:r>
            <w:r w:rsidR="00F77D9B">
              <w:rPr>
                <w:webHidden/>
              </w:rPr>
              <w:t>5</w:t>
            </w:r>
            <w:r w:rsidR="00F77D9B">
              <w:rPr>
                <w:webHidden/>
              </w:rPr>
              <w:fldChar w:fldCharType="end"/>
            </w:r>
          </w:hyperlink>
        </w:p>
        <w:p w14:paraId="133E844B" w14:textId="77777777" w:rsidR="00F77D9B" w:rsidRDefault="00623A3F">
          <w:pPr>
            <w:pStyle w:val="TOC2"/>
            <w:rPr>
              <w:rFonts w:asciiTheme="minorHAnsi" w:eastAsiaTheme="minorEastAsia" w:hAnsiTheme="minorHAnsi" w:cstheme="minorBidi"/>
              <w:color w:val="auto"/>
              <w:szCs w:val="22"/>
              <w:lang w:eastAsia="en-AU"/>
            </w:rPr>
          </w:pPr>
          <w:hyperlink w:anchor="_Toc487721241" w:history="1">
            <w:r w:rsidR="00F77D9B" w:rsidRPr="00502C65">
              <w:rPr>
                <w:rStyle w:val="Hyperlink"/>
              </w:rPr>
              <w:t>The sugar value chain</w:t>
            </w:r>
            <w:r w:rsidR="00F77D9B">
              <w:rPr>
                <w:webHidden/>
              </w:rPr>
              <w:tab/>
            </w:r>
            <w:r w:rsidR="00F77D9B">
              <w:rPr>
                <w:webHidden/>
              </w:rPr>
              <w:fldChar w:fldCharType="begin"/>
            </w:r>
            <w:r w:rsidR="00F77D9B">
              <w:rPr>
                <w:webHidden/>
              </w:rPr>
              <w:instrText xml:space="preserve"> PAGEREF _Toc487721241 \h </w:instrText>
            </w:r>
            <w:r w:rsidR="00F77D9B">
              <w:rPr>
                <w:webHidden/>
              </w:rPr>
            </w:r>
            <w:r w:rsidR="00F77D9B">
              <w:rPr>
                <w:webHidden/>
              </w:rPr>
              <w:fldChar w:fldCharType="separate"/>
            </w:r>
            <w:r w:rsidR="00F77D9B">
              <w:rPr>
                <w:webHidden/>
              </w:rPr>
              <w:t>6</w:t>
            </w:r>
            <w:r w:rsidR="00F77D9B">
              <w:rPr>
                <w:webHidden/>
              </w:rPr>
              <w:fldChar w:fldCharType="end"/>
            </w:r>
          </w:hyperlink>
        </w:p>
        <w:p w14:paraId="6065F042" w14:textId="77777777" w:rsidR="00F77D9B" w:rsidRDefault="00623A3F">
          <w:pPr>
            <w:pStyle w:val="TOC4"/>
            <w:rPr>
              <w:rFonts w:asciiTheme="minorHAnsi" w:eastAsiaTheme="minorEastAsia" w:hAnsiTheme="minorHAnsi" w:cstheme="minorBidi"/>
              <w:b w:val="0"/>
              <w:noProof/>
              <w:color w:val="auto"/>
              <w:lang w:eastAsia="en-AU"/>
            </w:rPr>
          </w:pPr>
          <w:hyperlink w:anchor="_Toc487721242" w:history="1">
            <w:r w:rsidR="00F77D9B" w:rsidRPr="00502C65">
              <w:rPr>
                <w:rStyle w:val="Hyperlink"/>
                <w:noProof/>
              </w:rPr>
              <w:t>3</w:t>
            </w:r>
            <w:r w:rsidR="00F77D9B">
              <w:rPr>
                <w:rFonts w:asciiTheme="minorHAnsi" w:eastAsiaTheme="minorEastAsia" w:hAnsiTheme="minorHAnsi" w:cstheme="minorBidi"/>
                <w:b w:val="0"/>
                <w:noProof/>
                <w:color w:val="auto"/>
                <w:lang w:eastAsia="en-AU"/>
              </w:rPr>
              <w:tab/>
            </w:r>
            <w:r w:rsidR="00F77D9B" w:rsidRPr="00502C65">
              <w:rPr>
                <w:rStyle w:val="Hyperlink"/>
                <w:noProof/>
              </w:rPr>
              <w:t>Data sources and limitations</w:t>
            </w:r>
            <w:r w:rsidR="00F77D9B">
              <w:rPr>
                <w:noProof/>
                <w:webHidden/>
              </w:rPr>
              <w:tab/>
            </w:r>
            <w:r w:rsidR="00F77D9B">
              <w:rPr>
                <w:noProof/>
                <w:webHidden/>
              </w:rPr>
              <w:fldChar w:fldCharType="begin"/>
            </w:r>
            <w:r w:rsidR="00F77D9B">
              <w:rPr>
                <w:noProof/>
                <w:webHidden/>
              </w:rPr>
              <w:instrText xml:space="preserve"> PAGEREF _Toc487721242 \h </w:instrText>
            </w:r>
            <w:r w:rsidR="00F77D9B">
              <w:rPr>
                <w:noProof/>
                <w:webHidden/>
              </w:rPr>
            </w:r>
            <w:r w:rsidR="00F77D9B">
              <w:rPr>
                <w:noProof/>
                <w:webHidden/>
              </w:rPr>
              <w:fldChar w:fldCharType="separate"/>
            </w:r>
            <w:r w:rsidR="00F77D9B">
              <w:rPr>
                <w:noProof/>
                <w:webHidden/>
              </w:rPr>
              <w:t>11</w:t>
            </w:r>
            <w:r w:rsidR="00F77D9B">
              <w:rPr>
                <w:noProof/>
                <w:webHidden/>
              </w:rPr>
              <w:fldChar w:fldCharType="end"/>
            </w:r>
          </w:hyperlink>
        </w:p>
        <w:p w14:paraId="41BF0AF7" w14:textId="77777777" w:rsidR="00F77D9B" w:rsidRDefault="00623A3F">
          <w:pPr>
            <w:pStyle w:val="TOC4"/>
            <w:rPr>
              <w:rFonts w:asciiTheme="minorHAnsi" w:eastAsiaTheme="minorEastAsia" w:hAnsiTheme="minorHAnsi" w:cstheme="minorBidi"/>
              <w:b w:val="0"/>
              <w:noProof/>
              <w:color w:val="auto"/>
              <w:lang w:eastAsia="en-AU"/>
            </w:rPr>
          </w:pPr>
          <w:hyperlink w:anchor="_Toc487721243" w:history="1">
            <w:r w:rsidR="00F77D9B" w:rsidRPr="00502C65">
              <w:rPr>
                <w:rStyle w:val="Hyperlink"/>
                <w:noProof/>
              </w:rPr>
              <w:t>4</w:t>
            </w:r>
            <w:r w:rsidR="00F77D9B">
              <w:rPr>
                <w:rFonts w:asciiTheme="minorHAnsi" w:eastAsiaTheme="minorEastAsia" w:hAnsiTheme="minorHAnsi" w:cstheme="minorBidi"/>
                <w:b w:val="0"/>
                <w:noProof/>
                <w:color w:val="auto"/>
                <w:lang w:eastAsia="en-AU"/>
              </w:rPr>
              <w:tab/>
            </w:r>
            <w:r w:rsidR="00F77D9B" w:rsidRPr="00502C65">
              <w:rPr>
                <w:rStyle w:val="Hyperlink"/>
                <w:noProof/>
              </w:rPr>
              <w:t>Price movements</w:t>
            </w:r>
            <w:r w:rsidR="00F77D9B">
              <w:rPr>
                <w:noProof/>
                <w:webHidden/>
              </w:rPr>
              <w:tab/>
            </w:r>
            <w:r w:rsidR="00F77D9B">
              <w:rPr>
                <w:noProof/>
                <w:webHidden/>
              </w:rPr>
              <w:fldChar w:fldCharType="begin"/>
            </w:r>
            <w:r w:rsidR="00F77D9B">
              <w:rPr>
                <w:noProof/>
                <w:webHidden/>
              </w:rPr>
              <w:instrText xml:space="preserve"> PAGEREF _Toc487721243 \h </w:instrText>
            </w:r>
            <w:r w:rsidR="00F77D9B">
              <w:rPr>
                <w:noProof/>
                <w:webHidden/>
              </w:rPr>
            </w:r>
            <w:r w:rsidR="00F77D9B">
              <w:rPr>
                <w:noProof/>
                <w:webHidden/>
              </w:rPr>
              <w:fldChar w:fldCharType="separate"/>
            </w:r>
            <w:r w:rsidR="00F77D9B">
              <w:rPr>
                <w:noProof/>
                <w:webHidden/>
              </w:rPr>
              <w:t>13</w:t>
            </w:r>
            <w:r w:rsidR="00F77D9B">
              <w:rPr>
                <w:noProof/>
                <w:webHidden/>
              </w:rPr>
              <w:fldChar w:fldCharType="end"/>
            </w:r>
          </w:hyperlink>
        </w:p>
        <w:p w14:paraId="59146A4A" w14:textId="77777777" w:rsidR="00F77D9B" w:rsidRDefault="00623A3F">
          <w:pPr>
            <w:pStyle w:val="TOC2"/>
            <w:rPr>
              <w:rFonts w:asciiTheme="minorHAnsi" w:eastAsiaTheme="minorEastAsia" w:hAnsiTheme="minorHAnsi" w:cstheme="minorBidi"/>
              <w:color w:val="auto"/>
              <w:szCs w:val="22"/>
              <w:lang w:eastAsia="en-AU"/>
            </w:rPr>
          </w:pPr>
          <w:hyperlink w:anchor="_Toc487721244" w:history="1">
            <w:r w:rsidR="00F77D9B" w:rsidRPr="00502C65">
              <w:rPr>
                <w:rStyle w:val="Hyperlink"/>
              </w:rPr>
              <w:t>World prices of raw and refined sugar</w:t>
            </w:r>
            <w:r w:rsidR="00F77D9B">
              <w:rPr>
                <w:webHidden/>
              </w:rPr>
              <w:tab/>
            </w:r>
            <w:r w:rsidR="00F77D9B">
              <w:rPr>
                <w:webHidden/>
              </w:rPr>
              <w:fldChar w:fldCharType="begin"/>
            </w:r>
            <w:r w:rsidR="00F77D9B">
              <w:rPr>
                <w:webHidden/>
              </w:rPr>
              <w:instrText xml:space="preserve"> PAGEREF _Toc487721244 \h </w:instrText>
            </w:r>
            <w:r w:rsidR="00F77D9B">
              <w:rPr>
                <w:webHidden/>
              </w:rPr>
            </w:r>
            <w:r w:rsidR="00F77D9B">
              <w:rPr>
                <w:webHidden/>
              </w:rPr>
              <w:fldChar w:fldCharType="separate"/>
            </w:r>
            <w:r w:rsidR="00F77D9B">
              <w:rPr>
                <w:webHidden/>
              </w:rPr>
              <w:t>13</w:t>
            </w:r>
            <w:r w:rsidR="00F77D9B">
              <w:rPr>
                <w:webHidden/>
              </w:rPr>
              <w:fldChar w:fldCharType="end"/>
            </w:r>
          </w:hyperlink>
        </w:p>
        <w:p w14:paraId="7F3E7A70" w14:textId="77777777" w:rsidR="00F77D9B" w:rsidRDefault="00623A3F">
          <w:pPr>
            <w:pStyle w:val="TOC2"/>
            <w:rPr>
              <w:rFonts w:asciiTheme="minorHAnsi" w:eastAsiaTheme="minorEastAsia" w:hAnsiTheme="minorHAnsi" w:cstheme="minorBidi"/>
              <w:color w:val="auto"/>
              <w:szCs w:val="22"/>
              <w:lang w:eastAsia="en-AU"/>
            </w:rPr>
          </w:pPr>
          <w:hyperlink w:anchor="_Toc487721245" w:history="1">
            <w:r w:rsidR="00F77D9B" w:rsidRPr="00502C65">
              <w:rPr>
                <w:rStyle w:val="Hyperlink"/>
              </w:rPr>
              <w:t>Export price of raw sugar</w:t>
            </w:r>
            <w:r w:rsidR="00F77D9B">
              <w:rPr>
                <w:webHidden/>
              </w:rPr>
              <w:tab/>
            </w:r>
            <w:r w:rsidR="00F77D9B">
              <w:rPr>
                <w:webHidden/>
              </w:rPr>
              <w:fldChar w:fldCharType="begin"/>
            </w:r>
            <w:r w:rsidR="00F77D9B">
              <w:rPr>
                <w:webHidden/>
              </w:rPr>
              <w:instrText xml:space="preserve"> PAGEREF _Toc487721245 \h </w:instrText>
            </w:r>
            <w:r w:rsidR="00F77D9B">
              <w:rPr>
                <w:webHidden/>
              </w:rPr>
            </w:r>
            <w:r w:rsidR="00F77D9B">
              <w:rPr>
                <w:webHidden/>
              </w:rPr>
              <w:fldChar w:fldCharType="separate"/>
            </w:r>
            <w:r w:rsidR="00F77D9B">
              <w:rPr>
                <w:webHidden/>
              </w:rPr>
              <w:t>14</w:t>
            </w:r>
            <w:r w:rsidR="00F77D9B">
              <w:rPr>
                <w:webHidden/>
              </w:rPr>
              <w:fldChar w:fldCharType="end"/>
            </w:r>
          </w:hyperlink>
        </w:p>
        <w:p w14:paraId="1AEC0790" w14:textId="77777777" w:rsidR="00F77D9B" w:rsidRDefault="00623A3F">
          <w:pPr>
            <w:pStyle w:val="TOC2"/>
            <w:rPr>
              <w:rFonts w:asciiTheme="minorHAnsi" w:eastAsiaTheme="minorEastAsia" w:hAnsiTheme="minorHAnsi" w:cstheme="minorBidi"/>
              <w:color w:val="auto"/>
              <w:szCs w:val="22"/>
              <w:lang w:eastAsia="en-AU"/>
            </w:rPr>
          </w:pPr>
          <w:hyperlink w:anchor="_Toc487721246" w:history="1">
            <w:r w:rsidR="00F77D9B" w:rsidRPr="00502C65">
              <w:rPr>
                <w:rStyle w:val="Hyperlink"/>
              </w:rPr>
              <w:t>Farmgate price of sugar cane</w:t>
            </w:r>
            <w:r w:rsidR="00F77D9B">
              <w:rPr>
                <w:webHidden/>
              </w:rPr>
              <w:tab/>
            </w:r>
            <w:r w:rsidR="00F77D9B">
              <w:rPr>
                <w:webHidden/>
              </w:rPr>
              <w:fldChar w:fldCharType="begin"/>
            </w:r>
            <w:r w:rsidR="00F77D9B">
              <w:rPr>
                <w:webHidden/>
              </w:rPr>
              <w:instrText xml:space="preserve"> PAGEREF _Toc487721246 \h </w:instrText>
            </w:r>
            <w:r w:rsidR="00F77D9B">
              <w:rPr>
                <w:webHidden/>
              </w:rPr>
            </w:r>
            <w:r w:rsidR="00F77D9B">
              <w:rPr>
                <w:webHidden/>
              </w:rPr>
              <w:fldChar w:fldCharType="separate"/>
            </w:r>
            <w:r w:rsidR="00F77D9B">
              <w:rPr>
                <w:webHidden/>
              </w:rPr>
              <w:t>15</w:t>
            </w:r>
            <w:r w:rsidR="00F77D9B">
              <w:rPr>
                <w:webHidden/>
              </w:rPr>
              <w:fldChar w:fldCharType="end"/>
            </w:r>
          </w:hyperlink>
        </w:p>
        <w:p w14:paraId="6BEACFF0" w14:textId="77777777" w:rsidR="00F77D9B" w:rsidRDefault="00623A3F">
          <w:pPr>
            <w:pStyle w:val="TOC2"/>
            <w:rPr>
              <w:rFonts w:asciiTheme="minorHAnsi" w:eastAsiaTheme="minorEastAsia" w:hAnsiTheme="minorHAnsi" w:cstheme="minorBidi"/>
              <w:color w:val="auto"/>
              <w:szCs w:val="22"/>
              <w:lang w:eastAsia="en-AU"/>
            </w:rPr>
          </w:pPr>
          <w:hyperlink w:anchor="_Toc487721247" w:history="1">
            <w:r w:rsidR="00F77D9B" w:rsidRPr="00502C65">
              <w:rPr>
                <w:rStyle w:val="Hyperlink"/>
              </w:rPr>
              <w:t>Retail price of refined sugar</w:t>
            </w:r>
            <w:r w:rsidR="00F77D9B">
              <w:rPr>
                <w:webHidden/>
              </w:rPr>
              <w:tab/>
            </w:r>
            <w:r w:rsidR="00F77D9B">
              <w:rPr>
                <w:webHidden/>
              </w:rPr>
              <w:fldChar w:fldCharType="begin"/>
            </w:r>
            <w:r w:rsidR="00F77D9B">
              <w:rPr>
                <w:webHidden/>
              </w:rPr>
              <w:instrText xml:space="preserve"> PAGEREF _Toc487721247 \h </w:instrText>
            </w:r>
            <w:r w:rsidR="00F77D9B">
              <w:rPr>
                <w:webHidden/>
              </w:rPr>
            </w:r>
            <w:r w:rsidR="00F77D9B">
              <w:rPr>
                <w:webHidden/>
              </w:rPr>
              <w:fldChar w:fldCharType="separate"/>
            </w:r>
            <w:r w:rsidR="00F77D9B">
              <w:rPr>
                <w:webHidden/>
              </w:rPr>
              <w:t>16</w:t>
            </w:r>
            <w:r w:rsidR="00F77D9B">
              <w:rPr>
                <w:webHidden/>
              </w:rPr>
              <w:fldChar w:fldCharType="end"/>
            </w:r>
          </w:hyperlink>
        </w:p>
        <w:p w14:paraId="2A3825F8" w14:textId="77777777" w:rsidR="00F77D9B" w:rsidRDefault="00623A3F">
          <w:pPr>
            <w:pStyle w:val="TOC2"/>
            <w:rPr>
              <w:rFonts w:asciiTheme="minorHAnsi" w:eastAsiaTheme="minorEastAsia" w:hAnsiTheme="minorHAnsi" w:cstheme="minorBidi"/>
              <w:color w:val="auto"/>
              <w:szCs w:val="22"/>
              <w:lang w:eastAsia="en-AU"/>
            </w:rPr>
          </w:pPr>
          <w:hyperlink w:anchor="_Toc487721248" w:history="1">
            <w:r w:rsidR="00F77D9B" w:rsidRPr="00502C65">
              <w:rPr>
                <w:rStyle w:val="Hyperlink"/>
              </w:rPr>
              <w:t>Price indices</w:t>
            </w:r>
            <w:r w:rsidR="00F77D9B">
              <w:rPr>
                <w:webHidden/>
              </w:rPr>
              <w:tab/>
            </w:r>
            <w:r w:rsidR="00F77D9B">
              <w:rPr>
                <w:webHidden/>
              </w:rPr>
              <w:fldChar w:fldCharType="begin"/>
            </w:r>
            <w:r w:rsidR="00F77D9B">
              <w:rPr>
                <w:webHidden/>
              </w:rPr>
              <w:instrText xml:space="preserve"> PAGEREF _Toc487721248 \h </w:instrText>
            </w:r>
            <w:r w:rsidR="00F77D9B">
              <w:rPr>
                <w:webHidden/>
              </w:rPr>
            </w:r>
            <w:r w:rsidR="00F77D9B">
              <w:rPr>
                <w:webHidden/>
              </w:rPr>
              <w:fldChar w:fldCharType="separate"/>
            </w:r>
            <w:r w:rsidR="00F77D9B">
              <w:rPr>
                <w:webHidden/>
              </w:rPr>
              <w:t>16</w:t>
            </w:r>
            <w:r w:rsidR="00F77D9B">
              <w:rPr>
                <w:webHidden/>
              </w:rPr>
              <w:fldChar w:fldCharType="end"/>
            </w:r>
          </w:hyperlink>
        </w:p>
        <w:p w14:paraId="471577A1" w14:textId="77777777" w:rsidR="00F77D9B" w:rsidRDefault="00623A3F">
          <w:pPr>
            <w:pStyle w:val="TOC4"/>
            <w:rPr>
              <w:rFonts w:asciiTheme="minorHAnsi" w:eastAsiaTheme="minorEastAsia" w:hAnsiTheme="minorHAnsi" w:cstheme="minorBidi"/>
              <w:b w:val="0"/>
              <w:noProof/>
              <w:color w:val="auto"/>
              <w:lang w:eastAsia="en-AU"/>
            </w:rPr>
          </w:pPr>
          <w:hyperlink w:anchor="_Toc487721249" w:history="1">
            <w:r w:rsidR="00F77D9B" w:rsidRPr="00502C65">
              <w:rPr>
                <w:rStyle w:val="Hyperlink"/>
                <w:noProof/>
              </w:rPr>
              <w:t>5</w:t>
            </w:r>
            <w:r w:rsidR="00F77D9B">
              <w:rPr>
                <w:rFonts w:asciiTheme="minorHAnsi" w:eastAsiaTheme="minorEastAsia" w:hAnsiTheme="minorHAnsi" w:cstheme="minorBidi"/>
                <w:b w:val="0"/>
                <w:noProof/>
                <w:color w:val="auto"/>
                <w:lang w:eastAsia="en-AU"/>
              </w:rPr>
              <w:tab/>
            </w:r>
            <w:r w:rsidR="00F77D9B" w:rsidRPr="00502C65">
              <w:rPr>
                <w:rStyle w:val="Hyperlink"/>
                <w:noProof/>
              </w:rPr>
              <w:t>Farm share and price spread</w:t>
            </w:r>
            <w:r w:rsidR="00F77D9B">
              <w:rPr>
                <w:noProof/>
                <w:webHidden/>
              </w:rPr>
              <w:tab/>
            </w:r>
            <w:r w:rsidR="00F77D9B">
              <w:rPr>
                <w:noProof/>
                <w:webHidden/>
              </w:rPr>
              <w:fldChar w:fldCharType="begin"/>
            </w:r>
            <w:r w:rsidR="00F77D9B">
              <w:rPr>
                <w:noProof/>
                <w:webHidden/>
              </w:rPr>
              <w:instrText xml:space="preserve"> PAGEREF _Toc487721249 \h </w:instrText>
            </w:r>
            <w:r w:rsidR="00F77D9B">
              <w:rPr>
                <w:noProof/>
                <w:webHidden/>
              </w:rPr>
            </w:r>
            <w:r w:rsidR="00F77D9B">
              <w:rPr>
                <w:noProof/>
                <w:webHidden/>
              </w:rPr>
              <w:fldChar w:fldCharType="separate"/>
            </w:r>
            <w:r w:rsidR="00F77D9B">
              <w:rPr>
                <w:noProof/>
                <w:webHidden/>
              </w:rPr>
              <w:t>18</w:t>
            </w:r>
            <w:r w:rsidR="00F77D9B">
              <w:rPr>
                <w:noProof/>
                <w:webHidden/>
              </w:rPr>
              <w:fldChar w:fldCharType="end"/>
            </w:r>
          </w:hyperlink>
        </w:p>
        <w:p w14:paraId="1D9B41D8" w14:textId="77777777" w:rsidR="00F77D9B" w:rsidRDefault="00623A3F">
          <w:pPr>
            <w:pStyle w:val="TOC2"/>
            <w:rPr>
              <w:rFonts w:asciiTheme="minorHAnsi" w:eastAsiaTheme="minorEastAsia" w:hAnsiTheme="minorHAnsi" w:cstheme="minorBidi"/>
              <w:color w:val="auto"/>
              <w:szCs w:val="22"/>
              <w:lang w:eastAsia="en-AU"/>
            </w:rPr>
          </w:pPr>
          <w:hyperlink w:anchor="_Toc487721250" w:history="1">
            <w:r w:rsidR="00F77D9B" w:rsidRPr="00502C65">
              <w:rPr>
                <w:rStyle w:val="Hyperlink"/>
              </w:rPr>
              <w:t>Methodology</w:t>
            </w:r>
            <w:r w:rsidR="00F77D9B">
              <w:rPr>
                <w:webHidden/>
              </w:rPr>
              <w:tab/>
            </w:r>
            <w:r w:rsidR="00F77D9B">
              <w:rPr>
                <w:webHidden/>
              </w:rPr>
              <w:fldChar w:fldCharType="begin"/>
            </w:r>
            <w:r w:rsidR="00F77D9B">
              <w:rPr>
                <w:webHidden/>
              </w:rPr>
              <w:instrText xml:space="preserve"> PAGEREF _Toc487721250 \h </w:instrText>
            </w:r>
            <w:r w:rsidR="00F77D9B">
              <w:rPr>
                <w:webHidden/>
              </w:rPr>
            </w:r>
            <w:r w:rsidR="00F77D9B">
              <w:rPr>
                <w:webHidden/>
              </w:rPr>
              <w:fldChar w:fldCharType="separate"/>
            </w:r>
            <w:r w:rsidR="00F77D9B">
              <w:rPr>
                <w:webHidden/>
              </w:rPr>
              <w:t>18</w:t>
            </w:r>
            <w:r w:rsidR="00F77D9B">
              <w:rPr>
                <w:webHidden/>
              </w:rPr>
              <w:fldChar w:fldCharType="end"/>
            </w:r>
          </w:hyperlink>
        </w:p>
        <w:p w14:paraId="6839B397" w14:textId="77777777" w:rsidR="00F77D9B" w:rsidRDefault="00623A3F">
          <w:pPr>
            <w:pStyle w:val="TOC2"/>
            <w:rPr>
              <w:rFonts w:asciiTheme="minorHAnsi" w:eastAsiaTheme="minorEastAsia" w:hAnsiTheme="minorHAnsi" w:cstheme="minorBidi"/>
              <w:color w:val="auto"/>
              <w:szCs w:val="22"/>
              <w:lang w:eastAsia="en-AU"/>
            </w:rPr>
          </w:pPr>
          <w:hyperlink w:anchor="_Toc487721251" w:history="1">
            <w:r w:rsidR="00F77D9B" w:rsidRPr="00502C65">
              <w:rPr>
                <w:rStyle w:val="Hyperlink"/>
              </w:rPr>
              <w:t>Farm share of retail price</w:t>
            </w:r>
            <w:r w:rsidR="00F77D9B">
              <w:rPr>
                <w:webHidden/>
              </w:rPr>
              <w:tab/>
            </w:r>
            <w:r w:rsidR="00F77D9B">
              <w:rPr>
                <w:webHidden/>
              </w:rPr>
              <w:fldChar w:fldCharType="begin"/>
            </w:r>
            <w:r w:rsidR="00F77D9B">
              <w:rPr>
                <w:webHidden/>
              </w:rPr>
              <w:instrText xml:space="preserve"> PAGEREF _Toc487721251 \h </w:instrText>
            </w:r>
            <w:r w:rsidR="00F77D9B">
              <w:rPr>
                <w:webHidden/>
              </w:rPr>
            </w:r>
            <w:r w:rsidR="00F77D9B">
              <w:rPr>
                <w:webHidden/>
              </w:rPr>
              <w:fldChar w:fldCharType="separate"/>
            </w:r>
            <w:r w:rsidR="00F77D9B">
              <w:rPr>
                <w:webHidden/>
              </w:rPr>
              <w:t>19</w:t>
            </w:r>
            <w:r w:rsidR="00F77D9B">
              <w:rPr>
                <w:webHidden/>
              </w:rPr>
              <w:fldChar w:fldCharType="end"/>
            </w:r>
          </w:hyperlink>
        </w:p>
        <w:p w14:paraId="08AB8392" w14:textId="77777777" w:rsidR="00F77D9B" w:rsidRDefault="00623A3F">
          <w:pPr>
            <w:pStyle w:val="TOC2"/>
            <w:rPr>
              <w:rFonts w:asciiTheme="minorHAnsi" w:eastAsiaTheme="minorEastAsia" w:hAnsiTheme="minorHAnsi" w:cstheme="minorBidi"/>
              <w:color w:val="auto"/>
              <w:szCs w:val="22"/>
              <w:lang w:eastAsia="en-AU"/>
            </w:rPr>
          </w:pPr>
          <w:hyperlink w:anchor="_Toc487721252" w:history="1">
            <w:r w:rsidR="00F77D9B" w:rsidRPr="00502C65">
              <w:rPr>
                <w:rStyle w:val="Hyperlink"/>
              </w:rPr>
              <w:t>Farm share of export price</w:t>
            </w:r>
            <w:r w:rsidR="00F77D9B">
              <w:rPr>
                <w:webHidden/>
              </w:rPr>
              <w:tab/>
            </w:r>
            <w:r w:rsidR="00F77D9B">
              <w:rPr>
                <w:webHidden/>
              </w:rPr>
              <w:fldChar w:fldCharType="begin"/>
            </w:r>
            <w:r w:rsidR="00F77D9B">
              <w:rPr>
                <w:webHidden/>
              </w:rPr>
              <w:instrText xml:space="preserve"> PAGEREF _Toc487721252 \h </w:instrText>
            </w:r>
            <w:r w:rsidR="00F77D9B">
              <w:rPr>
                <w:webHidden/>
              </w:rPr>
            </w:r>
            <w:r w:rsidR="00F77D9B">
              <w:rPr>
                <w:webHidden/>
              </w:rPr>
              <w:fldChar w:fldCharType="separate"/>
            </w:r>
            <w:r w:rsidR="00F77D9B">
              <w:rPr>
                <w:webHidden/>
              </w:rPr>
              <w:t>20</w:t>
            </w:r>
            <w:r w:rsidR="00F77D9B">
              <w:rPr>
                <w:webHidden/>
              </w:rPr>
              <w:fldChar w:fldCharType="end"/>
            </w:r>
          </w:hyperlink>
        </w:p>
        <w:p w14:paraId="36E3381B" w14:textId="77777777" w:rsidR="00F77D9B" w:rsidRDefault="00623A3F">
          <w:pPr>
            <w:pStyle w:val="TOC2"/>
            <w:rPr>
              <w:rFonts w:asciiTheme="minorHAnsi" w:eastAsiaTheme="minorEastAsia" w:hAnsiTheme="minorHAnsi" w:cstheme="minorBidi"/>
              <w:color w:val="auto"/>
              <w:szCs w:val="22"/>
              <w:lang w:eastAsia="en-AU"/>
            </w:rPr>
          </w:pPr>
          <w:hyperlink w:anchor="_Toc487721253" w:history="1">
            <w:r w:rsidR="00F77D9B" w:rsidRPr="00502C65">
              <w:rPr>
                <w:rStyle w:val="Hyperlink"/>
              </w:rPr>
              <w:t>Comments on farm share</w:t>
            </w:r>
            <w:r w:rsidR="00F77D9B">
              <w:rPr>
                <w:webHidden/>
              </w:rPr>
              <w:tab/>
            </w:r>
            <w:r w:rsidR="00F77D9B">
              <w:rPr>
                <w:webHidden/>
              </w:rPr>
              <w:fldChar w:fldCharType="begin"/>
            </w:r>
            <w:r w:rsidR="00F77D9B">
              <w:rPr>
                <w:webHidden/>
              </w:rPr>
              <w:instrText xml:space="preserve"> PAGEREF _Toc487721253 \h </w:instrText>
            </w:r>
            <w:r w:rsidR="00F77D9B">
              <w:rPr>
                <w:webHidden/>
              </w:rPr>
            </w:r>
            <w:r w:rsidR="00F77D9B">
              <w:rPr>
                <w:webHidden/>
              </w:rPr>
              <w:fldChar w:fldCharType="separate"/>
            </w:r>
            <w:r w:rsidR="00F77D9B">
              <w:rPr>
                <w:webHidden/>
              </w:rPr>
              <w:t>20</w:t>
            </w:r>
            <w:r w:rsidR="00F77D9B">
              <w:rPr>
                <w:webHidden/>
              </w:rPr>
              <w:fldChar w:fldCharType="end"/>
            </w:r>
          </w:hyperlink>
        </w:p>
        <w:p w14:paraId="45EC22E6" w14:textId="77777777" w:rsidR="00F77D9B" w:rsidRDefault="00623A3F">
          <w:pPr>
            <w:pStyle w:val="TOC2"/>
            <w:rPr>
              <w:rFonts w:asciiTheme="minorHAnsi" w:eastAsiaTheme="minorEastAsia" w:hAnsiTheme="minorHAnsi" w:cstheme="minorBidi"/>
              <w:color w:val="auto"/>
              <w:szCs w:val="22"/>
              <w:lang w:eastAsia="en-AU"/>
            </w:rPr>
          </w:pPr>
          <w:hyperlink w:anchor="_Toc487721254" w:history="1">
            <w:r w:rsidR="00F77D9B" w:rsidRPr="00502C65">
              <w:rPr>
                <w:rStyle w:val="Hyperlink"/>
              </w:rPr>
              <w:t>Farm-to-retail price spread</w:t>
            </w:r>
            <w:r w:rsidR="00F77D9B">
              <w:rPr>
                <w:webHidden/>
              </w:rPr>
              <w:tab/>
            </w:r>
            <w:r w:rsidR="00F77D9B">
              <w:rPr>
                <w:webHidden/>
              </w:rPr>
              <w:fldChar w:fldCharType="begin"/>
            </w:r>
            <w:r w:rsidR="00F77D9B">
              <w:rPr>
                <w:webHidden/>
              </w:rPr>
              <w:instrText xml:space="preserve"> PAGEREF _Toc487721254 \h </w:instrText>
            </w:r>
            <w:r w:rsidR="00F77D9B">
              <w:rPr>
                <w:webHidden/>
              </w:rPr>
            </w:r>
            <w:r w:rsidR="00F77D9B">
              <w:rPr>
                <w:webHidden/>
              </w:rPr>
              <w:fldChar w:fldCharType="separate"/>
            </w:r>
            <w:r w:rsidR="00F77D9B">
              <w:rPr>
                <w:webHidden/>
              </w:rPr>
              <w:t>21</w:t>
            </w:r>
            <w:r w:rsidR="00F77D9B">
              <w:rPr>
                <w:webHidden/>
              </w:rPr>
              <w:fldChar w:fldCharType="end"/>
            </w:r>
          </w:hyperlink>
        </w:p>
        <w:p w14:paraId="0F03A926" w14:textId="77777777" w:rsidR="00F77D9B" w:rsidRDefault="00623A3F">
          <w:pPr>
            <w:pStyle w:val="TOC2"/>
            <w:rPr>
              <w:rFonts w:asciiTheme="minorHAnsi" w:eastAsiaTheme="minorEastAsia" w:hAnsiTheme="minorHAnsi" w:cstheme="minorBidi"/>
              <w:color w:val="auto"/>
              <w:szCs w:val="22"/>
              <w:lang w:eastAsia="en-AU"/>
            </w:rPr>
          </w:pPr>
          <w:hyperlink w:anchor="_Toc487721255" w:history="1">
            <w:r w:rsidR="00F77D9B" w:rsidRPr="00502C65">
              <w:rPr>
                <w:rStyle w:val="Hyperlink"/>
              </w:rPr>
              <w:t>Farm-to-export price spread</w:t>
            </w:r>
            <w:r w:rsidR="00F77D9B">
              <w:rPr>
                <w:webHidden/>
              </w:rPr>
              <w:tab/>
            </w:r>
            <w:r w:rsidR="00F77D9B">
              <w:rPr>
                <w:webHidden/>
              </w:rPr>
              <w:fldChar w:fldCharType="begin"/>
            </w:r>
            <w:r w:rsidR="00F77D9B">
              <w:rPr>
                <w:webHidden/>
              </w:rPr>
              <w:instrText xml:space="preserve"> PAGEREF _Toc487721255 \h </w:instrText>
            </w:r>
            <w:r w:rsidR="00F77D9B">
              <w:rPr>
                <w:webHidden/>
              </w:rPr>
            </w:r>
            <w:r w:rsidR="00F77D9B">
              <w:rPr>
                <w:webHidden/>
              </w:rPr>
              <w:fldChar w:fldCharType="separate"/>
            </w:r>
            <w:r w:rsidR="00F77D9B">
              <w:rPr>
                <w:webHidden/>
              </w:rPr>
              <w:t>21</w:t>
            </w:r>
            <w:r w:rsidR="00F77D9B">
              <w:rPr>
                <w:webHidden/>
              </w:rPr>
              <w:fldChar w:fldCharType="end"/>
            </w:r>
          </w:hyperlink>
        </w:p>
        <w:p w14:paraId="1A7CD73F" w14:textId="77777777" w:rsidR="00F77D9B" w:rsidRDefault="00623A3F">
          <w:pPr>
            <w:pStyle w:val="TOC2"/>
            <w:rPr>
              <w:rFonts w:asciiTheme="minorHAnsi" w:eastAsiaTheme="minorEastAsia" w:hAnsiTheme="minorHAnsi" w:cstheme="minorBidi"/>
              <w:color w:val="auto"/>
              <w:szCs w:val="22"/>
              <w:lang w:eastAsia="en-AU"/>
            </w:rPr>
          </w:pPr>
          <w:hyperlink w:anchor="_Toc487721256" w:history="1">
            <w:r w:rsidR="00F77D9B" w:rsidRPr="00502C65">
              <w:rPr>
                <w:rStyle w:val="Hyperlink"/>
              </w:rPr>
              <w:t>Comments on price spreads</w:t>
            </w:r>
            <w:r w:rsidR="00F77D9B">
              <w:rPr>
                <w:webHidden/>
              </w:rPr>
              <w:tab/>
            </w:r>
            <w:r w:rsidR="00F77D9B">
              <w:rPr>
                <w:webHidden/>
              </w:rPr>
              <w:fldChar w:fldCharType="begin"/>
            </w:r>
            <w:r w:rsidR="00F77D9B">
              <w:rPr>
                <w:webHidden/>
              </w:rPr>
              <w:instrText xml:space="preserve"> PAGEREF _Toc487721256 \h </w:instrText>
            </w:r>
            <w:r w:rsidR="00F77D9B">
              <w:rPr>
                <w:webHidden/>
              </w:rPr>
            </w:r>
            <w:r w:rsidR="00F77D9B">
              <w:rPr>
                <w:webHidden/>
              </w:rPr>
              <w:fldChar w:fldCharType="separate"/>
            </w:r>
            <w:r w:rsidR="00F77D9B">
              <w:rPr>
                <w:webHidden/>
              </w:rPr>
              <w:t>22</w:t>
            </w:r>
            <w:r w:rsidR="00F77D9B">
              <w:rPr>
                <w:webHidden/>
              </w:rPr>
              <w:fldChar w:fldCharType="end"/>
            </w:r>
          </w:hyperlink>
        </w:p>
        <w:p w14:paraId="425A4774" w14:textId="77777777" w:rsidR="00F77D9B" w:rsidRDefault="00623A3F">
          <w:pPr>
            <w:pStyle w:val="TOC2"/>
            <w:rPr>
              <w:rFonts w:asciiTheme="minorHAnsi" w:eastAsiaTheme="minorEastAsia" w:hAnsiTheme="minorHAnsi" w:cstheme="minorBidi"/>
              <w:color w:val="auto"/>
              <w:szCs w:val="22"/>
              <w:lang w:eastAsia="en-AU"/>
            </w:rPr>
          </w:pPr>
          <w:hyperlink w:anchor="_Toc487721257" w:history="1">
            <w:r w:rsidR="00F77D9B" w:rsidRPr="00502C65">
              <w:rPr>
                <w:rStyle w:val="Hyperlink"/>
              </w:rPr>
              <w:t>Further research</w:t>
            </w:r>
            <w:r w:rsidR="00F77D9B">
              <w:rPr>
                <w:webHidden/>
              </w:rPr>
              <w:tab/>
            </w:r>
            <w:r w:rsidR="00F77D9B">
              <w:rPr>
                <w:webHidden/>
              </w:rPr>
              <w:fldChar w:fldCharType="begin"/>
            </w:r>
            <w:r w:rsidR="00F77D9B">
              <w:rPr>
                <w:webHidden/>
              </w:rPr>
              <w:instrText xml:space="preserve"> PAGEREF _Toc487721257 \h </w:instrText>
            </w:r>
            <w:r w:rsidR="00F77D9B">
              <w:rPr>
                <w:webHidden/>
              </w:rPr>
            </w:r>
            <w:r w:rsidR="00F77D9B">
              <w:rPr>
                <w:webHidden/>
              </w:rPr>
              <w:fldChar w:fldCharType="separate"/>
            </w:r>
            <w:r w:rsidR="00F77D9B">
              <w:rPr>
                <w:webHidden/>
              </w:rPr>
              <w:t>22</w:t>
            </w:r>
            <w:r w:rsidR="00F77D9B">
              <w:rPr>
                <w:webHidden/>
              </w:rPr>
              <w:fldChar w:fldCharType="end"/>
            </w:r>
          </w:hyperlink>
        </w:p>
        <w:p w14:paraId="1C74167E" w14:textId="77777777" w:rsidR="00F77D9B" w:rsidRDefault="00623A3F">
          <w:pPr>
            <w:pStyle w:val="TOC1"/>
            <w:rPr>
              <w:rFonts w:asciiTheme="minorHAnsi" w:eastAsiaTheme="minorEastAsia" w:hAnsiTheme="minorHAnsi" w:cstheme="minorBidi"/>
              <w:color w:val="auto"/>
              <w:lang w:eastAsia="en-AU"/>
            </w:rPr>
          </w:pPr>
          <w:hyperlink w:anchor="_Toc487721258" w:history="1">
            <w:r w:rsidR="00F77D9B" w:rsidRPr="00502C65">
              <w:rPr>
                <w:rStyle w:val="Hyperlink"/>
              </w:rPr>
              <w:t>References</w:t>
            </w:r>
            <w:r w:rsidR="00F77D9B">
              <w:rPr>
                <w:webHidden/>
              </w:rPr>
              <w:tab/>
            </w:r>
            <w:r w:rsidR="00F77D9B">
              <w:rPr>
                <w:webHidden/>
              </w:rPr>
              <w:fldChar w:fldCharType="begin"/>
            </w:r>
            <w:r w:rsidR="00F77D9B">
              <w:rPr>
                <w:webHidden/>
              </w:rPr>
              <w:instrText xml:space="preserve"> PAGEREF _Toc487721258 \h </w:instrText>
            </w:r>
            <w:r w:rsidR="00F77D9B">
              <w:rPr>
                <w:webHidden/>
              </w:rPr>
            </w:r>
            <w:r w:rsidR="00F77D9B">
              <w:rPr>
                <w:webHidden/>
              </w:rPr>
              <w:fldChar w:fldCharType="separate"/>
            </w:r>
            <w:r w:rsidR="00F77D9B">
              <w:rPr>
                <w:webHidden/>
              </w:rPr>
              <w:t>24</w:t>
            </w:r>
            <w:r w:rsidR="00F77D9B">
              <w:rPr>
                <w:webHidden/>
              </w:rPr>
              <w:fldChar w:fldCharType="end"/>
            </w:r>
          </w:hyperlink>
        </w:p>
        <w:p w14:paraId="4ACB4EB4" w14:textId="77777777" w:rsidR="00E53AF0" w:rsidRPr="00B92A2C" w:rsidRDefault="000A7BBE">
          <w:pPr>
            <w:pStyle w:val="TOC1"/>
          </w:pPr>
          <w:r>
            <w:fldChar w:fldCharType="end"/>
          </w:r>
        </w:p>
      </w:sdtContent>
    </w:sdt>
    <w:p w14:paraId="74972B40" w14:textId="77777777" w:rsidR="00B92A2C" w:rsidRPr="00770540" w:rsidRDefault="00B92A2C" w:rsidP="00C05EF5">
      <w:pPr>
        <w:pStyle w:val="TOCHeading"/>
      </w:pPr>
      <w:r w:rsidRPr="00C05EF5">
        <w:t>Tables</w:t>
      </w:r>
    </w:p>
    <w:p w14:paraId="3E47C06E" w14:textId="77777777" w:rsidR="00F77D9B" w:rsidRDefault="000A7BBE">
      <w:pPr>
        <w:pStyle w:val="TableofFigures"/>
        <w:rPr>
          <w:rFonts w:asciiTheme="minorHAnsi" w:eastAsiaTheme="minorEastAsia" w:hAnsiTheme="minorHAnsi" w:cstheme="minorBidi"/>
          <w:color w:val="auto"/>
          <w:lang w:eastAsia="en-AU"/>
        </w:rPr>
      </w:pPr>
      <w:r w:rsidRPr="000B59F3">
        <w:rPr>
          <w:bCs/>
        </w:rPr>
        <w:fldChar w:fldCharType="begin"/>
      </w:r>
      <w:r w:rsidR="00826756" w:rsidRPr="000B59F3">
        <w:rPr>
          <w:bCs/>
        </w:rPr>
        <w:instrText xml:space="preserve"> TOC </w:instrText>
      </w:r>
      <w:r w:rsidR="00DF16D6" w:rsidRPr="000B59F3">
        <w:instrText>\h</w:instrText>
      </w:r>
      <w:r w:rsidR="00DF16D6" w:rsidRPr="000B59F3">
        <w:rPr>
          <w:bCs/>
        </w:rPr>
        <w:instrText xml:space="preserve"> </w:instrText>
      </w:r>
      <w:r w:rsidR="00826756" w:rsidRPr="000B59F3">
        <w:rPr>
          <w:bCs/>
        </w:rPr>
        <w:instrText>\z \c "Table"</w:instrText>
      </w:r>
      <w:r w:rsidRPr="000B59F3">
        <w:rPr>
          <w:bCs/>
        </w:rPr>
        <w:fldChar w:fldCharType="separate"/>
      </w:r>
      <w:hyperlink w:anchor="_Toc487721259" w:history="1">
        <w:r w:rsidR="00F77D9B" w:rsidRPr="007A4ACA">
          <w:rPr>
            <w:rStyle w:val="Hyperlink"/>
          </w:rPr>
          <w:t>Table 1 Mill (and mill owner), by growing region</w:t>
        </w:r>
        <w:r w:rsidR="00F77D9B">
          <w:rPr>
            <w:webHidden/>
          </w:rPr>
          <w:tab/>
        </w:r>
        <w:r w:rsidR="00F77D9B">
          <w:rPr>
            <w:webHidden/>
          </w:rPr>
          <w:fldChar w:fldCharType="begin"/>
        </w:r>
        <w:r w:rsidR="00F77D9B">
          <w:rPr>
            <w:webHidden/>
          </w:rPr>
          <w:instrText xml:space="preserve"> PAGEREF _Toc487721259 \h </w:instrText>
        </w:r>
        <w:r w:rsidR="00F77D9B">
          <w:rPr>
            <w:webHidden/>
          </w:rPr>
        </w:r>
        <w:r w:rsidR="00F77D9B">
          <w:rPr>
            <w:webHidden/>
          </w:rPr>
          <w:fldChar w:fldCharType="separate"/>
        </w:r>
        <w:r w:rsidR="00F77D9B">
          <w:rPr>
            <w:webHidden/>
          </w:rPr>
          <w:t>7</w:t>
        </w:r>
        <w:r w:rsidR="00F77D9B">
          <w:rPr>
            <w:webHidden/>
          </w:rPr>
          <w:fldChar w:fldCharType="end"/>
        </w:r>
      </w:hyperlink>
    </w:p>
    <w:p w14:paraId="518E1A8C" w14:textId="2B6344A0" w:rsidR="00281EA4" w:rsidRDefault="000A7BBE" w:rsidP="001C2B6D">
      <w:pPr>
        <w:pStyle w:val="TableofFigures"/>
        <w:ind w:left="0" w:firstLine="0"/>
      </w:pPr>
      <w:r w:rsidRPr="000B59F3">
        <w:rPr>
          <w:bCs/>
        </w:rPr>
        <w:fldChar w:fldCharType="end"/>
      </w:r>
    </w:p>
    <w:p w14:paraId="539D4426" w14:textId="77777777" w:rsidR="00F41278" w:rsidRPr="00770540" w:rsidRDefault="00F41278">
      <w:pPr>
        <w:pStyle w:val="TOCHeading"/>
      </w:pPr>
      <w:r w:rsidRPr="00770540">
        <w:t>Figures</w:t>
      </w:r>
    </w:p>
    <w:p w14:paraId="581E5587" w14:textId="77777777" w:rsidR="006D1605" w:rsidRDefault="000A7BBE">
      <w:pPr>
        <w:pStyle w:val="TableofFigures"/>
        <w:rPr>
          <w:rFonts w:asciiTheme="minorHAnsi" w:eastAsiaTheme="minorEastAsia" w:hAnsiTheme="minorHAnsi" w:cstheme="minorBidi"/>
          <w:color w:val="auto"/>
          <w:lang w:eastAsia="en-AU"/>
        </w:rPr>
      </w:pPr>
      <w:r w:rsidRPr="000B59F3">
        <w:rPr>
          <w:bCs/>
        </w:rPr>
        <w:fldChar w:fldCharType="begin"/>
      </w:r>
      <w:r w:rsidR="000A6EC2" w:rsidRPr="000B59F3">
        <w:rPr>
          <w:bCs/>
        </w:rPr>
        <w:instrText xml:space="preserve"> TOC </w:instrText>
      </w:r>
      <w:r w:rsidR="000A6EC2" w:rsidRPr="000B59F3">
        <w:instrText>\h</w:instrText>
      </w:r>
      <w:r w:rsidR="000A6EC2" w:rsidRPr="000B59F3">
        <w:rPr>
          <w:bCs/>
        </w:rPr>
        <w:instrText xml:space="preserve"> \z \c "Figure"</w:instrText>
      </w:r>
      <w:r w:rsidRPr="000B59F3">
        <w:rPr>
          <w:bCs/>
        </w:rPr>
        <w:fldChar w:fldCharType="separate"/>
      </w:r>
      <w:hyperlink w:anchor="_Toc488412506" w:history="1">
        <w:r w:rsidR="006D1605" w:rsidRPr="00AA5A48">
          <w:rPr>
            <w:rStyle w:val="Hyperlink"/>
          </w:rPr>
          <w:t>Figure 1 Sugar value chain</w:t>
        </w:r>
        <w:r w:rsidR="006D1605">
          <w:rPr>
            <w:webHidden/>
          </w:rPr>
          <w:tab/>
        </w:r>
        <w:r w:rsidR="006D1605">
          <w:rPr>
            <w:webHidden/>
          </w:rPr>
          <w:fldChar w:fldCharType="begin"/>
        </w:r>
        <w:r w:rsidR="006D1605">
          <w:rPr>
            <w:webHidden/>
          </w:rPr>
          <w:instrText xml:space="preserve"> PAGEREF _Toc488412506 \h </w:instrText>
        </w:r>
        <w:r w:rsidR="006D1605">
          <w:rPr>
            <w:webHidden/>
          </w:rPr>
        </w:r>
        <w:r w:rsidR="006D1605">
          <w:rPr>
            <w:webHidden/>
          </w:rPr>
          <w:fldChar w:fldCharType="separate"/>
        </w:r>
        <w:r w:rsidR="006D1605">
          <w:rPr>
            <w:webHidden/>
          </w:rPr>
          <w:t>6</w:t>
        </w:r>
        <w:r w:rsidR="006D1605">
          <w:rPr>
            <w:webHidden/>
          </w:rPr>
          <w:fldChar w:fldCharType="end"/>
        </w:r>
      </w:hyperlink>
    </w:p>
    <w:p w14:paraId="1EC40B64" w14:textId="77777777" w:rsidR="006D1605" w:rsidRDefault="00623A3F">
      <w:pPr>
        <w:pStyle w:val="TableofFigures"/>
        <w:rPr>
          <w:rFonts w:asciiTheme="minorHAnsi" w:eastAsiaTheme="minorEastAsia" w:hAnsiTheme="minorHAnsi" w:cstheme="minorBidi"/>
          <w:color w:val="auto"/>
          <w:lang w:eastAsia="en-AU"/>
        </w:rPr>
      </w:pPr>
      <w:hyperlink w:anchor="_Toc488412507" w:history="1">
        <w:r w:rsidR="006D1605" w:rsidRPr="00AA5A48">
          <w:rPr>
            <w:rStyle w:val="Hyperlink"/>
          </w:rPr>
          <w:t>Figure 2 Real prices of sugar and sugar cane, 1984–85 to 2014–15</w:t>
        </w:r>
        <w:r w:rsidR="006D1605">
          <w:rPr>
            <w:webHidden/>
          </w:rPr>
          <w:tab/>
        </w:r>
        <w:r w:rsidR="006D1605">
          <w:rPr>
            <w:webHidden/>
          </w:rPr>
          <w:fldChar w:fldCharType="begin"/>
        </w:r>
        <w:r w:rsidR="006D1605">
          <w:rPr>
            <w:webHidden/>
          </w:rPr>
          <w:instrText xml:space="preserve"> PAGEREF _Toc488412507 \h </w:instrText>
        </w:r>
        <w:r w:rsidR="006D1605">
          <w:rPr>
            <w:webHidden/>
          </w:rPr>
        </w:r>
        <w:r w:rsidR="006D1605">
          <w:rPr>
            <w:webHidden/>
          </w:rPr>
          <w:fldChar w:fldCharType="separate"/>
        </w:r>
        <w:r w:rsidR="006D1605">
          <w:rPr>
            <w:webHidden/>
          </w:rPr>
          <w:t>13</w:t>
        </w:r>
        <w:r w:rsidR="006D1605">
          <w:rPr>
            <w:webHidden/>
          </w:rPr>
          <w:fldChar w:fldCharType="end"/>
        </w:r>
      </w:hyperlink>
    </w:p>
    <w:p w14:paraId="61F5ABA8" w14:textId="77777777" w:rsidR="006D1605" w:rsidRDefault="00623A3F">
      <w:pPr>
        <w:pStyle w:val="TableofFigures"/>
        <w:rPr>
          <w:rFonts w:asciiTheme="minorHAnsi" w:eastAsiaTheme="minorEastAsia" w:hAnsiTheme="minorHAnsi" w:cstheme="minorBidi"/>
          <w:color w:val="auto"/>
          <w:lang w:eastAsia="en-AU"/>
        </w:rPr>
      </w:pPr>
      <w:hyperlink w:anchor="_Toc488412508" w:history="1">
        <w:r w:rsidR="006D1605" w:rsidRPr="00AA5A48">
          <w:rPr>
            <w:rStyle w:val="Hyperlink"/>
          </w:rPr>
          <w:t>Figure 3 Real sugar price indices, 1984–85 to 2014–15</w:t>
        </w:r>
        <w:r w:rsidR="006D1605">
          <w:rPr>
            <w:webHidden/>
          </w:rPr>
          <w:tab/>
        </w:r>
        <w:r w:rsidR="006D1605">
          <w:rPr>
            <w:webHidden/>
          </w:rPr>
          <w:fldChar w:fldCharType="begin"/>
        </w:r>
        <w:r w:rsidR="006D1605">
          <w:rPr>
            <w:webHidden/>
          </w:rPr>
          <w:instrText xml:space="preserve"> PAGEREF _Toc488412508 \h </w:instrText>
        </w:r>
        <w:r w:rsidR="006D1605">
          <w:rPr>
            <w:webHidden/>
          </w:rPr>
        </w:r>
        <w:r w:rsidR="006D1605">
          <w:rPr>
            <w:webHidden/>
          </w:rPr>
          <w:fldChar w:fldCharType="separate"/>
        </w:r>
        <w:r w:rsidR="006D1605">
          <w:rPr>
            <w:webHidden/>
          </w:rPr>
          <w:t>17</w:t>
        </w:r>
        <w:r w:rsidR="006D1605">
          <w:rPr>
            <w:webHidden/>
          </w:rPr>
          <w:fldChar w:fldCharType="end"/>
        </w:r>
      </w:hyperlink>
    </w:p>
    <w:p w14:paraId="28C72BF1" w14:textId="77777777" w:rsidR="006D1605" w:rsidRDefault="00623A3F">
      <w:pPr>
        <w:pStyle w:val="TableofFigures"/>
        <w:rPr>
          <w:rFonts w:asciiTheme="minorHAnsi" w:eastAsiaTheme="minorEastAsia" w:hAnsiTheme="minorHAnsi" w:cstheme="minorBidi"/>
          <w:color w:val="auto"/>
          <w:lang w:eastAsia="en-AU"/>
        </w:rPr>
      </w:pPr>
      <w:hyperlink w:anchor="_Toc488412509" w:history="1">
        <w:r w:rsidR="006D1605" w:rsidRPr="00AA5A48">
          <w:rPr>
            <w:rStyle w:val="Hyperlink"/>
          </w:rPr>
          <w:t>Figure 4 Farm share of retail price, sugar, 1984–85 to 2014–15</w:t>
        </w:r>
        <w:r w:rsidR="006D1605">
          <w:rPr>
            <w:webHidden/>
          </w:rPr>
          <w:tab/>
        </w:r>
        <w:r w:rsidR="006D1605">
          <w:rPr>
            <w:webHidden/>
          </w:rPr>
          <w:fldChar w:fldCharType="begin"/>
        </w:r>
        <w:r w:rsidR="006D1605">
          <w:rPr>
            <w:webHidden/>
          </w:rPr>
          <w:instrText xml:space="preserve"> PAGEREF _Toc488412509 \h </w:instrText>
        </w:r>
        <w:r w:rsidR="006D1605">
          <w:rPr>
            <w:webHidden/>
          </w:rPr>
        </w:r>
        <w:r w:rsidR="006D1605">
          <w:rPr>
            <w:webHidden/>
          </w:rPr>
          <w:fldChar w:fldCharType="separate"/>
        </w:r>
        <w:r w:rsidR="006D1605">
          <w:rPr>
            <w:webHidden/>
          </w:rPr>
          <w:t>19</w:t>
        </w:r>
        <w:r w:rsidR="006D1605">
          <w:rPr>
            <w:webHidden/>
          </w:rPr>
          <w:fldChar w:fldCharType="end"/>
        </w:r>
      </w:hyperlink>
    </w:p>
    <w:p w14:paraId="7BED8334" w14:textId="77777777" w:rsidR="006D1605" w:rsidRDefault="00623A3F">
      <w:pPr>
        <w:pStyle w:val="TableofFigures"/>
        <w:rPr>
          <w:rFonts w:asciiTheme="minorHAnsi" w:eastAsiaTheme="minorEastAsia" w:hAnsiTheme="minorHAnsi" w:cstheme="minorBidi"/>
          <w:color w:val="auto"/>
          <w:lang w:eastAsia="en-AU"/>
        </w:rPr>
      </w:pPr>
      <w:hyperlink w:anchor="_Toc488412510" w:history="1">
        <w:r w:rsidR="006D1605" w:rsidRPr="00AA5A48">
          <w:rPr>
            <w:rStyle w:val="Hyperlink"/>
          </w:rPr>
          <w:t>Figure 5 Farm share of export price, sugar, 1988–89 to 2014–15</w:t>
        </w:r>
        <w:r w:rsidR="006D1605">
          <w:rPr>
            <w:webHidden/>
          </w:rPr>
          <w:tab/>
        </w:r>
        <w:r w:rsidR="006D1605">
          <w:rPr>
            <w:webHidden/>
          </w:rPr>
          <w:fldChar w:fldCharType="begin"/>
        </w:r>
        <w:r w:rsidR="006D1605">
          <w:rPr>
            <w:webHidden/>
          </w:rPr>
          <w:instrText xml:space="preserve"> PAGEREF _Toc488412510 \h </w:instrText>
        </w:r>
        <w:r w:rsidR="006D1605">
          <w:rPr>
            <w:webHidden/>
          </w:rPr>
        </w:r>
        <w:r w:rsidR="006D1605">
          <w:rPr>
            <w:webHidden/>
          </w:rPr>
          <w:fldChar w:fldCharType="separate"/>
        </w:r>
        <w:r w:rsidR="006D1605">
          <w:rPr>
            <w:webHidden/>
          </w:rPr>
          <w:t>20</w:t>
        </w:r>
        <w:r w:rsidR="006D1605">
          <w:rPr>
            <w:webHidden/>
          </w:rPr>
          <w:fldChar w:fldCharType="end"/>
        </w:r>
      </w:hyperlink>
    </w:p>
    <w:p w14:paraId="61CF6D1B" w14:textId="77777777" w:rsidR="006D1605" w:rsidRDefault="00623A3F">
      <w:pPr>
        <w:pStyle w:val="TableofFigures"/>
        <w:rPr>
          <w:rFonts w:asciiTheme="minorHAnsi" w:eastAsiaTheme="minorEastAsia" w:hAnsiTheme="minorHAnsi" w:cstheme="minorBidi"/>
          <w:color w:val="auto"/>
          <w:lang w:eastAsia="en-AU"/>
        </w:rPr>
      </w:pPr>
      <w:hyperlink w:anchor="_Toc488412511" w:history="1">
        <w:r w:rsidR="006D1605" w:rsidRPr="00AA5A48">
          <w:rPr>
            <w:rStyle w:val="Hyperlink"/>
          </w:rPr>
          <w:t>Figure 6 Farm-to-retail price spread, sugar, 1984–85 to 2014–15</w:t>
        </w:r>
        <w:r w:rsidR="006D1605">
          <w:rPr>
            <w:webHidden/>
          </w:rPr>
          <w:tab/>
        </w:r>
        <w:r w:rsidR="006D1605">
          <w:rPr>
            <w:webHidden/>
          </w:rPr>
          <w:fldChar w:fldCharType="begin"/>
        </w:r>
        <w:r w:rsidR="006D1605">
          <w:rPr>
            <w:webHidden/>
          </w:rPr>
          <w:instrText xml:space="preserve"> PAGEREF _Toc488412511 \h </w:instrText>
        </w:r>
        <w:r w:rsidR="006D1605">
          <w:rPr>
            <w:webHidden/>
          </w:rPr>
        </w:r>
        <w:r w:rsidR="006D1605">
          <w:rPr>
            <w:webHidden/>
          </w:rPr>
          <w:fldChar w:fldCharType="separate"/>
        </w:r>
        <w:r w:rsidR="006D1605">
          <w:rPr>
            <w:webHidden/>
          </w:rPr>
          <w:t>21</w:t>
        </w:r>
        <w:r w:rsidR="006D1605">
          <w:rPr>
            <w:webHidden/>
          </w:rPr>
          <w:fldChar w:fldCharType="end"/>
        </w:r>
      </w:hyperlink>
    </w:p>
    <w:p w14:paraId="6D999187" w14:textId="77777777" w:rsidR="006D1605" w:rsidRDefault="00623A3F">
      <w:pPr>
        <w:pStyle w:val="TableofFigures"/>
        <w:rPr>
          <w:rFonts w:asciiTheme="minorHAnsi" w:eastAsiaTheme="minorEastAsia" w:hAnsiTheme="minorHAnsi" w:cstheme="minorBidi"/>
          <w:color w:val="auto"/>
          <w:lang w:eastAsia="en-AU"/>
        </w:rPr>
      </w:pPr>
      <w:hyperlink w:anchor="_Toc488412512" w:history="1">
        <w:r w:rsidR="006D1605" w:rsidRPr="00AA5A48">
          <w:rPr>
            <w:rStyle w:val="Hyperlink"/>
          </w:rPr>
          <w:t>Figure 7 Farm-to-export price spread, sugar, 1988–89 to 2014–15</w:t>
        </w:r>
        <w:r w:rsidR="006D1605">
          <w:rPr>
            <w:webHidden/>
          </w:rPr>
          <w:tab/>
        </w:r>
        <w:r w:rsidR="006D1605">
          <w:rPr>
            <w:webHidden/>
          </w:rPr>
          <w:fldChar w:fldCharType="begin"/>
        </w:r>
        <w:r w:rsidR="006D1605">
          <w:rPr>
            <w:webHidden/>
          </w:rPr>
          <w:instrText xml:space="preserve"> PAGEREF _Toc488412512 \h </w:instrText>
        </w:r>
        <w:r w:rsidR="006D1605">
          <w:rPr>
            <w:webHidden/>
          </w:rPr>
        </w:r>
        <w:r w:rsidR="006D1605">
          <w:rPr>
            <w:webHidden/>
          </w:rPr>
          <w:fldChar w:fldCharType="separate"/>
        </w:r>
        <w:r w:rsidR="006D1605">
          <w:rPr>
            <w:webHidden/>
          </w:rPr>
          <w:t>22</w:t>
        </w:r>
        <w:r w:rsidR="006D1605">
          <w:rPr>
            <w:webHidden/>
          </w:rPr>
          <w:fldChar w:fldCharType="end"/>
        </w:r>
      </w:hyperlink>
    </w:p>
    <w:p w14:paraId="10E1CE35" w14:textId="77777777" w:rsidR="000A6EC2" w:rsidRPr="00EA328B" w:rsidRDefault="000A7BBE" w:rsidP="00EA328B">
      <w:pPr>
        <w:pStyle w:val="TableofFigures"/>
      </w:pPr>
      <w:r w:rsidRPr="000B59F3">
        <w:rPr>
          <w:bCs/>
        </w:rPr>
        <w:fldChar w:fldCharType="end"/>
      </w:r>
    </w:p>
    <w:p w14:paraId="41B0714A" w14:textId="77777777" w:rsidR="00C07D25" w:rsidRPr="001C1747" w:rsidRDefault="00C07D25">
      <w:pPr>
        <w:pStyle w:val="TOCHeading"/>
      </w:pPr>
      <w:r w:rsidRPr="001C1747">
        <w:t>Maps</w:t>
      </w:r>
    </w:p>
    <w:p w14:paraId="500B773D" w14:textId="77777777" w:rsidR="00F77D9B" w:rsidRDefault="000A7BBE">
      <w:pPr>
        <w:pStyle w:val="TableofFigures"/>
        <w:rPr>
          <w:rFonts w:asciiTheme="minorHAnsi" w:eastAsiaTheme="minorEastAsia" w:hAnsiTheme="minorHAnsi" w:cstheme="minorBidi"/>
          <w:color w:val="auto"/>
          <w:lang w:eastAsia="en-AU"/>
        </w:rPr>
      </w:pPr>
      <w:r w:rsidRPr="000B59F3">
        <w:rPr>
          <w:bCs/>
        </w:rPr>
        <w:fldChar w:fldCharType="begin"/>
      </w:r>
      <w:r w:rsidR="000A6EC2" w:rsidRPr="000B59F3">
        <w:rPr>
          <w:bCs/>
        </w:rPr>
        <w:instrText xml:space="preserve"> TOC </w:instrText>
      </w:r>
      <w:r w:rsidR="000A6EC2" w:rsidRPr="000B59F3">
        <w:instrText>\h</w:instrText>
      </w:r>
      <w:r w:rsidR="000A6EC2" w:rsidRPr="000B59F3">
        <w:rPr>
          <w:bCs/>
        </w:rPr>
        <w:instrText xml:space="preserve"> \z \c "Map"</w:instrText>
      </w:r>
      <w:r w:rsidRPr="000B59F3">
        <w:rPr>
          <w:bCs/>
        </w:rPr>
        <w:fldChar w:fldCharType="separate"/>
      </w:r>
      <w:hyperlink w:anchor="_Toc487721267" w:history="1">
        <w:r w:rsidR="00F77D9B" w:rsidRPr="005E2EBA">
          <w:rPr>
            <w:rStyle w:val="Hyperlink"/>
          </w:rPr>
          <w:t>Map 1 Sugar growing regions, mills, refineries and ports</w:t>
        </w:r>
        <w:r w:rsidR="00F77D9B">
          <w:rPr>
            <w:webHidden/>
          </w:rPr>
          <w:tab/>
        </w:r>
        <w:r w:rsidR="00F77D9B">
          <w:rPr>
            <w:webHidden/>
          </w:rPr>
          <w:fldChar w:fldCharType="begin"/>
        </w:r>
        <w:r w:rsidR="00F77D9B">
          <w:rPr>
            <w:webHidden/>
          </w:rPr>
          <w:instrText xml:space="preserve"> PAGEREF _Toc487721267 \h </w:instrText>
        </w:r>
        <w:r w:rsidR="00F77D9B">
          <w:rPr>
            <w:webHidden/>
          </w:rPr>
        </w:r>
        <w:r w:rsidR="00F77D9B">
          <w:rPr>
            <w:webHidden/>
          </w:rPr>
          <w:fldChar w:fldCharType="separate"/>
        </w:r>
        <w:r w:rsidR="00F77D9B">
          <w:rPr>
            <w:webHidden/>
          </w:rPr>
          <w:t>5</w:t>
        </w:r>
        <w:r w:rsidR="00F77D9B">
          <w:rPr>
            <w:webHidden/>
          </w:rPr>
          <w:fldChar w:fldCharType="end"/>
        </w:r>
      </w:hyperlink>
    </w:p>
    <w:p w14:paraId="4B133FB4" w14:textId="3199B6FA" w:rsidR="00EA328B" w:rsidRPr="00187545" w:rsidRDefault="000A7BBE" w:rsidP="00187545">
      <w:pPr>
        <w:pStyle w:val="TableofFigures"/>
        <w:ind w:left="0" w:firstLine="0"/>
        <w:rPr>
          <w:bCs/>
        </w:rPr>
      </w:pPr>
      <w:r w:rsidRPr="000B59F3">
        <w:rPr>
          <w:bCs/>
        </w:rPr>
        <w:fldChar w:fldCharType="end"/>
      </w:r>
    </w:p>
    <w:p w14:paraId="3C7FBDDF" w14:textId="77777777" w:rsidR="00123E78" w:rsidRPr="001C1747" w:rsidRDefault="00123E78">
      <w:pPr>
        <w:pStyle w:val="TOCHeading"/>
      </w:pPr>
      <w:r w:rsidRPr="001C1747">
        <w:t>Boxes</w:t>
      </w:r>
    </w:p>
    <w:p w14:paraId="4CF22BA3" w14:textId="77777777" w:rsidR="00F77D9B" w:rsidRDefault="000A7BBE">
      <w:pPr>
        <w:pStyle w:val="TableofFigures"/>
        <w:rPr>
          <w:rFonts w:asciiTheme="minorHAnsi" w:eastAsiaTheme="minorEastAsia" w:hAnsiTheme="minorHAnsi" w:cstheme="minorBidi"/>
          <w:color w:val="auto"/>
          <w:lang w:eastAsia="en-AU"/>
        </w:rPr>
      </w:pPr>
      <w:r w:rsidRPr="000B59F3">
        <w:rPr>
          <w:bCs/>
        </w:rPr>
        <w:fldChar w:fldCharType="begin"/>
      </w:r>
      <w:r w:rsidR="000A6EC2" w:rsidRPr="000B59F3">
        <w:rPr>
          <w:bCs/>
        </w:rPr>
        <w:instrText xml:space="preserve"> TOC </w:instrText>
      </w:r>
      <w:r w:rsidR="000A6EC2" w:rsidRPr="000B59F3">
        <w:instrText>\h</w:instrText>
      </w:r>
      <w:r w:rsidR="000A6EC2" w:rsidRPr="000B59F3">
        <w:rPr>
          <w:bCs/>
        </w:rPr>
        <w:instrText xml:space="preserve"> \z \c "Box"</w:instrText>
      </w:r>
      <w:r w:rsidRPr="000B59F3">
        <w:rPr>
          <w:bCs/>
        </w:rPr>
        <w:fldChar w:fldCharType="separate"/>
      </w:r>
      <w:hyperlink w:anchor="_Toc487721268" w:history="1">
        <w:r w:rsidR="00F77D9B" w:rsidRPr="00B63303">
          <w:rPr>
            <w:rStyle w:val="Hyperlink"/>
          </w:rPr>
          <w:t>Box 1 Cane pricing</w:t>
        </w:r>
        <w:r w:rsidR="00F77D9B">
          <w:rPr>
            <w:webHidden/>
          </w:rPr>
          <w:tab/>
        </w:r>
        <w:r w:rsidR="00F77D9B">
          <w:rPr>
            <w:webHidden/>
          </w:rPr>
          <w:fldChar w:fldCharType="begin"/>
        </w:r>
        <w:r w:rsidR="00F77D9B">
          <w:rPr>
            <w:webHidden/>
          </w:rPr>
          <w:instrText xml:space="preserve"> PAGEREF _Toc487721268 \h </w:instrText>
        </w:r>
        <w:r w:rsidR="00F77D9B">
          <w:rPr>
            <w:webHidden/>
          </w:rPr>
        </w:r>
        <w:r w:rsidR="00F77D9B">
          <w:rPr>
            <w:webHidden/>
          </w:rPr>
          <w:fldChar w:fldCharType="separate"/>
        </w:r>
        <w:r w:rsidR="00F77D9B">
          <w:rPr>
            <w:webHidden/>
          </w:rPr>
          <w:t>15</w:t>
        </w:r>
        <w:r w:rsidR="00F77D9B">
          <w:rPr>
            <w:webHidden/>
          </w:rPr>
          <w:fldChar w:fldCharType="end"/>
        </w:r>
      </w:hyperlink>
    </w:p>
    <w:p w14:paraId="2CB7610C" w14:textId="77777777" w:rsidR="00EA328B" w:rsidRDefault="000A7BBE" w:rsidP="00EA328B">
      <w:pPr>
        <w:pStyle w:val="TableofFigures"/>
        <w:rPr>
          <w:b/>
        </w:rPr>
      </w:pPr>
      <w:r w:rsidRPr="000B59F3">
        <w:rPr>
          <w:bCs/>
        </w:rPr>
        <w:fldChar w:fldCharType="end"/>
      </w:r>
    </w:p>
    <w:p w14:paraId="1212D770" w14:textId="77777777" w:rsidR="00850963" w:rsidRDefault="00850963" w:rsidP="00C83E06">
      <w:pPr>
        <w:pStyle w:val="TableofFigures"/>
        <w:rPr>
          <w:b/>
        </w:rPr>
        <w:sectPr w:rsidR="00850963" w:rsidSect="003366E6">
          <w:headerReference w:type="default" r:id="rId17"/>
          <w:footerReference w:type="default" r:id="rId18"/>
          <w:pgSz w:w="11906" w:h="16838"/>
          <w:pgMar w:top="1247" w:right="1418" w:bottom="1418" w:left="1418" w:header="510" w:footer="709" w:gutter="0"/>
          <w:cols w:space="708"/>
          <w:docGrid w:linePitch="360"/>
        </w:sectPr>
      </w:pPr>
    </w:p>
    <w:p w14:paraId="77DFA180" w14:textId="77777777" w:rsidR="00123E78" w:rsidRDefault="00123E78" w:rsidP="00123E78">
      <w:pPr>
        <w:pStyle w:val="Heading1unnumberedchapter"/>
      </w:pPr>
      <w:bookmarkStart w:id="1" w:name="_Toc298849274"/>
      <w:bookmarkStart w:id="2" w:name="_Toc487721237"/>
      <w:r w:rsidRPr="00140A48">
        <w:lastRenderedPageBreak/>
        <w:t>Summary</w:t>
      </w:r>
      <w:bookmarkEnd w:id="1"/>
      <w:bookmarkEnd w:id="2"/>
    </w:p>
    <w:p w14:paraId="5943A615" w14:textId="77777777" w:rsidR="00FB7EA6" w:rsidRDefault="00FB7EA6" w:rsidP="00FB7EA6">
      <w:pPr>
        <w:pStyle w:val="BodyText1"/>
      </w:pPr>
      <w:bookmarkStart w:id="3" w:name="_Toc456786142"/>
      <w:bookmarkStart w:id="4" w:name="_Toc459731585"/>
      <w:bookmarkStart w:id="5" w:name="_Toc459731671"/>
      <w:bookmarkStart w:id="6" w:name="_Toc459738650"/>
      <w:bookmarkStart w:id="7" w:name="_Toc456786143"/>
      <w:bookmarkStart w:id="8" w:name="_Toc459731586"/>
      <w:bookmarkStart w:id="9" w:name="_Toc459731672"/>
      <w:bookmarkStart w:id="10" w:name="_Toc459738651"/>
      <w:bookmarkStart w:id="11" w:name="_Toc456786144"/>
      <w:bookmarkStart w:id="12" w:name="_Toc459731587"/>
      <w:bookmarkStart w:id="13" w:name="_Toc459731673"/>
      <w:bookmarkStart w:id="14" w:name="_Toc459738652"/>
      <w:bookmarkStart w:id="15" w:name="_Toc456786145"/>
      <w:bookmarkStart w:id="16" w:name="_Toc459731588"/>
      <w:bookmarkStart w:id="17" w:name="_Toc459731674"/>
      <w:bookmarkStart w:id="18" w:name="_Toc459738653"/>
      <w:bookmarkStart w:id="19" w:name="_Toc456786146"/>
      <w:bookmarkStart w:id="20" w:name="_Toc459731589"/>
      <w:bookmarkStart w:id="21" w:name="_Toc459731675"/>
      <w:bookmarkStart w:id="22" w:name="_Toc459738654"/>
      <w:bookmarkStart w:id="23" w:name="_Toc456786147"/>
      <w:bookmarkStart w:id="24" w:name="_Toc459731590"/>
      <w:bookmarkStart w:id="25" w:name="_Toc459731676"/>
      <w:bookmarkStart w:id="26" w:name="_Toc459738655"/>
      <w:bookmarkStart w:id="27" w:name="_Toc456786148"/>
      <w:bookmarkStart w:id="28" w:name="_Toc459731591"/>
      <w:bookmarkStart w:id="29" w:name="_Toc459731677"/>
      <w:bookmarkStart w:id="30" w:name="_Toc459738656"/>
      <w:bookmarkStart w:id="31" w:name="_Toc456786149"/>
      <w:bookmarkStart w:id="32" w:name="_Toc459731592"/>
      <w:bookmarkStart w:id="33" w:name="_Toc459731678"/>
      <w:bookmarkStart w:id="34" w:name="_Toc459738657"/>
      <w:bookmarkStart w:id="35" w:name="_Toc456786150"/>
      <w:bookmarkStart w:id="36" w:name="_Toc459731593"/>
      <w:bookmarkStart w:id="37" w:name="_Toc459731679"/>
      <w:bookmarkStart w:id="38" w:name="_Toc459738658"/>
      <w:bookmarkStart w:id="39" w:name="_Toc456786151"/>
      <w:bookmarkStart w:id="40" w:name="_Toc459731594"/>
      <w:bookmarkStart w:id="41" w:name="_Toc459731680"/>
      <w:bookmarkStart w:id="42" w:name="_Toc459738659"/>
      <w:bookmarkStart w:id="43" w:name="_Toc456786152"/>
      <w:bookmarkStart w:id="44" w:name="_Toc459731595"/>
      <w:bookmarkStart w:id="45" w:name="_Toc459731681"/>
      <w:bookmarkStart w:id="46" w:name="_Toc459738660"/>
      <w:bookmarkStart w:id="47" w:name="_Toc456786153"/>
      <w:bookmarkStart w:id="48" w:name="_Toc459731596"/>
      <w:bookmarkStart w:id="49" w:name="_Toc459731682"/>
      <w:bookmarkStart w:id="50" w:name="_Toc459738661"/>
      <w:bookmarkStart w:id="51" w:name="_Toc456786154"/>
      <w:bookmarkStart w:id="52" w:name="_Toc459731597"/>
      <w:bookmarkStart w:id="53" w:name="_Toc459731683"/>
      <w:bookmarkStart w:id="54" w:name="_Toc459738662"/>
      <w:bookmarkStart w:id="55" w:name="_Toc456786155"/>
      <w:bookmarkStart w:id="56" w:name="_Toc459731598"/>
      <w:bookmarkStart w:id="57" w:name="_Toc459731684"/>
      <w:bookmarkStart w:id="58" w:name="_Toc459738663"/>
      <w:bookmarkStart w:id="59" w:name="_Toc459738664"/>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r>
        <w:t>There is some concern that consolidation in some sectors of the food supply chain could lead to farmers receiving lower prices than in perfectly competitive markets.</w:t>
      </w:r>
      <w:r w:rsidRPr="00A96384">
        <w:t xml:space="preserve"> </w:t>
      </w:r>
      <w:r>
        <w:t>One relatively inexpensive monitoring option is to analyse trends in the shares farmers receive from the sale of retail and export products and in spreads between farm and retail prices and farm and export prices.</w:t>
      </w:r>
      <w:r w:rsidRPr="006C7AF9">
        <w:t xml:space="preserve"> </w:t>
      </w:r>
      <w:r>
        <w:t xml:space="preserve">An increase in price spread or a decrease in farm share could be an early indicator of competition issues in one or more sectors in a supply chain. </w:t>
      </w:r>
    </w:p>
    <w:p w14:paraId="134753C4" w14:textId="193559F5" w:rsidR="00FB7EA6" w:rsidRDefault="00FB7EA6" w:rsidP="00FB7EA6">
      <w:pPr>
        <w:pStyle w:val="BodyText1"/>
      </w:pPr>
      <w:r>
        <w:t xml:space="preserve">This study uses a case study approach to demonstrate the potential to estimate farm shares and price spreads in Australia using a relatively simple methodology developed by the United States Department of Agriculture Economic Research Service (USDA ERS). In this instance, the methodology has been applied to Australian sugar price data. </w:t>
      </w:r>
    </w:p>
    <w:p w14:paraId="32653B67" w14:textId="77777777" w:rsidR="00FB7EA6" w:rsidRDefault="00FB7EA6" w:rsidP="00FB7EA6">
      <w:pPr>
        <w:pStyle w:val="BodyText1"/>
      </w:pPr>
      <w:r>
        <w:t>Currently, there is a debate about increasing consolidation in the sugar milling sector and the impact of millers marketing and exporting an increasing volume of raw sugar. Previously, this marketing had been largely the responsibility of Queensland Sugar Limited (QSL), a public not-for-profit company set up to deliver ‘optimal returns to sugar millers and cane growers’.</w:t>
      </w:r>
    </w:p>
    <w:p w14:paraId="70A4B6E8" w14:textId="11A70514" w:rsidR="00FB7EA6" w:rsidRDefault="00FB7EA6" w:rsidP="00FB7EA6">
      <w:pPr>
        <w:pStyle w:val="BodyText1"/>
      </w:pPr>
      <w:r w:rsidRPr="00A21766">
        <w:t xml:space="preserve">The Australian sugar industry produces raw and </w:t>
      </w:r>
      <w:r>
        <w:t>refined</w:t>
      </w:r>
      <w:r w:rsidRPr="00A21766">
        <w:t xml:space="preserve"> sugar from sugar cane.</w:t>
      </w:r>
      <w:r w:rsidRPr="00832A6B">
        <w:t xml:space="preserve"> </w:t>
      </w:r>
      <w:r>
        <w:t>In 2014</w:t>
      </w:r>
      <w:r w:rsidRPr="00A21766">
        <w:t>–</w:t>
      </w:r>
      <w:r>
        <w:t>15</w:t>
      </w:r>
      <w:r w:rsidRPr="00A21766">
        <w:t>,</w:t>
      </w:r>
      <w:r>
        <w:t xml:space="preserve"> it produced 4.6</w:t>
      </w:r>
      <w:r w:rsidRPr="00A21766">
        <w:t xml:space="preserve"> million tonnes</w:t>
      </w:r>
      <w:r>
        <w:t xml:space="preserve"> and exported 3.</w:t>
      </w:r>
      <w:r w:rsidR="00F97E1E">
        <w:t>7</w:t>
      </w:r>
      <w:r>
        <w:t xml:space="preserve"> million tonnes of sugar (raw equivalent)</w:t>
      </w:r>
      <w:r w:rsidR="00F97E1E">
        <w:t xml:space="preserve"> (ABARES 2016)</w:t>
      </w:r>
      <w:r>
        <w:t>. T</w:t>
      </w:r>
      <w:r w:rsidRPr="00A21766">
        <w:t xml:space="preserve">he </w:t>
      </w:r>
      <w:r>
        <w:t xml:space="preserve">industry makes a significant contribution to a number of local economies located between Grafton in northern New South Wales and Mossman in </w:t>
      </w:r>
      <w:r w:rsidR="00745D27">
        <w:t xml:space="preserve">Far North </w:t>
      </w:r>
      <w:r>
        <w:t>Queensland.</w:t>
      </w:r>
    </w:p>
    <w:p w14:paraId="7A09CFF9" w14:textId="7C4212CF" w:rsidR="00FB7EA6" w:rsidRDefault="00FB7EA6" w:rsidP="00FB7EA6">
      <w:pPr>
        <w:pStyle w:val="BodyText1"/>
      </w:pPr>
      <w:r>
        <w:t>The study demonstrates that data is available that allows an analysis of farm share and price spread for raw sugar exports and refined sugar sold at retail outlets. The analysis shows that trends in farm shares of retail and export prices were relatively flat</w:t>
      </w:r>
      <w:r w:rsidRPr="00973CF5">
        <w:t xml:space="preserve"> </w:t>
      </w:r>
      <w:r>
        <w:t xml:space="preserve">between 1984–85 and 2014–15. So too were trends in farm-to-retail and farm-to-export price spreads. If it is assumed that the emergence of market power beyond the farm gate is likely to be reflected in changes in trends in farm share and price spread, then these results suggest that there has been no obvious change in market power within the sugar industry over this period. </w:t>
      </w:r>
    </w:p>
    <w:p w14:paraId="657C80A9" w14:textId="52739E31" w:rsidR="00FB7EA6" w:rsidRDefault="00FB7EA6" w:rsidP="00FB7EA6">
      <w:pPr>
        <w:pStyle w:val="BodyText1"/>
      </w:pPr>
      <w:r>
        <w:t>This is not unexpected given that the voluntary contractual arrangements put in place for marketing raw sugar exports</w:t>
      </w:r>
      <w:r w:rsidR="005C3AC9">
        <w:t>,</w:t>
      </w:r>
      <w:r>
        <w:t xml:space="preserve"> following the abolition of the single desk in 2006</w:t>
      </w:r>
      <w:r w:rsidR="005C3AC9">
        <w:t>,</w:t>
      </w:r>
      <w:r>
        <w:t xml:space="preserve"> essentially mirror the regulatory arrangements that were in place prior to 2006. </w:t>
      </w:r>
    </w:p>
    <w:p w14:paraId="7460C150" w14:textId="1E17665A" w:rsidR="00FB7EA6" w:rsidRDefault="00FB7EA6" w:rsidP="00FB7EA6">
      <w:pPr>
        <w:pStyle w:val="BodyText1"/>
      </w:pPr>
      <w:r>
        <w:t>An important recent development in the Australian sugar industry was a push by some mill owners to withdraw from current raw sugar marketing arrangements with QSL, and to market all of their raw sugar exports independently.</w:t>
      </w:r>
      <w:r w:rsidRPr="00323B51">
        <w:t xml:space="preserve"> </w:t>
      </w:r>
      <w:r>
        <w:t xml:space="preserve">Concern by some </w:t>
      </w:r>
      <w:r w:rsidR="0002323A">
        <w:t xml:space="preserve">within the industry that </w:t>
      </w:r>
      <w:r>
        <w:t xml:space="preserve">this would deny growers choice in how the share of sugar for which they have price exposure is marketed led to the </w:t>
      </w:r>
      <w:r w:rsidRPr="006A6B94">
        <w:rPr>
          <w:rStyle w:val="Italic"/>
        </w:rPr>
        <w:t>Sugar Industry Act</w:t>
      </w:r>
      <w:r>
        <w:rPr>
          <w:rStyle w:val="Italic"/>
        </w:rPr>
        <w:t xml:space="preserve"> 1999</w:t>
      </w:r>
      <w:r>
        <w:t xml:space="preserve"> being amended in late 2015 to allow cane </w:t>
      </w:r>
      <w:r w:rsidRPr="008601AF">
        <w:t xml:space="preserve">growers to nominate </w:t>
      </w:r>
      <w:r>
        <w:t>who will market</w:t>
      </w:r>
      <w:r w:rsidRPr="008601AF">
        <w:t xml:space="preserve"> </w:t>
      </w:r>
      <w:r>
        <w:t>this</w:t>
      </w:r>
      <w:r w:rsidRPr="008601AF">
        <w:t xml:space="preserve"> </w:t>
      </w:r>
      <w:r>
        <w:t>s</w:t>
      </w:r>
      <w:r w:rsidRPr="008601AF">
        <w:t>ugar</w:t>
      </w:r>
      <w:r>
        <w:t xml:space="preserve">. </w:t>
      </w:r>
    </w:p>
    <w:p w14:paraId="3EE505CF" w14:textId="3DF5430C" w:rsidR="00FB7EA6" w:rsidRDefault="00FB7EA6" w:rsidP="00FB7EA6">
      <w:r>
        <w:t xml:space="preserve">It remains to be seen whether recent changes to marketing arrangements will alter farm share or price spread in the sugar industry. Given the availability of suitable data, continued monitoring of farm share and price spread seems warranted. While changes in farm share or price spread are not definitive indicators of competition issues, this type of analysis could be used to trigger more detailed analysis if a significant change </w:t>
      </w:r>
      <w:r w:rsidR="00107248">
        <w:t>were to be observed</w:t>
      </w:r>
      <w:r>
        <w:t>.</w:t>
      </w:r>
    </w:p>
    <w:p w14:paraId="48B0D0EA" w14:textId="03FB1E8F" w:rsidR="00F50EAE" w:rsidRPr="000013B3" w:rsidRDefault="00F50EAE" w:rsidP="00FB7EA6">
      <w:r>
        <w:t xml:space="preserve">There are several options for additional analysis. One option is to collect cost and price data beyond the farm gate. </w:t>
      </w:r>
      <w:r w:rsidR="006B6738">
        <w:t>These</w:t>
      </w:r>
      <w:r>
        <w:t xml:space="preserve"> data could allow an analysis that differentiates between sectors </w:t>
      </w:r>
      <w:r>
        <w:lastRenderedPageBreak/>
        <w:t>(for example, the milling and retail sectors), and identifies the range of factors influencing costs and prices within these sectors. It could also potentially facilitate the estimation of profit margins in different sectors, which is a major indicator of market power. A problem with this approach is that the data is commercially sensitive, and likely to be difficult to obtain. The detailed nature of this type of analysis also suggests that the approach is more likely to be suitable for one-off analysis after more aggregated analysis indicates further investigation is required, rather than as a tool for ongoing monitoring and evaluation.</w:t>
      </w:r>
      <w:r w:rsidRPr="00F50EAE">
        <w:t xml:space="preserve"> </w:t>
      </w:r>
      <w:r>
        <w:t xml:space="preserve">It may </w:t>
      </w:r>
      <w:r w:rsidR="00103439">
        <w:t xml:space="preserve">also </w:t>
      </w:r>
      <w:r>
        <w:t xml:space="preserve">be possible to improve the accuracy of estimates for farm share and price spread in the sugar industry through the use of better quality data, such as retail scanner data from supermarkets or </w:t>
      </w:r>
      <w:proofErr w:type="spellStart"/>
      <w:r>
        <w:t>homescan</w:t>
      </w:r>
      <w:proofErr w:type="spellEnd"/>
      <w:r>
        <w:t xml:space="preserve"> data from market research companies. This option may be worth pursing in any future analysis given that the ABS no longer publishes retail data on sugar</w:t>
      </w:r>
      <w:r w:rsidRPr="00227F60">
        <w:t xml:space="preserve"> </w:t>
      </w:r>
      <w:r>
        <w:t>prices.</w:t>
      </w:r>
    </w:p>
    <w:p w14:paraId="731CB7D4" w14:textId="77777777" w:rsidR="00FB7EA6" w:rsidRPr="00FB7EA6" w:rsidRDefault="00FB7EA6" w:rsidP="00CF26FD">
      <w:pPr>
        <w:pStyle w:val="Heading1"/>
      </w:pPr>
      <w:bookmarkStart w:id="60" w:name="_Toc487721238"/>
      <w:r w:rsidRPr="007C314A">
        <w:lastRenderedPageBreak/>
        <w:t>Introduction</w:t>
      </w:r>
      <w:bookmarkEnd w:id="59"/>
      <w:bookmarkEnd w:id="60"/>
    </w:p>
    <w:p w14:paraId="2FC533DB" w14:textId="2EC8D775" w:rsidR="00FB7EA6" w:rsidRDefault="00FB7EA6" w:rsidP="00FB7EA6">
      <w:pPr>
        <w:pStyle w:val="BodyText1"/>
      </w:pPr>
      <w:r>
        <w:t xml:space="preserve">There is a growing perception that consolidation in some sectors of the food supply chain means that farmers have little choice but to accept lower prices than in perfectly competitive markets. There are several options for investigating whether market power is an issue in food supply chains. One relatively inexpensive monitoring option is to analyse trends in the shares farmers receive from the sale of retail and export products and in spreads between farm and retail prices and farm and export prices. This study focuses on farm share and price spread in the sugar industry. </w:t>
      </w:r>
    </w:p>
    <w:p w14:paraId="3B632B81" w14:textId="69FE79F8" w:rsidR="00FB7EA6" w:rsidRDefault="00FB7EA6" w:rsidP="00FB7EA6">
      <w:pPr>
        <w:pStyle w:val="BodyText1"/>
      </w:pPr>
      <w:r w:rsidRPr="003F3C9F">
        <w:t xml:space="preserve">Farm share </w:t>
      </w:r>
      <w:r>
        <w:t xml:space="preserve">is the proportion farmers receive of the price of a product sold to customers while price spread is </w:t>
      </w:r>
      <w:r w:rsidRPr="003F3C9F">
        <w:t>the difference between</w:t>
      </w:r>
      <w:r w:rsidRPr="00A84C4E">
        <w:t xml:space="preserve"> </w:t>
      </w:r>
      <w:r>
        <w:t>the sale</w:t>
      </w:r>
      <w:r w:rsidRPr="003F3C9F">
        <w:t xml:space="preserve"> price</w:t>
      </w:r>
      <w:r>
        <w:t xml:space="preserve"> of a product and</w:t>
      </w:r>
      <w:r w:rsidRPr="003F3C9F">
        <w:t xml:space="preserve"> </w:t>
      </w:r>
      <w:r>
        <w:t xml:space="preserve">the price received by farmers. The farm-to-retail price spread includes </w:t>
      </w:r>
      <w:r w:rsidRPr="003F3C9F">
        <w:t xml:space="preserve">payments for all </w:t>
      </w:r>
      <w:r>
        <w:t xml:space="preserve">services that add value to farm products beyond the farm gate to the point of sale to customers, including </w:t>
      </w:r>
      <w:r w:rsidRPr="003F3C9F">
        <w:t>transporting</w:t>
      </w:r>
      <w:r>
        <w:t>,</w:t>
      </w:r>
      <w:r w:rsidRPr="003F3C9F">
        <w:t xml:space="preserve"> processing, </w:t>
      </w:r>
      <w:r>
        <w:t xml:space="preserve">storing and retailing. </w:t>
      </w:r>
    </w:p>
    <w:p w14:paraId="6688D09F" w14:textId="3253F8C1" w:rsidR="00FB7EA6" w:rsidRDefault="00FB7EA6" w:rsidP="00FB7EA6">
      <w:pPr>
        <w:pStyle w:val="BodyText1"/>
      </w:pPr>
      <w:r>
        <w:t xml:space="preserve">A decrease in farm share or an increase in price spread may indicate imperfect price transmission. This can occur when there is a lack of competition in one or more sectors in the food supply chain. If some agents in the supply chain have </w:t>
      </w:r>
      <w:r w:rsidR="00BA3921">
        <w:t>more</w:t>
      </w:r>
      <w:r>
        <w:t xml:space="preserve"> market power than others, they may be able to manipulate prices, which could lead to higher retail prices or lower </w:t>
      </w:r>
      <w:proofErr w:type="spellStart"/>
      <w:r>
        <w:t>farmgate</w:t>
      </w:r>
      <w:proofErr w:type="spellEnd"/>
      <w:r>
        <w:t xml:space="preserve"> prices. However, as noted in Nguyen</w:t>
      </w:r>
      <w:r w:rsidR="00490323">
        <w:t xml:space="preserve">, Mobsby &amp; Goesch </w:t>
      </w:r>
      <w:r>
        <w:t>(2016), identifying inefficiency within food supply chains because of an increase in market power in one or more sectors is more complex than simply identifying an increase in price spread or a decrease in farm share. This is because these changes can occur for a number of reasons that are not related to market power.</w:t>
      </w:r>
    </w:p>
    <w:p w14:paraId="29B85F05" w14:textId="0C331DDE" w:rsidR="00FB7EA6" w:rsidRDefault="00FB7EA6" w:rsidP="00FB7EA6">
      <w:pPr>
        <w:pStyle w:val="BodyText1"/>
      </w:pPr>
      <w:r>
        <w:t xml:space="preserve">In the sugar industry, </w:t>
      </w:r>
      <w:r w:rsidRPr="000D05C4">
        <w:t xml:space="preserve">cane growers </w:t>
      </w:r>
      <w:r>
        <w:t>are concerned that the market power of mill owners is increasing. Two reasons are usually given. The first is consolidation in the milling sector. There are currently 24 mills owned by 8 companies compared with 29 mills owned by 12 companies in 1997 (</w:t>
      </w:r>
      <w:proofErr w:type="spellStart"/>
      <w:r>
        <w:t>Breguet</w:t>
      </w:r>
      <w:proofErr w:type="spellEnd"/>
      <w:r>
        <w:t xml:space="preserve"> 2011). The second reason is that millers are marketing and exporting an increasing volume of raw sugar, where this used to be largely the responsibility of QSL. QSL is a public not-for-profit company set up to deliver ‘optimal returns to sugar millers and cane growers’. </w:t>
      </w:r>
    </w:p>
    <w:p w14:paraId="212214F1" w14:textId="77FC26FA" w:rsidR="00FB7EA6" w:rsidRDefault="00FB7EA6" w:rsidP="00FB7EA6">
      <w:pPr>
        <w:pStyle w:val="BodyText1"/>
      </w:pPr>
      <w:r>
        <w:t>Millers argue that consolidation is not a problem, and that growers do have leverage when dealing with mills</w:t>
      </w:r>
      <w:r w:rsidR="00402FFC">
        <w:t xml:space="preserve"> as </w:t>
      </w:r>
      <w:r>
        <w:t>mill profitability requires high throughput, with millers</w:t>
      </w:r>
      <w:r w:rsidRPr="004F742D">
        <w:t xml:space="preserve"> </w:t>
      </w:r>
      <w:r>
        <w:t>highly dependent on growers continuing to supply their cane (Wilmar Sugar 2014). There is also a legal framework governing the negotiation of cane supply agreements between millers and growers. This framework includes provisions for collective bargaining and arbitration to resolve any commercial disputes. Finally, payment for sugar cane is underwritten by the cane payment formula, which allocates net income from sugar sales between growers and millers. According to the Australian Sugar Milling Council</w:t>
      </w:r>
      <w:r w:rsidR="00DA1540">
        <w:t xml:space="preserve"> (ASMC)</w:t>
      </w:r>
      <w:r>
        <w:t xml:space="preserve">, </w:t>
      </w:r>
      <w:r w:rsidR="00B44832">
        <w:t>'… mills don't set the price for sugar cane; it is determined through the cane payment formula and set almost entirely by the global price of sugar</w:t>
      </w:r>
      <w:r w:rsidR="00796118">
        <w:t>'</w:t>
      </w:r>
      <w:r w:rsidR="00B44832">
        <w:t xml:space="preserve"> (ASMC 2015</w:t>
      </w:r>
      <w:r w:rsidR="00DB293E">
        <w:t>a</w:t>
      </w:r>
      <w:r w:rsidR="00B44832">
        <w:t xml:space="preserve">). </w:t>
      </w:r>
    </w:p>
    <w:p w14:paraId="338A1806" w14:textId="4B7651E3" w:rsidR="00FB7EA6" w:rsidRPr="000D05C4" w:rsidRDefault="00FB7EA6" w:rsidP="00FB7EA6">
      <w:pPr>
        <w:pStyle w:val="BodyText1"/>
      </w:pPr>
      <w:r>
        <w:t xml:space="preserve">Trends in farm share and price spread can potentially provide important information on efficiency in price transmission in the sugar supply chain. This research is timely given that </w:t>
      </w:r>
      <w:r w:rsidRPr="000D05C4">
        <w:t xml:space="preserve">cane growers </w:t>
      </w:r>
      <w:r>
        <w:t xml:space="preserve">and </w:t>
      </w:r>
      <w:r w:rsidRPr="000D05C4">
        <w:t>milling companies</w:t>
      </w:r>
      <w:r>
        <w:t xml:space="preserve"> continue to </w:t>
      </w:r>
      <w:r w:rsidR="00402FFC">
        <w:t>debate</w:t>
      </w:r>
      <w:r>
        <w:t xml:space="preserve"> issues of market power and what reforms to export marketing arrangements mean for the industry.</w:t>
      </w:r>
      <w:r w:rsidRPr="000D05C4">
        <w:t xml:space="preserve"> </w:t>
      </w:r>
    </w:p>
    <w:p w14:paraId="53C87A0A" w14:textId="422843A2" w:rsidR="00FB7EA6" w:rsidRDefault="00FB7EA6" w:rsidP="00FB7EA6">
      <w:pPr>
        <w:pStyle w:val="BodyText1"/>
      </w:pPr>
      <w:r>
        <w:lastRenderedPageBreak/>
        <w:t>This paper is organised as follows. Chapter 2 contains background information on the Australian sugar industry, while Chapter 3 provides a description of the price data used in the analysis and some of its limitations. Some of the factors influencing sugar prices over the past 30 years</w:t>
      </w:r>
      <w:r w:rsidRPr="002A7CBA">
        <w:t xml:space="preserve"> </w:t>
      </w:r>
      <w:r>
        <w:t xml:space="preserve">are identified in Chapter 4. Chapter 5 describes the methodology used to calculate farm share and price spread and contains estimates based on this methodology using Australian </w:t>
      </w:r>
      <w:proofErr w:type="spellStart"/>
      <w:r>
        <w:t>farmgate</w:t>
      </w:r>
      <w:proofErr w:type="spellEnd"/>
      <w:r>
        <w:t xml:space="preserve">, export and retail price data. It also identifies some options for additional research that could improve the analysis. </w:t>
      </w:r>
    </w:p>
    <w:p w14:paraId="4CFEC5FF" w14:textId="77777777" w:rsidR="00FB7EA6" w:rsidRPr="00FB7EA6" w:rsidRDefault="00FB7EA6" w:rsidP="00880D25">
      <w:pPr>
        <w:pStyle w:val="Bulletlist-level1"/>
        <w:numPr>
          <w:ilvl w:val="0"/>
          <w:numId w:val="0"/>
        </w:numPr>
        <w:ind w:left="567"/>
      </w:pPr>
      <w:r>
        <w:tab/>
      </w:r>
    </w:p>
    <w:p w14:paraId="64FEA4D8" w14:textId="77777777" w:rsidR="00FB7EA6" w:rsidRPr="00FB7EA6" w:rsidRDefault="00FB7EA6" w:rsidP="00880D25">
      <w:pPr>
        <w:pStyle w:val="Heading1"/>
      </w:pPr>
      <w:bookmarkStart w:id="61" w:name="_Toc459738665"/>
      <w:bookmarkStart w:id="62" w:name="_Toc487721239"/>
      <w:r>
        <w:lastRenderedPageBreak/>
        <w:t>Background</w:t>
      </w:r>
      <w:bookmarkEnd w:id="61"/>
      <w:bookmarkEnd w:id="62"/>
    </w:p>
    <w:p w14:paraId="1806F12D" w14:textId="77777777" w:rsidR="00FB7EA6" w:rsidRPr="00FB7EA6" w:rsidRDefault="00FB7EA6" w:rsidP="00880D25">
      <w:pPr>
        <w:pStyle w:val="Heading2"/>
      </w:pPr>
      <w:bookmarkStart w:id="63" w:name="_Toc442080553"/>
      <w:bookmarkStart w:id="64" w:name="_Toc459738666"/>
      <w:bookmarkStart w:id="65" w:name="_Toc487721240"/>
      <w:r>
        <w:t>The Australian sugar industry</w:t>
      </w:r>
      <w:bookmarkEnd w:id="63"/>
      <w:bookmarkEnd w:id="64"/>
      <w:bookmarkEnd w:id="65"/>
    </w:p>
    <w:p w14:paraId="5D5F04BE" w14:textId="069D6728" w:rsidR="00FB7EA6" w:rsidRPr="009B59FE" w:rsidRDefault="00FB7EA6" w:rsidP="00FB7EA6">
      <w:pPr>
        <w:pStyle w:val="BodyText1"/>
      </w:pPr>
      <w:r w:rsidRPr="00A21766">
        <w:t xml:space="preserve">The Australian sugar industry produces raw and </w:t>
      </w:r>
      <w:r>
        <w:t>refined</w:t>
      </w:r>
      <w:r w:rsidRPr="00A21766">
        <w:t xml:space="preserve"> sugar from sugar cane.</w:t>
      </w:r>
      <w:r>
        <w:t xml:space="preserve"> Sugar cane is grown along Australia’s north-eastern coast, from Grafton in northern N</w:t>
      </w:r>
      <w:r w:rsidR="0077002A">
        <w:t xml:space="preserve">ew </w:t>
      </w:r>
      <w:r>
        <w:t>S</w:t>
      </w:r>
      <w:r w:rsidR="0077002A">
        <w:t xml:space="preserve">outh </w:t>
      </w:r>
      <w:r>
        <w:t>W</w:t>
      </w:r>
      <w:r w:rsidR="0077002A">
        <w:t>ales</w:t>
      </w:r>
      <w:r>
        <w:t xml:space="preserve"> to Mossman in </w:t>
      </w:r>
      <w:r w:rsidR="00745D27">
        <w:t xml:space="preserve">Far North </w:t>
      </w:r>
      <w:r>
        <w:t xml:space="preserve">Queensland (see </w:t>
      </w:r>
      <w:r>
        <w:fldChar w:fldCharType="begin"/>
      </w:r>
      <w:r>
        <w:instrText xml:space="preserve"> REF _Ref449686714 \h </w:instrText>
      </w:r>
      <w:r>
        <w:fldChar w:fldCharType="separate"/>
      </w:r>
      <w:r w:rsidR="00A82ABB">
        <w:t xml:space="preserve">Map </w:t>
      </w:r>
      <w:r w:rsidR="00A82ABB">
        <w:rPr>
          <w:noProof/>
        </w:rPr>
        <w:t>1</w:t>
      </w:r>
      <w:r>
        <w:fldChar w:fldCharType="end"/>
      </w:r>
      <w:r>
        <w:t xml:space="preserve">). </w:t>
      </w:r>
    </w:p>
    <w:p w14:paraId="2145CC1C" w14:textId="77777777" w:rsidR="00FB7EA6" w:rsidRDefault="00FB7EA6" w:rsidP="00FB7EA6">
      <w:pPr>
        <w:pStyle w:val="Caption"/>
      </w:pPr>
      <w:bookmarkStart w:id="66" w:name="_Ref449686714"/>
      <w:bookmarkStart w:id="67" w:name="_Toc459731426"/>
      <w:bookmarkStart w:id="68" w:name="_Toc487721267"/>
      <w:r>
        <w:t xml:space="preserve">Map </w:t>
      </w:r>
      <w:fldSimple w:instr=" SEQ Map \* ARABIC ">
        <w:r w:rsidR="00A82ABB">
          <w:rPr>
            <w:noProof/>
          </w:rPr>
          <w:t>1</w:t>
        </w:r>
      </w:fldSimple>
      <w:bookmarkEnd w:id="66"/>
      <w:r>
        <w:t xml:space="preserve"> Sugar growing regions, mills, refineries and ports</w:t>
      </w:r>
      <w:bookmarkEnd w:id="67"/>
      <w:bookmarkEnd w:id="68"/>
    </w:p>
    <w:p w14:paraId="5092CDBD" w14:textId="7AF65417" w:rsidR="00FB7EA6" w:rsidRPr="00FB7EA6" w:rsidRDefault="00DF45CA" w:rsidP="00FB7EA6">
      <w:pPr>
        <w:pStyle w:val="Notesourcetext"/>
      </w:pPr>
      <w:r>
        <w:rPr>
          <w:noProof/>
          <w:sz w:val="20"/>
          <w:lang w:eastAsia="en-AU"/>
        </w:rPr>
        <w:drawing>
          <wp:inline distT="0" distB="0" distL="0" distR="0" wp14:anchorId="3CF4BFD1" wp14:editId="627E88A6">
            <wp:extent cx="4933335" cy="6747373"/>
            <wp:effectExtent l="0" t="0" r="635" b="0"/>
            <wp:docPr id="9" name="Picture 9" descr="Shows the location of Australian sugar growing regions, sugar mills, sugar refineries and bulk sugar terminals." title="Sugar growing regions, mills, refineries and 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garregions1e.png"/>
                    <pic:cNvPicPr/>
                  </pic:nvPicPr>
                  <pic:blipFill>
                    <a:blip r:embed="rId19">
                      <a:extLst>
                        <a:ext uri="{28A0092B-C50C-407E-A947-70E740481C1C}">
                          <a14:useLocalDpi xmlns:a14="http://schemas.microsoft.com/office/drawing/2010/main" val="0"/>
                        </a:ext>
                      </a:extLst>
                    </a:blip>
                    <a:stretch>
                      <a:fillRect/>
                    </a:stretch>
                  </pic:blipFill>
                  <pic:spPr>
                    <a:xfrm>
                      <a:off x="0" y="0"/>
                      <a:ext cx="4933335" cy="6747373"/>
                    </a:xfrm>
                    <a:prstGeom prst="rect">
                      <a:avLst/>
                    </a:prstGeom>
                  </pic:spPr>
                </pic:pic>
              </a:graphicData>
            </a:graphic>
          </wp:inline>
        </w:drawing>
      </w:r>
    </w:p>
    <w:p w14:paraId="7DB70A2C" w14:textId="49ABA26B" w:rsidR="00383078" w:rsidRDefault="00383078" w:rsidP="00637170">
      <w:pPr>
        <w:pStyle w:val="Notesourcetext"/>
      </w:pPr>
      <w:r>
        <w:t>Note: The Ord</w:t>
      </w:r>
      <w:r w:rsidR="008762D7">
        <w:t xml:space="preserve"> </w:t>
      </w:r>
      <w:r>
        <w:t>sugar mill is no longer opera</w:t>
      </w:r>
      <w:r w:rsidR="008762D7">
        <w:t>tional</w:t>
      </w:r>
      <w:r w:rsidR="00934F81">
        <w:t>.</w:t>
      </w:r>
    </w:p>
    <w:p w14:paraId="2AEBB41D" w14:textId="0E3BDDE2" w:rsidR="00FB7EA6" w:rsidRPr="00637170" w:rsidRDefault="00FB7EA6" w:rsidP="00637170">
      <w:pPr>
        <w:pStyle w:val="Notesourcetext"/>
      </w:pPr>
      <w:r w:rsidRPr="00637170">
        <w:t>Source: ASMC 201</w:t>
      </w:r>
      <w:r w:rsidR="00E20EC3" w:rsidRPr="00637170">
        <w:t>5</w:t>
      </w:r>
      <w:r w:rsidR="00F40219" w:rsidRPr="00637170">
        <w:t>b</w:t>
      </w:r>
      <w:r w:rsidR="00DF45CA" w:rsidRPr="00637170">
        <w:t>, ABARES</w:t>
      </w:r>
    </w:p>
    <w:p w14:paraId="2F6977F4" w14:textId="25A48587" w:rsidR="00FB7EA6" w:rsidRDefault="00FB7EA6" w:rsidP="00FB7EA6">
      <w:pPr>
        <w:pStyle w:val="BodyText1"/>
      </w:pPr>
      <w:r>
        <w:lastRenderedPageBreak/>
        <w:t>In 2014</w:t>
      </w:r>
      <w:r w:rsidRPr="00A21766">
        <w:t>–</w:t>
      </w:r>
      <w:r>
        <w:t>15</w:t>
      </w:r>
      <w:r w:rsidRPr="00A21766">
        <w:t xml:space="preserve"> the gross value of sugar cane production was </w:t>
      </w:r>
      <w:r>
        <w:t>around</w:t>
      </w:r>
      <w:r w:rsidRPr="00A21766">
        <w:t xml:space="preserve"> $</w:t>
      </w:r>
      <w:r>
        <w:t>1.</w:t>
      </w:r>
      <w:r w:rsidR="0077002A">
        <w:t>3</w:t>
      </w:r>
      <w:r w:rsidR="00745D27">
        <w:t> </w:t>
      </w:r>
      <w:r w:rsidRPr="00A21766">
        <w:t>billion</w:t>
      </w:r>
      <w:r>
        <w:t xml:space="preserve"> (or 2.</w:t>
      </w:r>
      <w:r w:rsidR="0077002A">
        <w:t>4</w:t>
      </w:r>
      <w:r>
        <w:t xml:space="preserve"> per cent of the total value of Australian farm production), with 3</w:t>
      </w:r>
      <w:r w:rsidR="0077002A">
        <w:t>78</w:t>
      </w:r>
      <w:r w:rsidR="00ED0256">
        <w:t>,</w:t>
      </w:r>
      <w:r>
        <w:t>000 hectares of cane producing 4.6</w:t>
      </w:r>
      <w:r w:rsidR="00745D27">
        <w:t> </w:t>
      </w:r>
      <w:r w:rsidRPr="00A21766">
        <w:t>million tonnes</w:t>
      </w:r>
      <w:r>
        <w:t xml:space="preserve"> of raw sugar (ABARES 2015)</w:t>
      </w:r>
      <w:r w:rsidRPr="00A21766">
        <w:t xml:space="preserve">. </w:t>
      </w:r>
      <w:r>
        <w:t>Queensland typically produces around 95 per cent of this sugar, with the remaining 5</w:t>
      </w:r>
      <w:r w:rsidR="00E6643A">
        <w:t> </w:t>
      </w:r>
      <w:r>
        <w:t xml:space="preserve">per cent produced in New South Wales. </w:t>
      </w:r>
    </w:p>
    <w:p w14:paraId="7C2BA70D" w14:textId="33A35B9E" w:rsidR="00FB7EA6" w:rsidRDefault="00FB7EA6" w:rsidP="00FB7EA6">
      <w:pPr>
        <w:pStyle w:val="BodyText1"/>
      </w:pPr>
      <w:r>
        <w:t>Around 85</w:t>
      </w:r>
      <w:r w:rsidR="00E6643A">
        <w:t> </w:t>
      </w:r>
      <w:r>
        <w:t>per cent of sugar produced in Queensland is exported (ASMC</w:t>
      </w:r>
      <w:r w:rsidRPr="00A21766">
        <w:t xml:space="preserve"> 2015</w:t>
      </w:r>
      <w:r w:rsidR="00DB293E">
        <w:t>b</w:t>
      </w:r>
      <w:r w:rsidRPr="00A21766">
        <w:t>)</w:t>
      </w:r>
      <w:r>
        <w:t>, while most sugar produced in New South Wales is consumed in the domestic market</w:t>
      </w:r>
      <w:r w:rsidRPr="00A21766">
        <w:t>.</w:t>
      </w:r>
    </w:p>
    <w:p w14:paraId="31B48EA4" w14:textId="77777777" w:rsidR="00FB7EA6" w:rsidRPr="00FB7EA6" w:rsidRDefault="00FB7EA6" w:rsidP="00880D25">
      <w:pPr>
        <w:pStyle w:val="Heading2"/>
      </w:pPr>
      <w:bookmarkStart w:id="69" w:name="_Toc442080554"/>
      <w:bookmarkStart w:id="70" w:name="_Toc459738667"/>
      <w:bookmarkStart w:id="71" w:name="_Toc487721241"/>
      <w:r>
        <w:t>The sugar value chain</w:t>
      </w:r>
      <w:bookmarkEnd w:id="69"/>
      <w:bookmarkEnd w:id="70"/>
      <w:bookmarkEnd w:id="71"/>
    </w:p>
    <w:p w14:paraId="76D0F939" w14:textId="48E74DDE" w:rsidR="00FB7EA6" w:rsidRDefault="00FB7EA6" w:rsidP="00FB7EA6">
      <w:pPr>
        <w:pStyle w:val="BodyText1"/>
      </w:pPr>
      <w:r w:rsidRPr="00441517">
        <w:t xml:space="preserve">The value chain </w:t>
      </w:r>
      <w:r>
        <w:t>is</w:t>
      </w:r>
      <w:r w:rsidRPr="00441517">
        <w:t xml:space="preserve"> the process by which value is added to a product through activities such as transport, processing, stor</w:t>
      </w:r>
      <w:r>
        <w:t>ing</w:t>
      </w:r>
      <w:r w:rsidRPr="00441517">
        <w:t xml:space="preserve"> and marketing</w:t>
      </w:r>
      <w:r>
        <w:t xml:space="preserve"> (</w:t>
      </w:r>
      <w:r>
        <w:fldChar w:fldCharType="begin"/>
      </w:r>
      <w:r>
        <w:instrText xml:space="preserve"> REF _Ref447617933 \h </w:instrText>
      </w:r>
      <w:r>
        <w:fldChar w:fldCharType="separate"/>
      </w:r>
      <w:r w:rsidR="00A82ABB">
        <w:t xml:space="preserve">Figure </w:t>
      </w:r>
      <w:r w:rsidR="00A82ABB">
        <w:rPr>
          <w:noProof/>
        </w:rPr>
        <w:t>1</w:t>
      </w:r>
      <w:r>
        <w:fldChar w:fldCharType="end"/>
      </w:r>
      <w:r>
        <w:t>)</w:t>
      </w:r>
      <w:r w:rsidRPr="00441517">
        <w:t xml:space="preserve">. </w:t>
      </w:r>
      <w:r>
        <w:t>The major stages of value-add to sugar cane from farms are sugar milling and sugar refining.</w:t>
      </w:r>
      <w:r w:rsidRPr="00441517">
        <w:t xml:space="preserve"> </w:t>
      </w:r>
      <w:r>
        <w:t>Value added through further processing and marketing of refined sugar are no</w:t>
      </w:r>
      <w:r w:rsidRPr="00441517">
        <w:t>t included in</w:t>
      </w:r>
      <w:r>
        <w:t xml:space="preserve"> </w:t>
      </w:r>
      <w:r>
        <w:fldChar w:fldCharType="begin"/>
      </w:r>
      <w:r>
        <w:instrText xml:space="preserve"> REF _Ref447617933 \h </w:instrText>
      </w:r>
      <w:r>
        <w:fldChar w:fldCharType="separate"/>
      </w:r>
      <w:r w:rsidR="00A82ABB">
        <w:t xml:space="preserve">Figure </w:t>
      </w:r>
      <w:r w:rsidR="00A82ABB">
        <w:rPr>
          <w:noProof/>
        </w:rPr>
        <w:t>1</w:t>
      </w:r>
      <w:r>
        <w:fldChar w:fldCharType="end"/>
      </w:r>
      <w:r w:rsidRPr="00441517">
        <w:t>.</w:t>
      </w:r>
      <w:r>
        <w:t xml:space="preserve"> </w:t>
      </w:r>
    </w:p>
    <w:p w14:paraId="49F60322" w14:textId="77777777" w:rsidR="00FB7EA6" w:rsidRDefault="00FB7EA6" w:rsidP="00FB7EA6">
      <w:pPr>
        <w:pStyle w:val="Caption"/>
      </w:pPr>
      <w:bookmarkStart w:id="72" w:name="_Ref447617933"/>
      <w:bookmarkStart w:id="73" w:name="_Toc459731412"/>
      <w:bookmarkStart w:id="74" w:name="_Toc488412506"/>
      <w:r>
        <w:t xml:space="preserve">Figure </w:t>
      </w:r>
      <w:fldSimple w:instr=" SEQ Figure \* ARABIC ">
        <w:r w:rsidR="00A82ABB">
          <w:rPr>
            <w:noProof/>
          </w:rPr>
          <w:t>1</w:t>
        </w:r>
      </w:fldSimple>
      <w:bookmarkEnd w:id="72"/>
      <w:r>
        <w:t xml:space="preserve"> Sugar value chain</w:t>
      </w:r>
      <w:bookmarkEnd w:id="73"/>
      <w:bookmarkEnd w:id="74"/>
    </w:p>
    <w:sdt>
      <w:sdtPr>
        <w:id w:val="-1995478566"/>
        <w:picture/>
      </w:sdtPr>
      <w:sdtEndPr/>
      <w:sdtContent>
        <w:p w14:paraId="7DE2F9E7" w14:textId="77777777" w:rsidR="00FB7EA6" w:rsidRDefault="00FB7EA6" w:rsidP="00EE57C8">
          <w:pPr>
            <w:pStyle w:val="NoSpacing"/>
          </w:pPr>
          <w:r w:rsidRPr="00FB7EA6">
            <w:rPr>
              <w:noProof/>
              <w:lang w:eastAsia="en-AU"/>
            </w:rPr>
            <w:drawing>
              <wp:inline distT="0" distB="0" distL="0" distR="0" wp14:anchorId="1898A99A" wp14:editId="46327173">
                <wp:extent cx="5731510" cy="2109333"/>
                <wp:effectExtent l="0" t="0" r="2540" b="5715"/>
                <wp:docPr id="17" name="Picture 17" descr="Shows the major stages of the sugar value chain as discussed in the previous paragraph." title="Sugar value 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731510" cy="2109333"/>
                        </a:xfrm>
                        <a:prstGeom prst="rect">
                          <a:avLst/>
                        </a:prstGeom>
                        <a:noFill/>
                        <a:ln>
                          <a:noFill/>
                        </a:ln>
                      </pic:spPr>
                    </pic:pic>
                  </a:graphicData>
                </a:graphic>
              </wp:inline>
            </w:drawing>
          </w:r>
        </w:p>
      </w:sdtContent>
    </w:sdt>
    <w:p w14:paraId="079A08DC" w14:textId="77777777" w:rsidR="00FB7EA6" w:rsidRDefault="00FB7EA6" w:rsidP="00FB7EA6">
      <w:pPr>
        <w:pStyle w:val="Notesourcetext"/>
      </w:pPr>
      <w:r>
        <w:t>Source: Adapted from Spencer 2004</w:t>
      </w:r>
    </w:p>
    <w:p w14:paraId="3B528FCD" w14:textId="77777777" w:rsidR="00FB7EA6" w:rsidRDefault="00FB7EA6" w:rsidP="00880D25">
      <w:pPr>
        <w:pStyle w:val="Heading3"/>
      </w:pPr>
      <w:r>
        <w:t>Cane growing</w:t>
      </w:r>
    </w:p>
    <w:p w14:paraId="696387EF" w14:textId="6D46BA4C" w:rsidR="00FB7EA6" w:rsidRDefault="00FB7EA6" w:rsidP="00FB7EA6">
      <w:pPr>
        <w:pStyle w:val="BodyText1"/>
      </w:pPr>
      <w:r>
        <w:t>In 2013–14 there were 3</w:t>
      </w:r>
      <w:r w:rsidR="00745D27">
        <w:t>,</w:t>
      </w:r>
      <w:r>
        <w:t>508 sugar cane farm businesses in Australia with at least</w:t>
      </w:r>
      <w:r w:rsidRPr="008D419F">
        <w:t xml:space="preserve"> 5 hectares </w:t>
      </w:r>
      <w:r>
        <w:t>planted to</w:t>
      </w:r>
      <w:r w:rsidRPr="008D419F">
        <w:t xml:space="preserve"> </w:t>
      </w:r>
      <w:r>
        <w:t>sugar cane and an estimated gross value of production of at least $30</w:t>
      </w:r>
      <w:r w:rsidR="00ED0256">
        <w:t>,</w:t>
      </w:r>
      <w:r>
        <w:t>000 (Valle &amp; Martin 2015). Sugar cane is typically harvested between June and December (drier months in the tropics) and delivered to mills by rail and/or road. Because cane sugar levels deteriorate over time, cane needs to be transported to mills and crushed</w:t>
      </w:r>
      <w:r w:rsidRPr="00552BD9">
        <w:t xml:space="preserve"> </w:t>
      </w:r>
      <w:r>
        <w:t>(to extract the raw sugar)</w:t>
      </w:r>
      <w:r w:rsidRPr="00B668E2">
        <w:t xml:space="preserve"> </w:t>
      </w:r>
      <w:r>
        <w:t xml:space="preserve">soon after harvest. </w:t>
      </w:r>
    </w:p>
    <w:p w14:paraId="2A62BB36" w14:textId="15305533" w:rsidR="00FB7EA6" w:rsidRPr="00D915BE" w:rsidRDefault="00FB7EA6" w:rsidP="00FB7EA6">
      <w:pPr>
        <w:pStyle w:val="BodyText1"/>
      </w:pPr>
      <w:r w:rsidRPr="00D915BE">
        <w:t>In Queensland, 93 per cent of cane harvested in the 2014 crushing season was transported directly to raw sugar mills on railways</w:t>
      </w:r>
      <w:r>
        <w:t xml:space="preserve"> owned by mills, with t</w:t>
      </w:r>
      <w:r w:rsidRPr="00D915BE">
        <w:t>he remainder moved by road or a combination of road and rail (</w:t>
      </w:r>
      <w:r>
        <w:t>ASMC</w:t>
      </w:r>
      <w:r w:rsidRPr="00D915BE">
        <w:t xml:space="preserve"> 2015</w:t>
      </w:r>
      <w:r w:rsidR="00DB293E">
        <w:t>c</w:t>
      </w:r>
      <w:r w:rsidRPr="00D915BE">
        <w:t>). In N</w:t>
      </w:r>
      <w:r>
        <w:t xml:space="preserve">ew </w:t>
      </w:r>
      <w:r w:rsidRPr="00D915BE">
        <w:t>S</w:t>
      </w:r>
      <w:r>
        <w:t xml:space="preserve">outh </w:t>
      </w:r>
      <w:r w:rsidRPr="00D915BE">
        <w:t>W</w:t>
      </w:r>
      <w:r>
        <w:t>ales,</w:t>
      </w:r>
      <w:r w:rsidRPr="00D915BE">
        <w:t xml:space="preserve"> sugar cane is transported to mills by road (Sunshine Sugar 2015). </w:t>
      </w:r>
    </w:p>
    <w:p w14:paraId="28B4C2DC" w14:textId="77777777" w:rsidR="00FB7EA6" w:rsidRDefault="00FB7EA6" w:rsidP="00880D25">
      <w:pPr>
        <w:pStyle w:val="Heading3"/>
      </w:pPr>
      <w:r>
        <w:t>Sugar milling</w:t>
      </w:r>
    </w:p>
    <w:p w14:paraId="39A44D43" w14:textId="1E462D72" w:rsidR="00FB7EA6" w:rsidRDefault="00FB7EA6" w:rsidP="00FB7EA6">
      <w:pPr>
        <w:pStyle w:val="BodyText1"/>
      </w:pPr>
      <w:r>
        <w:t xml:space="preserve">Legal ownership of sugar cane passes from growers to millers when cane is delivered to a mill, as set out in Cane Supply Agreements </w:t>
      </w:r>
      <w:r w:rsidR="00E15224">
        <w:t xml:space="preserve">(CSAs) </w:t>
      </w:r>
      <w:r>
        <w:t>(ASMC 2014). C</w:t>
      </w:r>
      <w:r w:rsidR="00E15224">
        <w:t>SAs</w:t>
      </w:r>
      <w:r>
        <w:t xml:space="preserve"> </w:t>
      </w:r>
      <w:r w:rsidRPr="00F10412">
        <w:t xml:space="preserve">are agreements between growers and millers that set out terms and conditions for </w:t>
      </w:r>
      <w:r>
        <w:t xml:space="preserve">payment for </w:t>
      </w:r>
      <w:r w:rsidRPr="00F10412">
        <w:t>cane</w:t>
      </w:r>
      <w:r>
        <w:t>.</w:t>
      </w:r>
      <w:r w:rsidRPr="00F10412">
        <w:t xml:space="preserve"> </w:t>
      </w:r>
      <w:r>
        <w:t>They also set out terms and conditions for</w:t>
      </w:r>
      <w:r w:rsidRPr="00F10412">
        <w:t xml:space="preserve"> harvest</w:t>
      </w:r>
      <w:r>
        <w:t>ing</w:t>
      </w:r>
      <w:r w:rsidRPr="00F10412">
        <w:t>, transport</w:t>
      </w:r>
      <w:r>
        <w:t>ing,</w:t>
      </w:r>
      <w:r w:rsidRPr="00F10412">
        <w:t xml:space="preserve"> deliver</w:t>
      </w:r>
      <w:r>
        <w:t>ing</w:t>
      </w:r>
      <w:r w:rsidRPr="00F10412">
        <w:t xml:space="preserve"> and crushing</w:t>
      </w:r>
      <w:r>
        <w:t xml:space="preserve"> cane. Most CSAs contain cane pricing formulas (see </w:t>
      </w:r>
      <w:r>
        <w:fldChar w:fldCharType="begin"/>
      </w:r>
      <w:r>
        <w:instrText xml:space="preserve"> REF _Ref446346705 \h </w:instrText>
      </w:r>
      <w:r>
        <w:fldChar w:fldCharType="separate"/>
      </w:r>
      <w:r w:rsidR="00A82ABB">
        <w:t xml:space="preserve">Box </w:t>
      </w:r>
      <w:r w:rsidR="00A82ABB">
        <w:rPr>
          <w:noProof/>
        </w:rPr>
        <w:t>1</w:t>
      </w:r>
      <w:r>
        <w:fldChar w:fldCharType="end"/>
      </w:r>
      <w:r>
        <w:t xml:space="preserve"> for detail) that express cane prices as a function of net raw sugar prices and the sugar content of cane. The net raw sugar price is the price received by </w:t>
      </w:r>
      <w:r>
        <w:lastRenderedPageBreak/>
        <w:t xml:space="preserve">a mill for the sale of sugar produced from cane, and links the cane price to the world raw sugar price </w:t>
      </w:r>
      <w:r w:rsidRPr="00FB7EA6">
        <w:t>(</w:t>
      </w:r>
      <w:r w:rsidRPr="00D80633">
        <w:t>Wilmar Sugar 2014</w:t>
      </w:r>
      <w:r w:rsidRPr="00FB7EA6">
        <w:t>).</w:t>
      </w:r>
      <w:r w:rsidRPr="00F10412">
        <w:t xml:space="preserve"> </w:t>
      </w:r>
      <w:r>
        <w:t xml:space="preserve">CSAs are </w:t>
      </w:r>
      <w:r w:rsidRPr="00F10412">
        <w:t xml:space="preserve">required </w:t>
      </w:r>
      <w:r>
        <w:t>under</w:t>
      </w:r>
      <w:r w:rsidRPr="00F10412">
        <w:t xml:space="preserve"> the </w:t>
      </w:r>
      <w:r w:rsidRPr="00476A4E">
        <w:rPr>
          <w:rStyle w:val="Italic"/>
        </w:rPr>
        <w:t>Sugar Industry Act 1999</w:t>
      </w:r>
      <w:r w:rsidRPr="00F10412">
        <w:t xml:space="preserve"> (Qld)</w:t>
      </w:r>
      <w:r>
        <w:t>.</w:t>
      </w:r>
    </w:p>
    <w:p w14:paraId="6F34C6EC" w14:textId="4D65DD3C" w:rsidR="00FB7EA6" w:rsidRDefault="00FB7EA6" w:rsidP="00FB7EA6">
      <w:pPr>
        <w:pStyle w:val="BodyText1"/>
      </w:pPr>
      <w:r>
        <w:t>Cane is usually crushed</w:t>
      </w:r>
      <w:r w:rsidRPr="00552BD9">
        <w:t xml:space="preserve"> </w:t>
      </w:r>
      <w:r>
        <w:t>6 to 14 hours after harvest (ASMC 2015</w:t>
      </w:r>
      <w:r w:rsidR="00DB293E">
        <w:t>c</w:t>
      </w:r>
      <w:r>
        <w:t xml:space="preserve">). </w:t>
      </w:r>
      <w:r w:rsidR="002E4291">
        <w:t>Around 7.24</w:t>
      </w:r>
      <w:r w:rsidR="00E6643A">
        <w:t> </w:t>
      </w:r>
      <w:r w:rsidR="002E4291" w:rsidRPr="00E625D8">
        <w:t>kilograms of sugar cane</w:t>
      </w:r>
      <w:r w:rsidR="002E4291">
        <w:t xml:space="preserve"> are required t</w:t>
      </w:r>
      <w:r>
        <w:t xml:space="preserve">o produce one </w:t>
      </w:r>
      <w:r w:rsidRPr="00E625D8">
        <w:t>kilogram</w:t>
      </w:r>
      <w:r>
        <w:t xml:space="preserve"> of raw sugar</w:t>
      </w:r>
      <w:r w:rsidR="002E4291">
        <w:t xml:space="preserve"> (</w:t>
      </w:r>
      <w:r w:rsidR="001C3D7D">
        <w:t>although</w:t>
      </w:r>
      <w:r w:rsidR="002E4291">
        <w:t xml:space="preserve"> this can vary)</w:t>
      </w:r>
      <w:r w:rsidR="004F0476">
        <w:t xml:space="preserve"> (ABARES 2015)</w:t>
      </w:r>
      <w:r>
        <w:t xml:space="preserve">. Valuable by-products </w:t>
      </w:r>
      <w:r w:rsidR="002E4291">
        <w:t xml:space="preserve">are also produced in the milling process, </w:t>
      </w:r>
      <w:r>
        <w:t xml:space="preserve">including bagasse (fibre), molasses and </w:t>
      </w:r>
      <w:r w:rsidR="00357BC8">
        <w:t>mill</w:t>
      </w:r>
      <w:r>
        <w:t xml:space="preserve"> mud. </w:t>
      </w:r>
      <w:r w:rsidRPr="0038627D">
        <w:t>Bagasse and mill mud are re-used by industry</w:t>
      </w:r>
      <w:r>
        <w:t xml:space="preserve"> whereas</w:t>
      </w:r>
      <w:r w:rsidRPr="0038627D">
        <w:t xml:space="preserve"> molasses is marketed separately.</w:t>
      </w:r>
    </w:p>
    <w:p w14:paraId="56C045CB" w14:textId="2EDE827B" w:rsidR="00FB7EA6" w:rsidRDefault="00FB7EA6" w:rsidP="00FB7EA6">
      <w:pPr>
        <w:pStyle w:val="BodyText1"/>
      </w:pPr>
      <w:r>
        <w:t xml:space="preserve">There are currently 24 mills operating in Australia, all of which are located close to cane growing areas. Twenty one are in Queensland and three are in New South Wales (see </w:t>
      </w:r>
      <w:r>
        <w:fldChar w:fldCharType="begin"/>
      </w:r>
      <w:r>
        <w:instrText xml:space="preserve"> REF _Ref449008217 \h </w:instrText>
      </w:r>
      <w:r>
        <w:fldChar w:fldCharType="separate"/>
      </w:r>
      <w:r w:rsidR="00A82ABB">
        <w:t xml:space="preserve">Table </w:t>
      </w:r>
      <w:r w:rsidR="00A82ABB">
        <w:rPr>
          <w:noProof/>
        </w:rPr>
        <w:t>1</w:t>
      </w:r>
      <w:r>
        <w:fldChar w:fldCharType="end"/>
      </w:r>
      <w:r>
        <w:t xml:space="preserve">). These mills are owned by </w:t>
      </w:r>
      <w:r w:rsidR="00E6643A">
        <w:t xml:space="preserve">eight </w:t>
      </w:r>
      <w:r>
        <w:t xml:space="preserve">companies, </w:t>
      </w:r>
      <w:r w:rsidR="00E6643A">
        <w:t xml:space="preserve">three </w:t>
      </w:r>
      <w:r>
        <w:t xml:space="preserve">of which are fully or partially grower owned. Around 75 per cent of </w:t>
      </w:r>
      <w:r w:rsidR="0077002A">
        <w:t xml:space="preserve">Queensland's </w:t>
      </w:r>
      <w:r>
        <w:t xml:space="preserve">milling capacity </w:t>
      </w:r>
      <w:r w:rsidR="0077002A">
        <w:t xml:space="preserve">is </w:t>
      </w:r>
      <w:r>
        <w:t xml:space="preserve">owned by foreign parent companies (ASMC 2014). The perishability of cane and transport costs effectively restrict growers’ choice of which mill to </w:t>
      </w:r>
      <w:r w:rsidRPr="00D25ACE">
        <w:t xml:space="preserve">supply, although </w:t>
      </w:r>
      <w:r w:rsidR="00402FFC">
        <w:t xml:space="preserve">ASMC (2014) argues that </w:t>
      </w:r>
      <w:r w:rsidRPr="00D25ACE">
        <w:t>the interdependence between growers and millers goes both ways, with millers reliant on high levels of throughput to generate profits.</w:t>
      </w:r>
    </w:p>
    <w:p w14:paraId="2942528A" w14:textId="77777777" w:rsidR="00FB7EA6" w:rsidRDefault="00FB7EA6" w:rsidP="00FB7EA6">
      <w:pPr>
        <w:pStyle w:val="Caption"/>
      </w:pPr>
      <w:bookmarkStart w:id="75" w:name="_Ref449008217"/>
      <w:bookmarkStart w:id="76" w:name="_Toc487721259"/>
      <w:r>
        <w:t xml:space="preserve">Table </w:t>
      </w:r>
      <w:fldSimple w:instr=" SEQ Table \* ARABIC ">
        <w:r w:rsidR="00A82ABB">
          <w:rPr>
            <w:noProof/>
          </w:rPr>
          <w:t>1</w:t>
        </w:r>
      </w:fldSimple>
      <w:bookmarkEnd w:id="75"/>
      <w:r>
        <w:t xml:space="preserve"> Mill (and mill owner), by growing region</w:t>
      </w:r>
      <w:bookmarkEnd w:id="76"/>
      <w:r>
        <w:t xml:space="preserve"> </w:t>
      </w:r>
    </w:p>
    <w:tbl>
      <w:tblPr>
        <w:tblStyle w:val="ABAREStable"/>
        <w:tblW w:w="0" w:type="auto"/>
        <w:tblLook w:val="04A0" w:firstRow="1" w:lastRow="0" w:firstColumn="1" w:lastColumn="0" w:noHBand="0" w:noVBand="1"/>
      </w:tblPr>
      <w:tblGrid>
        <w:gridCol w:w="1803"/>
        <w:gridCol w:w="1803"/>
        <w:gridCol w:w="1803"/>
        <w:gridCol w:w="1803"/>
        <w:gridCol w:w="1804"/>
      </w:tblGrid>
      <w:tr w:rsidR="00FB7EA6" w14:paraId="18C78EA6" w14:textId="77777777" w:rsidTr="00526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0655125" w14:textId="77777777" w:rsidR="00FB7EA6" w:rsidRPr="00FB7EA6" w:rsidRDefault="00FB7EA6" w:rsidP="00FB7EA6">
            <w:pPr>
              <w:pStyle w:val="Tabletext"/>
            </w:pPr>
            <w:r>
              <w:t>Northern</w:t>
            </w:r>
          </w:p>
        </w:tc>
        <w:tc>
          <w:tcPr>
            <w:tcW w:w="1803" w:type="dxa"/>
          </w:tcPr>
          <w:p w14:paraId="79E6F08C" w14:textId="77777777" w:rsidR="00FB7EA6" w:rsidRPr="00FB7EA6" w:rsidRDefault="00FB7EA6" w:rsidP="00FB7EA6">
            <w:pPr>
              <w:pStyle w:val="Tabletext"/>
              <w:cnfStyle w:val="100000000000" w:firstRow="1" w:lastRow="0" w:firstColumn="0" w:lastColumn="0" w:oddVBand="0" w:evenVBand="0" w:oddHBand="0" w:evenHBand="0" w:firstRowFirstColumn="0" w:firstRowLastColumn="0" w:lastRowFirstColumn="0" w:lastRowLastColumn="0"/>
            </w:pPr>
            <w:r>
              <w:t>Herbert-Burdekin</w:t>
            </w:r>
          </w:p>
        </w:tc>
        <w:tc>
          <w:tcPr>
            <w:tcW w:w="1803" w:type="dxa"/>
          </w:tcPr>
          <w:p w14:paraId="2BA731A8" w14:textId="77777777" w:rsidR="00FB7EA6" w:rsidRPr="00FB7EA6" w:rsidRDefault="00FB7EA6" w:rsidP="00FB7EA6">
            <w:pPr>
              <w:pStyle w:val="Tabletext"/>
              <w:cnfStyle w:val="100000000000" w:firstRow="1" w:lastRow="0" w:firstColumn="0" w:lastColumn="0" w:oddVBand="0" w:evenVBand="0" w:oddHBand="0" w:evenHBand="0" w:firstRowFirstColumn="0" w:firstRowLastColumn="0" w:lastRowFirstColumn="0" w:lastRowLastColumn="0"/>
            </w:pPr>
            <w:r>
              <w:t>Mackay-Proserpine</w:t>
            </w:r>
          </w:p>
        </w:tc>
        <w:tc>
          <w:tcPr>
            <w:tcW w:w="1803" w:type="dxa"/>
          </w:tcPr>
          <w:p w14:paraId="4828CB2E" w14:textId="77777777" w:rsidR="00FB7EA6" w:rsidRPr="00FB7EA6" w:rsidRDefault="00FB7EA6" w:rsidP="00FB7EA6">
            <w:pPr>
              <w:pStyle w:val="Tabletext"/>
              <w:cnfStyle w:val="100000000000" w:firstRow="1" w:lastRow="0" w:firstColumn="0" w:lastColumn="0" w:oddVBand="0" w:evenVBand="0" w:oddHBand="0" w:evenHBand="0" w:firstRowFirstColumn="0" w:firstRowLastColumn="0" w:lastRowFirstColumn="0" w:lastRowLastColumn="0"/>
            </w:pPr>
            <w:r>
              <w:t>Southern</w:t>
            </w:r>
          </w:p>
        </w:tc>
        <w:tc>
          <w:tcPr>
            <w:tcW w:w="1804" w:type="dxa"/>
          </w:tcPr>
          <w:p w14:paraId="600772AF" w14:textId="77777777" w:rsidR="00FB7EA6" w:rsidRPr="00FB7EA6" w:rsidRDefault="00FB7EA6" w:rsidP="00FB7EA6">
            <w:pPr>
              <w:pStyle w:val="Tabletext"/>
              <w:cnfStyle w:val="100000000000" w:firstRow="1" w:lastRow="0" w:firstColumn="0" w:lastColumn="0" w:oddVBand="0" w:evenVBand="0" w:oddHBand="0" w:evenHBand="0" w:firstRowFirstColumn="0" w:firstRowLastColumn="0" w:lastRowFirstColumn="0" w:lastRowLastColumn="0"/>
            </w:pPr>
            <w:r>
              <w:t>NSW</w:t>
            </w:r>
          </w:p>
        </w:tc>
      </w:tr>
      <w:tr w:rsidR="00FB7EA6" w14:paraId="014CD0FD" w14:textId="77777777" w:rsidTr="00526A4F">
        <w:tc>
          <w:tcPr>
            <w:cnfStyle w:val="001000000000" w:firstRow="0" w:lastRow="0" w:firstColumn="1" w:lastColumn="0" w:oddVBand="0" w:evenVBand="0" w:oddHBand="0" w:evenHBand="0" w:firstRowFirstColumn="0" w:firstRowLastColumn="0" w:lastRowFirstColumn="0" w:lastRowLastColumn="0"/>
            <w:tcW w:w="1803" w:type="dxa"/>
          </w:tcPr>
          <w:p w14:paraId="3AB83F6F" w14:textId="77777777" w:rsidR="00FB7EA6" w:rsidRPr="00FB7EA6" w:rsidRDefault="00FB7EA6" w:rsidP="00FB7EA6">
            <w:pPr>
              <w:pStyle w:val="Tabletext"/>
            </w:pPr>
            <w:r>
              <w:t>Mossman (</w:t>
            </w:r>
            <w:r w:rsidRPr="00FB7EA6">
              <w:t>Mackay Sugar Ltd)</w:t>
            </w:r>
          </w:p>
          <w:p w14:paraId="496669F4" w14:textId="77777777" w:rsidR="00FB7EA6" w:rsidRPr="00FB7EA6" w:rsidRDefault="00FB7EA6" w:rsidP="00FB7EA6">
            <w:pPr>
              <w:pStyle w:val="Tabletext"/>
            </w:pPr>
            <w:r>
              <w:t xml:space="preserve">Tablelands </w:t>
            </w:r>
            <w:r w:rsidRPr="00FB7EA6">
              <w:t>(MSF Sugar Ltd)</w:t>
            </w:r>
          </w:p>
          <w:p w14:paraId="78FB8D4E" w14:textId="77777777" w:rsidR="00FB7EA6" w:rsidRPr="00FB7EA6" w:rsidRDefault="00FB7EA6" w:rsidP="00FB7EA6">
            <w:pPr>
              <w:pStyle w:val="Tabletext"/>
            </w:pPr>
            <w:r>
              <w:t>Mulgrave (</w:t>
            </w:r>
            <w:r w:rsidRPr="00FB7EA6">
              <w:t>MSF Sugar Ltd)</w:t>
            </w:r>
          </w:p>
          <w:p w14:paraId="6568D71B" w14:textId="77777777" w:rsidR="00FB7EA6" w:rsidRPr="00FB7EA6" w:rsidRDefault="00FB7EA6" w:rsidP="00FB7EA6">
            <w:pPr>
              <w:pStyle w:val="Tabletext"/>
            </w:pPr>
            <w:r>
              <w:t xml:space="preserve">South Johnson </w:t>
            </w:r>
            <w:r w:rsidRPr="00FB7EA6">
              <w:t>(MSF Sugar Ltd)</w:t>
            </w:r>
          </w:p>
          <w:p w14:paraId="021104B3" w14:textId="77777777" w:rsidR="00FB7EA6" w:rsidRPr="00FB7EA6" w:rsidRDefault="00FB7EA6" w:rsidP="00FB7EA6">
            <w:pPr>
              <w:pStyle w:val="Tabletext"/>
            </w:pPr>
            <w:r>
              <w:t xml:space="preserve">Tully </w:t>
            </w:r>
            <w:r w:rsidRPr="00FB7EA6">
              <w:t>(Tully Sugar Ltd)</w:t>
            </w:r>
          </w:p>
        </w:tc>
        <w:tc>
          <w:tcPr>
            <w:tcW w:w="1803" w:type="dxa"/>
          </w:tcPr>
          <w:p w14:paraId="61EDEAFE" w14:textId="77777777" w:rsidR="00FB7EA6" w:rsidRPr="00FB7EA6" w:rsidRDefault="00FB7EA6" w:rsidP="00FB7EA6">
            <w:pPr>
              <w:pStyle w:val="Tabletext"/>
              <w:cnfStyle w:val="000000000000" w:firstRow="0" w:lastRow="0" w:firstColumn="0" w:lastColumn="0" w:oddVBand="0" w:evenVBand="0" w:oddHBand="0" w:evenHBand="0" w:firstRowFirstColumn="0" w:firstRowLastColumn="0" w:lastRowFirstColumn="0" w:lastRowLastColumn="0"/>
            </w:pPr>
            <w:r>
              <w:t>M</w:t>
            </w:r>
            <w:r w:rsidRPr="00FB7EA6">
              <w:t>acknade (Wilmar Sugar Ltd)</w:t>
            </w:r>
          </w:p>
          <w:p w14:paraId="7F5CF34E" w14:textId="77777777" w:rsidR="00FB7EA6" w:rsidRPr="00FB7EA6" w:rsidRDefault="00FB7EA6" w:rsidP="00FB7EA6">
            <w:pPr>
              <w:pStyle w:val="Tabletext"/>
              <w:cnfStyle w:val="000000000000" w:firstRow="0" w:lastRow="0" w:firstColumn="0" w:lastColumn="0" w:oddVBand="0" w:evenVBand="0" w:oddHBand="0" w:evenHBand="0" w:firstRowFirstColumn="0" w:firstRowLastColumn="0" w:lastRowFirstColumn="0" w:lastRowLastColumn="0"/>
            </w:pPr>
            <w:r>
              <w:t>Victoria (</w:t>
            </w:r>
            <w:r w:rsidRPr="00FB7EA6">
              <w:t>Wilmar Sugar Ltd)</w:t>
            </w:r>
          </w:p>
          <w:p w14:paraId="2BEEF0CC" w14:textId="77777777" w:rsidR="00FB7EA6" w:rsidRPr="00FB7EA6" w:rsidRDefault="00FB7EA6" w:rsidP="00FB7EA6">
            <w:pPr>
              <w:pStyle w:val="Tabletext"/>
              <w:cnfStyle w:val="000000000000" w:firstRow="0" w:lastRow="0" w:firstColumn="0" w:lastColumn="0" w:oddVBand="0" w:evenVBand="0" w:oddHBand="0" w:evenHBand="0" w:firstRowFirstColumn="0" w:firstRowLastColumn="0" w:lastRowFirstColumn="0" w:lastRowLastColumn="0"/>
            </w:pPr>
            <w:proofErr w:type="spellStart"/>
            <w:r>
              <w:t>Invicta</w:t>
            </w:r>
            <w:proofErr w:type="spellEnd"/>
            <w:r>
              <w:t xml:space="preserve"> (Wilmar Sugar Ltd)</w:t>
            </w:r>
          </w:p>
          <w:p w14:paraId="08988686" w14:textId="77777777" w:rsidR="00FB7EA6" w:rsidRPr="00FB7EA6" w:rsidRDefault="00FB7EA6" w:rsidP="00FB7EA6">
            <w:pPr>
              <w:pStyle w:val="Tabletext"/>
              <w:cnfStyle w:val="000000000000" w:firstRow="0" w:lastRow="0" w:firstColumn="0" w:lastColumn="0" w:oddVBand="0" w:evenVBand="0" w:oddHBand="0" w:evenHBand="0" w:firstRowFirstColumn="0" w:firstRowLastColumn="0" w:lastRowFirstColumn="0" w:lastRowLastColumn="0"/>
            </w:pPr>
            <w:r>
              <w:t xml:space="preserve">Pioneer </w:t>
            </w:r>
            <w:r w:rsidRPr="00FB7EA6">
              <w:t>(Wilmar Sugar Ltd)</w:t>
            </w:r>
          </w:p>
          <w:p w14:paraId="5E6D6FEF" w14:textId="77777777" w:rsidR="00FB7EA6" w:rsidRPr="00FB7EA6" w:rsidRDefault="00FB7EA6" w:rsidP="00FB7EA6">
            <w:pPr>
              <w:pStyle w:val="Tabletext"/>
              <w:cnfStyle w:val="000000000000" w:firstRow="0" w:lastRow="0" w:firstColumn="0" w:lastColumn="0" w:oddVBand="0" w:evenVBand="0" w:oddHBand="0" w:evenHBand="0" w:firstRowFirstColumn="0" w:firstRowLastColumn="0" w:lastRowFirstColumn="0" w:lastRowLastColumn="0"/>
            </w:pPr>
            <w:proofErr w:type="spellStart"/>
            <w:r>
              <w:t>Kalamia</w:t>
            </w:r>
            <w:proofErr w:type="spellEnd"/>
            <w:r>
              <w:t xml:space="preserve"> (</w:t>
            </w:r>
            <w:r w:rsidRPr="00FB7EA6">
              <w:t>Wilmar Sugar Ltd)</w:t>
            </w:r>
          </w:p>
          <w:p w14:paraId="276C18F0" w14:textId="77777777" w:rsidR="00FB7EA6" w:rsidRPr="00FB7EA6" w:rsidRDefault="00FB7EA6" w:rsidP="00FB7EA6">
            <w:pPr>
              <w:pStyle w:val="Tabletext"/>
              <w:cnfStyle w:val="000000000000" w:firstRow="0" w:lastRow="0" w:firstColumn="0" w:lastColumn="0" w:oddVBand="0" w:evenVBand="0" w:oddHBand="0" w:evenHBand="0" w:firstRowFirstColumn="0" w:firstRowLastColumn="0" w:lastRowFirstColumn="0" w:lastRowLastColumn="0"/>
            </w:pPr>
            <w:r>
              <w:t>Inkerman (</w:t>
            </w:r>
            <w:r w:rsidRPr="00FB7EA6">
              <w:t>Wilmar Sugar Ltd)</w:t>
            </w:r>
          </w:p>
        </w:tc>
        <w:tc>
          <w:tcPr>
            <w:tcW w:w="1803" w:type="dxa"/>
          </w:tcPr>
          <w:p w14:paraId="7905855A" w14:textId="77777777" w:rsidR="00FB7EA6" w:rsidRPr="00FB7EA6" w:rsidRDefault="00FB7EA6" w:rsidP="00FB7EA6">
            <w:pPr>
              <w:pStyle w:val="Tabletext"/>
              <w:cnfStyle w:val="000000000000" w:firstRow="0" w:lastRow="0" w:firstColumn="0" w:lastColumn="0" w:oddVBand="0" w:evenVBand="0" w:oddHBand="0" w:evenHBand="0" w:firstRowFirstColumn="0" w:firstRowLastColumn="0" w:lastRowFirstColumn="0" w:lastRowLastColumn="0"/>
            </w:pPr>
            <w:r>
              <w:t>Proserp</w:t>
            </w:r>
            <w:r w:rsidRPr="00FB7EA6">
              <w:t>ine (Wilmar Sugar Ltd)</w:t>
            </w:r>
          </w:p>
          <w:p w14:paraId="63D9C98D" w14:textId="77777777" w:rsidR="00FB7EA6" w:rsidRPr="00FB7EA6" w:rsidRDefault="00FB7EA6" w:rsidP="00FB7EA6">
            <w:pPr>
              <w:pStyle w:val="Tabletext"/>
              <w:cnfStyle w:val="000000000000" w:firstRow="0" w:lastRow="0" w:firstColumn="0" w:lastColumn="0" w:oddVBand="0" w:evenVBand="0" w:oddHBand="0" w:evenHBand="0" w:firstRowFirstColumn="0" w:firstRowLastColumn="0" w:lastRowFirstColumn="0" w:lastRowLastColumn="0"/>
            </w:pPr>
            <w:r>
              <w:t>Farleigh (</w:t>
            </w:r>
            <w:r w:rsidRPr="00FB7EA6">
              <w:t>Mackay Sugar Ltd)</w:t>
            </w:r>
          </w:p>
          <w:p w14:paraId="351609CE" w14:textId="77777777" w:rsidR="00FB7EA6" w:rsidRPr="00FB7EA6" w:rsidRDefault="00FB7EA6" w:rsidP="00FB7EA6">
            <w:pPr>
              <w:pStyle w:val="Tabletext"/>
              <w:cnfStyle w:val="000000000000" w:firstRow="0" w:lastRow="0" w:firstColumn="0" w:lastColumn="0" w:oddVBand="0" w:evenVBand="0" w:oddHBand="0" w:evenHBand="0" w:firstRowFirstColumn="0" w:firstRowLastColumn="0" w:lastRowFirstColumn="0" w:lastRowLastColumn="0"/>
            </w:pPr>
            <w:r>
              <w:t>Marian (M</w:t>
            </w:r>
            <w:r w:rsidRPr="00FB7EA6">
              <w:t>ackay Sugar Ltd)</w:t>
            </w:r>
          </w:p>
          <w:p w14:paraId="2982E6AC" w14:textId="77777777" w:rsidR="00FB7EA6" w:rsidRPr="00FB7EA6" w:rsidRDefault="00FB7EA6" w:rsidP="00FB7EA6">
            <w:pPr>
              <w:pStyle w:val="Tabletext"/>
              <w:cnfStyle w:val="000000000000" w:firstRow="0" w:lastRow="0" w:firstColumn="0" w:lastColumn="0" w:oddVBand="0" w:evenVBand="0" w:oddHBand="0" w:evenHBand="0" w:firstRowFirstColumn="0" w:firstRowLastColumn="0" w:lastRowFirstColumn="0" w:lastRowLastColumn="0"/>
            </w:pPr>
            <w:r>
              <w:t xml:space="preserve">Racecourse </w:t>
            </w:r>
            <w:r w:rsidRPr="00FB7EA6">
              <w:t>(Mackay Sugar Ltd)</w:t>
            </w:r>
          </w:p>
          <w:p w14:paraId="1DD82F3A" w14:textId="77777777" w:rsidR="00FB7EA6" w:rsidRPr="00FB7EA6" w:rsidRDefault="00FB7EA6" w:rsidP="00FB7EA6">
            <w:pPr>
              <w:pStyle w:val="Tabletext"/>
              <w:cnfStyle w:val="000000000000" w:firstRow="0" w:lastRow="0" w:firstColumn="0" w:lastColumn="0" w:oddVBand="0" w:evenVBand="0" w:oddHBand="0" w:evenHBand="0" w:firstRowFirstColumn="0" w:firstRowLastColumn="0" w:lastRowFirstColumn="0" w:lastRowLastColumn="0"/>
            </w:pPr>
            <w:r>
              <w:t xml:space="preserve">Plane Creek </w:t>
            </w:r>
            <w:r w:rsidRPr="00FB7EA6">
              <w:t>(Wilmar Sugar Ltd)</w:t>
            </w:r>
          </w:p>
        </w:tc>
        <w:tc>
          <w:tcPr>
            <w:tcW w:w="1803" w:type="dxa"/>
          </w:tcPr>
          <w:p w14:paraId="09987647" w14:textId="06C849B4" w:rsidR="00FB7EA6" w:rsidRPr="00FB7EA6" w:rsidRDefault="00FB7EA6" w:rsidP="00FB7EA6">
            <w:pPr>
              <w:pStyle w:val="Tabletext"/>
              <w:cnfStyle w:val="000000000000" w:firstRow="0" w:lastRow="0" w:firstColumn="0" w:lastColumn="0" w:oddVBand="0" w:evenVBand="0" w:oddHBand="0" w:evenHBand="0" w:firstRowFirstColumn="0" w:firstRowLastColumn="0" w:lastRowFirstColumn="0" w:lastRowLastColumn="0"/>
            </w:pPr>
            <w:r>
              <w:t xml:space="preserve">Bingara </w:t>
            </w:r>
            <w:r w:rsidR="00E04A25">
              <w:t>(</w:t>
            </w:r>
            <w:r>
              <w:t>Bundaberg Sugar Ltd</w:t>
            </w:r>
            <w:r w:rsidR="00E04A25">
              <w:t>)</w:t>
            </w:r>
          </w:p>
          <w:p w14:paraId="38FE29BB" w14:textId="666417CF" w:rsidR="00FB7EA6" w:rsidRPr="00FB7EA6" w:rsidRDefault="00FB7EA6" w:rsidP="00FB7EA6">
            <w:pPr>
              <w:pStyle w:val="Tabletext"/>
              <w:cnfStyle w:val="000000000000" w:firstRow="0" w:lastRow="0" w:firstColumn="0" w:lastColumn="0" w:oddVBand="0" w:evenVBand="0" w:oddHBand="0" w:evenHBand="0" w:firstRowFirstColumn="0" w:firstRowLastColumn="0" w:lastRowFirstColumn="0" w:lastRowLastColumn="0"/>
            </w:pPr>
            <w:proofErr w:type="spellStart"/>
            <w:r>
              <w:t>Millaquin</w:t>
            </w:r>
            <w:proofErr w:type="spellEnd"/>
            <w:r>
              <w:t xml:space="preserve">  </w:t>
            </w:r>
            <w:r w:rsidR="00E04A25">
              <w:t>(</w:t>
            </w:r>
            <w:r>
              <w:t>Bundaberg Sugar Ltd</w:t>
            </w:r>
            <w:r w:rsidR="00E04A25">
              <w:t>)</w:t>
            </w:r>
          </w:p>
          <w:p w14:paraId="0993BDA8" w14:textId="57D2DD85" w:rsidR="00FB7EA6" w:rsidRPr="00FB7EA6" w:rsidRDefault="00FB7EA6" w:rsidP="00FB7EA6">
            <w:pPr>
              <w:pStyle w:val="Tabletext"/>
              <w:cnfStyle w:val="000000000000" w:firstRow="0" w:lastRow="0" w:firstColumn="0" w:lastColumn="0" w:oddVBand="0" w:evenVBand="0" w:oddHBand="0" w:evenHBand="0" w:firstRowFirstColumn="0" w:firstRowLastColumn="0" w:lastRowFirstColumn="0" w:lastRowLastColumn="0"/>
            </w:pPr>
            <w:r>
              <w:t>Isis</w:t>
            </w:r>
            <w:r w:rsidRPr="00FB7EA6">
              <w:t xml:space="preserve"> </w:t>
            </w:r>
            <w:r w:rsidR="00E04A25">
              <w:t>(</w:t>
            </w:r>
            <w:r w:rsidRPr="00FB7EA6">
              <w:t>Isis Central Sugar Mil</w:t>
            </w:r>
            <w:r w:rsidR="003D6790">
              <w:t>l</w:t>
            </w:r>
            <w:r w:rsidRPr="00FB7EA6">
              <w:t xml:space="preserve"> Company Ltd</w:t>
            </w:r>
            <w:r w:rsidR="00E04A25">
              <w:t>)</w:t>
            </w:r>
          </w:p>
          <w:p w14:paraId="03DF9DE4" w14:textId="620B10B1" w:rsidR="00FB7EA6" w:rsidRPr="00FB7EA6" w:rsidRDefault="00FB7EA6" w:rsidP="00FB7EA6">
            <w:pPr>
              <w:pStyle w:val="Tabletext"/>
              <w:cnfStyle w:val="000000000000" w:firstRow="0" w:lastRow="0" w:firstColumn="0" w:lastColumn="0" w:oddVBand="0" w:evenVBand="0" w:oddHBand="0" w:evenHBand="0" w:firstRowFirstColumn="0" w:firstRowLastColumn="0" w:lastRowFirstColumn="0" w:lastRowLastColumn="0"/>
            </w:pPr>
            <w:r>
              <w:t>Maryborough</w:t>
            </w:r>
            <w:r w:rsidRPr="00FB7EA6">
              <w:t xml:space="preserve"> </w:t>
            </w:r>
            <w:r w:rsidR="00E04A25">
              <w:t>(</w:t>
            </w:r>
            <w:r w:rsidRPr="00FB7EA6">
              <w:t>MSF Sugar Ltd</w:t>
            </w:r>
            <w:r w:rsidR="00E04A25">
              <w:t>)</w:t>
            </w:r>
          </w:p>
          <w:p w14:paraId="34B8EEB9" w14:textId="2794CDED" w:rsidR="00FB7EA6" w:rsidRPr="00FB7EA6" w:rsidRDefault="00FB7EA6" w:rsidP="00E04A25">
            <w:pPr>
              <w:pStyle w:val="Tabletext"/>
              <w:cnfStyle w:val="000000000000" w:firstRow="0" w:lastRow="0" w:firstColumn="0" w:lastColumn="0" w:oddVBand="0" w:evenVBand="0" w:oddHBand="0" w:evenHBand="0" w:firstRowFirstColumn="0" w:firstRowLastColumn="0" w:lastRowFirstColumn="0" w:lastRowLastColumn="0"/>
            </w:pPr>
            <w:r>
              <w:t>Rocky Point</w:t>
            </w:r>
            <w:r w:rsidRPr="00FB7EA6">
              <w:t xml:space="preserve"> </w:t>
            </w:r>
            <w:r w:rsidR="00E04A25">
              <w:t>(</w:t>
            </w:r>
            <w:r w:rsidRPr="00FB7EA6">
              <w:t>WH Heck &amp; Sons Pty Ltd</w:t>
            </w:r>
            <w:r w:rsidR="00E04A25">
              <w:t>)</w:t>
            </w:r>
          </w:p>
        </w:tc>
        <w:tc>
          <w:tcPr>
            <w:tcW w:w="1804" w:type="dxa"/>
          </w:tcPr>
          <w:p w14:paraId="35AB0035" w14:textId="1AA369D3" w:rsidR="00FB7EA6" w:rsidRPr="00FB7EA6" w:rsidRDefault="00ED0256" w:rsidP="00FB7EA6">
            <w:pPr>
              <w:pStyle w:val="Tabletext"/>
              <w:cnfStyle w:val="000000000000" w:firstRow="0" w:lastRow="0" w:firstColumn="0" w:lastColumn="0" w:oddVBand="0" w:evenVBand="0" w:oddHBand="0" w:evenHBand="0" w:firstRowFirstColumn="0" w:firstRowLastColumn="0" w:lastRowFirstColumn="0" w:lastRowLastColumn="0"/>
            </w:pPr>
            <w:r>
              <w:t>Con</w:t>
            </w:r>
            <w:r w:rsidR="00FB7EA6">
              <w:t>dong</w:t>
            </w:r>
            <w:r w:rsidR="00FB7EA6" w:rsidRPr="00FB7EA6">
              <w:t xml:space="preserve"> (Sunshine Sugar)</w:t>
            </w:r>
          </w:p>
          <w:p w14:paraId="7C33B24A" w14:textId="77777777" w:rsidR="00FB7EA6" w:rsidRPr="00FB7EA6" w:rsidRDefault="00FB7EA6" w:rsidP="00FB7EA6">
            <w:pPr>
              <w:pStyle w:val="Tabletext"/>
              <w:cnfStyle w:val="000000000000" w:firstRow="0" w:lastRow="0" w:firstColumn="0" w:lastColumn="0" w:oddVBand="0" w:evenVBand="0" w:oddHBand="0" w:evenHBand="0" w:firstRowFirstColumn="0" w:firstRowLastColumn="0" w:lastRowFirstColumn="0" w:lastRowLastColumn="0"/>
            </w:pPr>
            <w:r>
              <w:t>Broadwater</w:t>
            </w:r>
            <w:r w:rsidRPr="00FB7EA6">
              <w:t xml:space="preserve"> (Sunshine Sugar)</w:t>
            </w:r>
          </w:p>
          <w:p w14:paraId="664BB432" w14:textId="77777777" w:rsidR="00FB7EA6" w:rsidRPr="00FB7EA6" w:rsidRDefault="00FB7EA6" w:rsidP="00FB7EA6">
            <w:pPr>
              <w:pStyle w:val="Tabletext"/>
              <w:cnfStyle w:val="000000000000" w:firstRow="0" w:lastRow="0" w:firstColumn="0" w:lastColumn="0" w:oddVBand="0" w:evenVBand="0" w:oddHBand="0" w:evenHBand="0" w:firstRowFirstColumn="0" w:firstRowLastColumn="0" w:lastRowFirstColumn="0" w:lastRowLastColumn="0"/>
            </w:pPr>
            <w:r>
              <w:t>Harwood</w:t>
            </w:r>
            <w:r w:rsidRPr="00FB7EA6">
              <w:t xml:space="preserve"> (Sunshine Sugar)</w:t>
            </w:r>
          </w:p>
        </w:tc>
      </w:tr>
    </w:tbl>
    <w:p w14:paraId="7AFA1FD2" w14:textId="77777777" w:rsidR="00FB7EA6" w:rsidRDefault="00FB7EA6" w:rsidP="00FB7EA6">
      <w:pPr>
        <w:pStyle w:val="Notesourcetext"/>
      </w:pPr>
      <w:r>
        <w:t xml:space="preserve">Source: Canegrowers 2010 </w:t>
      </w:r>
    </w:p>
    <w:p w14:paraId="68A3B80B" w14:textId="77777777" w:rsidR="00FB7EA6" w:rsidRDefault="00FB7EA6" w:rsidP="00FB7EA6">
      <w:pPr>
        <w:pStyle w:val="BodyText1"/>
      </w:pPr>
      <w:r>
        <w:t>After milling, most raw sugar is transported</w:t>
      </w:r>
      <w:r w:rsidRPr="00233FA0">
        <w:t xml:space="preserve"> </w:t>
      </w:r>
      <w:r>
        <w:t>by rail (state or mill-owned) or road to bulk storage terminals for storage before being sold to Australian or overseas refineries. Raw sugar is also supplied directly to co-located domestic refineries or transported (by ship or road) to be processed into refined sugar and other sugar products including golden syrup,</w:t>
      </w:r>
      <w:r w:rsidRPr="00233FA0">
        <w:t xml:space="preserve"> </w:t>
      </w:r>
      <w:r>
        <w:t xml:space="preserve">treacle and coffee sugar. </w:t>
      </w:r>
    </w:p>
    <w:p w14:paraId="6BD87401" w14:textId="77777777" w:rsidR="00FB7EA6" w:rsidRDefault="00FB7EA6" w:rsidP="00880D25">
      <w:pPr>
        <w:pStyle w:val="Heading3"/>
      </w:pPr>
      <w:r>
        <w:t>Sugar refining</w:t>
      </w:r>
    </w:p>
    <w:p w14:paraId="69E74DC9" w14:textId="2810608E" w:rsidR="00FB7EA6" w:rsidRDefault="00FB7EA6" w:rsidP="00FB7EA6">
      <w:pPr>
        <w:pStyle w:val="BodyText1"/>
      </w:pPr>
      <w:r>
        <w:t xml:space="preserve">There are currently four refineries in Australia, two in Queensland and one each in New South Wales and Victoria. </w:t>
      </w:r>
      <w:r w:rsidRPr="00AA3DB7">
        <w:t>Sugar Australia Limited, which is 75</w:t>
      </w:r>
      <w:r w:rsidR="00E6643A">
        <w:t> </w:t>
      </w:r>
      <w:r w:rsidRPr="00AA3DB7">
        <w:t>per cent owned by Wilmar and 25</w:t>
      </w:r>
      <w:r w:rsidR="00E6643A">
        <w:t> </w:t>
      </w:r>
      <w:r w:rsidRPr="00AA3DB7">
        <w:t xml:space="preserve">per cent owned by Mackay Sugar, operates </w:t>
      </w:r>
      <w:r>
        <w:t>two refineries, one in Mackay (Queensland) and</w:t>
      </w:r>
      <w:r w:rsidRPr="00AA3DB7">
        <w:t xml:space="preserve"> </w:t>
      </w:r>
      <w:r>
        <w:t xml:space="preserve">one in </w:t>
      </w:r>
      <w:r w:rsidRPr="00AA3DB7">
        <w:t>Yarraville (Victor</w:t>
      </w:r>
      <w:r>
        <w:t xml:space="preserve">ia). The second Queensland refinery (in Bundaberg) is owned and operated by Bundaberg Sugar Limited. The New South Wales refinery (in Harwood) is operated by Sunshine Sugar, which is jointly owned by the NSW Sugar Milling Co-operative Ltd and the Manildra Group. </w:t>
      </w:r>
    </w:p>
    <w:p w14:paraId="69A008EF" w14:textId="77777777" w:rsidR="00FB7EA6" w:rsidRDefault="00FB7EA6" w:rsidP="00FB7EA6">
      <w:pPr>
        <w:pStyle w:val="BodyText1"/>
      </w:pPr>
      <w:r>
        <w:lastRenderedPageBreak/>
        <w:t xml:space="preserve">Most refined sugar produced in Australia is supplied to the domestic market. </w:t>
      </w:r>
      <w:r w:rsidRPr="00F544EF">
        <w:t>Refined sugar and other sugar products for domestic consumption are generally transported by road to retail distribution centres (packs for home use), or to manufacturers for use as an ingredient in a range of food</w:t>
      </w:r>
      <w:r>
        <w:t>s</w:t>
      </w:r>
      <w:r w:rsidRPr="00F544EF">
        <w:t xml:space="preserve"> and beverages.</w:t>
      </w:r>
    </w:p>
    <w:p w14:paraId="3B83AEC3" w14:textId="77777777" w:rsidR="00FB7EA6" w:rsidRDefault="00FB7EA6" w:rsidP="00880D25">
      <w:pPr>
        <w:pStyle w:val="Heading3"/>
      </w:pPr>
      <w:r>
        <w:t>Export market</w:t>
      </w:r>
    </w:p>
    <w:p w14:paraId="334B7068" w14:textId="3B3D94A8" w:rsidR="00E6643A" w:rsidRDefault="00FB7EA6" w:rsidP="00E6643A">
      <w:r>
        <w:t>Australia is a major sugar exporter (only Brazil and Thailand export more sugar), typically exporting over 70</w:t>
      </w:r>
      <w:r w:rsidR="00E6643A">
        <w:t> </w:t>
      </w:r>
      <w:r>
        <w:t>per cent of its production (mostly as bulk raw sugar). In 2014–15 Australia exported 3.</w:t>
      </w:r>
      <w:r w:rsidR="00C97CFC">
        <w:t>7</w:t>
      </w:r>
      <w:r w:rsidR="00E6643A">
        <w:t> </w:t>
      </w:r>
      <w:r>
        <w:t>million tonnes of sugar (raw equivalent) valued at $1.</w:t>
      </w:r>
      <w:r w:rsidR="002362FB">
        <w:t>6</w:t>
      </w:r>
      <w:r w:rsidR="00E6643A">
        <w:t> </w:t>
      </w:r>
      <w:r>
        <w:t>billion</w:t>
      </w:r>
      <w:r w:rsidRPr="00AE2EA2">
        <w:t xml:space="preserve"> </w:t>
      </w:r>
      <w:r>
        <w:t>(ABARES 201</w:t>
      </w:r>
      <w:r w:rsidR="002362FB">
        <w:t>6</w:t>
      </w:r>
      <w:r>
        <w:t>). This is equivalent to 6</w:t>
      </w:r>
      <w:r w:rsidR="002362FB">
        <w:t>.6</w:t>
      </w:r>
      <w:r>
        <w:t xml:space="preserve"> per cent of sugar traded worldwide. </w:t>
      </w:r>
      <w:r w:rsidR="00E6643A">
        <w:t xml:space="preserve">Brazil </w:t>
      </w:r>
      <w:r w:rsidR="00011FF0">
        <w:t xml:space="preserve">and Thailand </w:t>
      </w:r>
      <w:r w:rsidR="00E6643A">
        <w:t>accounted for 42 per cent</w:t>
      </w:r>
      <w:r w:rsidR="00E6643A" w:rsidRPr="00BE6743">
        <w:t xml:space="preserve"> </w:t>
      </w:r>
      <w:r w:rsidR="00011FF0">
        <w:t xml:space="preserve">and 15 per cent </w:t>
      </w:r>
      <w:r w:rsidR="00E6643A">
        <w:t>of world sugar exports (ABARES 2015)</w:t>
      </w:r>
      <w:r w:rsidR="00CC7D26">
        <w:t>.</w:t>
      </w:r>
    </w:p>
    <w:p w14:paraId="45D444EF" w14:textId="66253F64" w:rsidR="00FB7EA6" w:rsidRPr="00A21766" w:rsidRDefault="00FB7EA6" w:rsidP="00FB7EA6">
      <w:pPr>
        <w:pStyle w:val="BodyText1"/>
      </w:pPr>
      <w:r>
        <w:t>The main</w:t>
      </w:r>
      <w:r w:rsidRPr="003855CC">
        <w:t xml:space="preserve"> markets</w:t>
      </w:r>
      <w:r>
        <w:t xml:space="preserve"> for Australian sugar</w:t>
      </w:r>
      <w:r w:rsidRPr="003855CC">
        <w:t xml:space="preserve"> include </w:t>
      </w:r>
      <w:r>
        <w:t>the Republic of</w:t>
      </w:r>
      <w:r w:rsidRPr="003855CC">
        <w:t xml:space="preserve"> Korea, Indonesia, Japan, </w:t>
      </w:r>
      <w:r>
        <w:t xml:space="preserve">China, </w:t>
      </w:r>
      <w:r w:rsidRPr="003855CC">
        <w:t xml:space="preserve">Malaysia, </w:t>
      </w:r>
      <w:r>
        <w:t>the United States and New Zealand (ABARES 2015).</w:t>
      </w:r>
    </w:p>
    <w:p w14:paraId="7B655359" w14:textId="659B446C" w:rsidR="00FB7EA6" w:rsidRDefault="00FB7EA6" w:rsidP="00FB7EA6">
      <w:pPr>
        <w:pStyle w:val="BodyText1"/>
      </w:pPr>
      <w:r w:rsidRPr="00D7132F">
        <w:t xml:space="preserve">Most raw sugar is stored at bulk sugar terminals before sale to Australian and overseas refineries. Raw sugar is exported from </w:t>
      </w:r>
      <w:r w:rsidR="00E6643A">
        <w:t>six</w:t>
      </w:r>
      <w:r w:rsidR="00E6643A" w:rsidRPr="00D7132F">
        <w:t xml:space="preserve"> </w:t>
      </w:r>
      <w:r w:rsidRPr="00D7132F">
        <w:t xml:space="preserve">ports (Bundaberg, Cairns, Lucinda, Mackay, Mourilyan, Townsville), with ports </w:t>
      </w:r>
      <w:r>
        <w:t>at</w:t>
      </w:r>
      <w:r w:rsidRPr="00D7132F">
        <w:t xml:space="preserve"> Townsville and Mackay handling most bulk raw sugar exports. The Port of Mackay also handles a significant quantity of refined sugar (Queensland Transport and Logistics Council 2014).</w:t>
      </w:r>
      <w:r>
        <w:t xml:space="preserve"> Bulk raw sugar terminals are owned by growers and milling companies via their shares in Sugar Terminals Limited. QSL sub-leases these terminals from Sugar Terminals Limited. </w:t>
      </w:r>
    </w:p>
    <w:p w14:paraId="793B64F4" w14:textId="701AC259" w:rsidR="00FB7EA6" w:rsidRPr="00FB7EA6" w:rsidRDefault="00FB7EA6" w:rsidP="00FB7EA6">
      <w:pPr>
        <w:pStyle w:val="BodyText1"/>
      </w:pPr>
      <w:r>
        <w:t>In Queensland, legal title for export sugar currently passes from the miller to QSL when sugar is delivered to a bulk sugar terminal. QSL market</w:t>
      </w:r>
      <w:r w:rsidR="002362FB">
        <w:t>s</w:t>
      </w:r>
      <w:r>
        <w:t xml:space="preserve"> raw sugar to international customers. It also provides </w:t>
      </w:r>
      <w:r w:rsidR="0024725D">
        <w:t>pricing</w:t>
      </w:r>
      <w:r w:rsidR="00D33AD5">
        <w:t>,</w:t>
      </w:r>
      <w:r w:rsidR="0024725D">
        <w:t xml:space="preserve"> </w:t>
      </w:r>
      <w:r w:rsidR="002A185D">
        <w:t xml:space="preserve">risk </w:t>
      </w:r>
      <w:r w:rsidR="0024725D">
        <w:t xml:space="preserve">management </w:t>
      </w:r>
      <w:r w:rsidR="00D33AD5">
        <w:t xml:space="preserve">and financing </w:t>
      </w:r>
      <w:r w:rsidR="002A185D">
        <w:t xml:space="preserve">services to growers and millers, as well as </w:t>
      </w:r>
      <w:r>
        <w:t>shipping and logistics services. Its primary goal is to deliver ‘optimal returns to sugar millers and cane growers’. Prior to 2006, QSL (and its predecessors) compulsorily acquired and marketed all raw sugar exports on behalf of the Queensland sugar industry. Following the removal of the single desk in 2006, QSL entered into voluntary contracts with most millers to market raw sugar. These contracts are referred to as Raw Sugar Supply Agreements (RSSAs)</w:t>
      </w:r>
      <w:r w:rsidR="0090537D">
        <w:t xml:space="preserve"> (QSL 2016)</w:t>
      </w:r>
      <w:r>
        <w:t xml:space="preserve">. Under these contracts, </w:t>
      </w:r>
      <w:r w:rsidRPr="005471D3">
        <w:t>mill owners contract to supply raw sugar to QSL.</w:t>
      </w:r>
      <w:r w:rsidRPr="00FB7EA6">
        <w:t xml:space="preserve"> </w:t>
      </w:r>
    </w:p>
    <w:p w14:paraId="769CECEF" w14:textId="6592D461" w:rsidR="00FB7EA6" w:rsidRDefault="00FB7EA6" w:rsidP="00FB7EA6">
      <w:pPr>
        <w:pStyle w:val="BodyText1"/>
      </w:pPr>
      <w:r>
        <w:t xml:space="preserve">In 2013 new RSSAs were negotiated allowing mill owners to market a proportion of the raw sugar they supply to QSL. This sugar is referred to as Supplier Economic Interest (SEI) sugar, and usually accounts for around one-third of the sugar millers supply to QSL, but can be as high as 50 per cent, depending on the </w:t>
      </w:r>
      <w:r w:rsidRPr="00C01467">
        <w:t>Commercial Cane Sugar</w:t>
      </w:r>
      <w:r>
        <w:t xml:space="preserve"> (CCS) content of cane and the quantity of sugar a mill produces from cane grown on company land. Where mill owners choose this option, QSL sells this sugar back to the miller for the miller to export. The remaining sugar supplied to QSL is Grower Economic Interest (GEI) sugar, and is currently marketed by QSL (ASMC 2014). QSL remains the dominant marketer of Australian sugar, selling 62</w:t>
      </w:r>
      <w:r w:rsidR="00E6643A">
        <w:t> </w:t>
      </w:r>
      <w:r>
        <w:t xml:space="preserve">per cent of </w:t>
      </w:r>
      <w:r w:rsidR="001A6D94">
        <w:t xml:space="preserve">Queensland's </w:t>
      </w:r>
      <w:r>
        <w:t>raw sugar exports in 2014–15 (</w:t>
      </w:r>
      <w:r w:rsidR="00710E1D">
        <w:t>QSL</w:t>
      </w:r>
      <w:r>
        <w:t xml:space="preserve"> 2015</w:t>
      </w:r>
      <w:r w:rsidR="00D869B9">
        <w:t>a</w:t>
      </w:r>
      <w:r>
        <w:t xml:space="preserve">). It is uncertain whether QSL will be the dominant marketer of Australian sugar after the commencement of the 2017 season. </w:t>
      </w:r>
    </w:p>
    <w:p w14:paraId="7D3A763F" w14:textId="495E3F9C" w:rsidR="00FB7EA6" w:rsidRDefault="00FB7EA6" w:rsidP="00FB7EA6">
      <w:pPr>
        <w:pStyle w:val="BodyText1"/>
      </w:pPr>
      <w:r w:rsidRPr="008601AF">
        <w:t xml:space="preserve">In </w:t>
      </w:r>
      <w:r>
        <w:t>2014</w:t>
      </w:r>
      <w:r w:rsidRPr="008601AF">
        <w:t xml:space="preserve"> Wilmar Sugar Australia Limited, MSF Sugar Limited and Tully Sugar Limited </w:t>
      </w:r>
      <w:r>
        <w:t xml:space="preserve">notified their intention to withdraw from current sugar marketing arrangements with QSL when these </w:t>
      </w:r>
      <w:r w:rsidRPr="008601AF">
        <w:t>agreements</w:t>
      </w:r>
      <w:r>
        <w:t xml:space="preserve"> </w:t>
      </w:r>
      <w:r w:rsidRPr="008601AF">
        <w:t>expire</w:t>
      </w:r>
      <w:r>
        <w:t xml:space="preserve"> (in 2017</w:t>
      </w:r>
      <w:r w:rsidR="009C14CD">
        <w:t>–</w:t>
      </w:r>
      <w:r>
        <w:t xml:space="preserve">18), and </w:t>
      </w:r>
      <w:r w:rsidRPr="008601AF">
        <w:t>to market all of their sugar independently</w:t>
      </w:r>
      <w:r>
        <w:t xml:space="preserve">. However, concern by some within the industry that these new marketing arrangements would deny growers’ choice in how GEI sugar was sold led to a private member’s Bill being introduced into the Queensland Parliament in May 2015. This Bill passed in late 2015, resulting in amendments </w:t>
      </w:r>
      <w:r>
        <w:lastRenderedPageBreak/>
        <w:t xml:space="preserve">to the </w:t>
      </w:r>
      <w:r w:rsidRPr="006A6B94">
        <w:rPr>
          <w:rStyle w:val="Italic"/>
        </w:rPr>
        <w:t>Sugar Industry Act</w:t>
      </w:r>
      <w:r>
        <w:rPr>
          <w:rStyle w:val="Italic"/>
        </w:rPr>
        <w:t xml:space="preserve"> 1999</w:t>
      </w:r>
      <w:r>
        <w:t xml:space="preserve"> </w:t>
      </w:r>
      <w:r w:rsidRPr="008601AF">
        <w:t>(</w:t>
      </w:r>
      <w:r>
        <w:t xml:space="preserve">see </w:t>
      </w:r>
      <w:r w:rsidRPr="00013A85">
        <w:rPr>
          <w:rStyle w:val="Italic"/>
        </w:rPr>
        <w:t>Sugar Industry (Real Choice in Marketing) Amendment Act 2015</w:t>
      </w:r>
      <w:r>
        <w:t xml:space="preserve"> (Qld)</w:t>
      </w:r>
      <w:r w:rsidRPr="008601AF">
        <w:t>)</w:t>
      </w:r>
      <w:r>
        <w:t xml:space="preserve"> allowing cane </w:t>
      </w:r>
      <w:r w:rsidRPr="008601AF">
        <w:t xml:space="preserve">growers to nominate </w:t>
      </w:r>
      <w:r>
        <w:t>who will market</w:t>
      </w:r>
      <w:r w:rsidRPr="008601AF">
        <w:t xml:space="preserve"> GEI </w:t>
      </w:r>
      <w:r>
        <w:t>s</w:t>
      </w:r>
      <w:r w:rsidRPr="008601AF">
        <w:t>ugar</w:t>
      </w:r>
      <w:r>
        <w:t xml:space="preserve">. </w:t>
      </w:r>
    </w:p>
    <w:p w14:paraId="46D73E9B" w14:textId="05BF7012" w:rsidR="00FB7EA6" w:rsidRDefault="00FB7EA6" w:rsidP="00FB7EA6">
      <w:pPr>
        <w:pStyle w:val="BodyText1"/>
      </w:pPr>
      <w:r>
        <w:t xml:space="preserve">According to a submission by Canegrowers and the Australian Cane Farmers Association (ACFA) to the Queensland Productivity Commission on the impact of the </w:t>
      </w:r>
      <w:r w:rsidRPr="00013A85">
        <w:rPr>
          <w:rStyle w:val="Italic"/>
        </w:rPr>
        <w:t>Sugar Industry (Real Choice in Marketing) Amendment Act 2015</w:t>
      </w:r>
      <w:r>
        <w:t xml:space="preserve">, the withdrawal of mills from existing marketing arrangements was a misuse of market power designed to ‘alter the way in which rewards and risks are shared across the industry in favour of the mill’ (Canegrowers &amp; ACFA 2015). </w:t>
      </w:r>
    </w:p>
    <w:p w14:paraId="4A89938E" w14:textId="3FBB22FB" w:rsidR="00FB7EA6" w:rsidRDefault="00AE2351" w:rsidP="00FB7EA6">
      <w:pPr>
        <w:pStyle w:val="BodyText1"/>
      </w:pPr>
      <w:r>
        <w:t>However, t</w:t>
      </w:r>
      <w:r w:rsidR="00FB7EA6">
        <w:t xml:space="preserve">he </w:t>
      </w:r>
      <w:r w:rsidR="00B3361F">
        <w:t xml:space="preserve">Queensland Productivity </w:t>
      </w:r>
      <w:r w:rsidR="00FB7EA6">
        <w:t>Commission found no evidence to support a case for market failure in the Queensland sugar industry that would indicate the need for additional government intervention</w:t>
      </w:r>
      <w:r w:rsidR="00EF2280">
        <w:t>:</w:t>
      </w:r>
    </w:p>
    <w:p w14:paraId="1AEE80DC" w14:textId="77777777" w:rsidR="00FB7EA6" w:rsidRPr="00FB7EA6" w:rsidRDefault="00FB7EA6" w:rsidP="009706AD">
      <w:pPr>
        <w:pStyle w:val="Quote-block"/>
      </w:pPr>
      <w:r>
        <w:t xml:space="preserve">The most likely impact of a no change scenario is that growers and millers will be no worse off, and with some millers pursuing models that could increase the returns to the sector. To the extent </w:t>
      </w:r>
      <w:r w:rsidRPr="00FB7EA6">
        <w:t>that these improvements increase raw sugar production and/or increase net premiums, these benefits are generally distributed to growers on a 2:1 ratio, consistent with the Cane Price Formula (Queensland Productivity Commission 2015 p. 84).</w:t>
      </w:r>
    </w:p>
    <w:p w14:paraId="7FF1C07A" w14:textId="2366F948" w:rsidR="001F5074" w:rsidRDefault="001F5074" w:rsidP="003A020C">
      <w:pPr>
        <w:pStyle w:val="BodyText1"/>
        <w:rPr>
          <w:rStyle w:val="Italic"/>
        </w:rPr>
      </w:pPr>
      <w:r>
        <w:t xml:space="preserve">Similar to the Queensland Productivity Commission, the (Australian) Productivity </w:t>
      </w:r>
      <w:r w:rsidR="003E6713">
        <w:t>C</w:t>
      </w:r>
      <w:r>
        <w:t xml:space="preserve">ommission found 'no market failure or other reasonable objective to justify re-regulation of the Queensland sugar industry' in its report on regulation in Australian agriculture, and recommended that the Queensland Government repeal the amendments made by the </w:t>
      </w:r>
      <w:r w:rsidRPr="00013A85">
        <w:rPr>
          <w:rStyle w:val="Italic"/>
        </w:rPr>
        <w:t>Sugar Industry (Real Choice in Marketing) Amendment Act 2015</w:t>
      </w:r>
      <w:r>
        <w:rPr>
          <w:rStyle w:val="Italic"/>
        </w:rPr>
        <w:t xml:space="preserve"> </w:t>
      </w:r>
      <w:r w:rsidRPr="00D31AA3">
        <w:rPr>
          <w:rStyle w:val="Italic"/>
          <w:i w:val="0"/>
          <w:color w:val="000000" w:themeColor="text1"/>
        </w:rPr>
        <w:t xml:space="preserve">(Productivity Commission </w:t>
      </w:r>
      <w:r w:rsidRPr="006318C7">
        <w:rPr>
          <w:rStyle w:val="Italic"/>
          <w:i w:val="0"/>
          <w:color w:val="000000" w:themeColor="text1"/>
        </w:rPr>
        <w:t>201</w:t>
      </w:r>
      <w:r w:rsidR="006318C7" w:rsidRPr="006318C7">
        <w:rPr>
          <w:rStyle w:val="Italic"/>
          <w:i w:val="0"/>
          <w:color w:val="000000" w:themeColor="text1"/>
        </w:rPr>
        <w:t>6</w:t>
      </w:r>
      <w:r w:rsidRPr="006318C7">
        <w:rPr>
          <w:rStyle w:val="Italic"/>
          <w:i w:val="0"/>
          <w:color w:val="000000" w:themeColor="text1"/>
        </w:rPr>
        <w:t>)</w:t>
      </w:r>
      <w:r w:rsidRPr="00D31AA3">
        <w:rPr>
          <w:rStyle w:val="Italic"/>
          <w:i w:val="0"/>
          <w:color w:val="000000" w:themeColor="text1"/>
        </w:rPr>
        <w:t>.</w:t>
      </w:r>
    </w:p>
    <w:p w14:paraId="59DF2548" w14:textId="00019587" w:rsidR="003A020C" w:rsidRPr="003A020C" w:rsidRDefault="003A020C" w:rsidP="00792734">
      <w:pPr>
        <w:pStyle w:val="BodyText1"/>
        <w:rPr>
          <w:lang w:val="en-US" w:eastAsia="en-AU"/>
        </w:rPr>
      </w:pPr>
      <w:r>
        <w:t>In early April 2017, the Australian Government registered a code of conduct for the sugar industry (</w:t>
      </w:r>
      <w:r w:rsidRPr="003A020C">
        <w:rPr>
          <w:lang w:eastAsia="en-AU"/>
        </w:rPr>
        <w:t>Competition and Consumer (Industry Code—Sugar) Regulations 2017</w:t>
      </w:r>
      <w:r>
        <w:t xml:space="preserve">). The purpose of the code </w:t>
      </w:r>
      <w:r w:rsidRPr="003A020C">
        <w:rPr>
          <w:lang w:eastAsia="en-AU"/>
        </w:rPr>
        <w:t xml:space="preserve">is to regulate the conduct of growers, mill owners and marketers (of </w:t>
      </w:r>
      <w:r w:rsidR="00B5630A">
        <w:t xml:space="preserve">GEI </w:t>
      </w:r>
      <w:r w:rsidRPr="003A020C">
        <w:rPr>
          <w:lang w:eastAsia="en-AU"/>
        </w:rPr>
        <w:t>sugar) in relation to contracts or agreements for the supply of cane or the on</w:t>
      </w:r>
      <w:r w:rsidRPr="003A020C">
        <w:rPr>
          <w:lang w:eastAsia="en-AU"/>
        </w:rPr>
        <w:noBreakHyphen/>
        <w:t>supply of sugar. This includes establishing a process for pre</w:t>
      </w:r>
      <w:r w:rsidRPr="003A020C">
        <w:rPr>
          <w:lang w:eastAsia="en-AU"/>
        </w:rPr>
        <w:noBreakHyphen/>
        <w:t>contractual arbitration where the parties fail to agree to terms of contracts or agreements.</w:t>
      </w:r>
    </w:p>
    <w:p w14:paraId="1382A8DB" w14:textId="780CC59D" w:rsidR="007509EF" w:rsidRPr="00857518" w:rsidRDefault="003A020C">
      <w:pPr>
        <w:pStyle w:val="BodyText1"/>
      </w:pPr>
      <w:r>
        <w:rPr>
          <w:lang w:eastAsia="en-AU"/>
        </w:rPr>
        <w:t xml:space="preserve">In addition, the </w:t>
      </w:r>
      <w:r>
        <w:t>r</w:t>
      </w:r>
      <w:r w:rsidRPr="003A020C">
        <w:rPr>
          <w:lang w:eastAsia="en-AU"/>
        </w:rPr>
        <w:t xml:space="preserve">egulations ensure that supply contracts between growers and mill owners have the effect of guaranteeing a grower’s choice of the marketing entity </w:t>
      </w:r>
      <w:r w:rsidR="00C2340A">
        <w:t>used to sell GEI sugar</w:t>
      </w:r>
      <w:r w:rsidRPr="003A020C">
        <w:rPr>
          <w:lang w:eastAsia="en-AU"/>
        </w:rPr>
        <w:t>.</w:t>
      </w:r>
    </w:p>
    <w:p w14:paraId="5EB656CF" w14:textId="7773C843" w:rsidR="00A333C9" w:rsidRPr="00A333C9" w:rsidRDefault="00A333C9" w:rsidP="00A333C9">
      <w:r w:rsidRPr="00A333C9">
        <w:t xml:space="preserve">Wilmar, MSF Sugar and Tully Sugar have developed cane supply agreements compliant with the new laws. While MSF Sugar and Tully Sugar have agreed to a new CSAs with growers, negotiations between Wilmar and QSL over the marketing of GEI sugar have been protracted, thus delaying finalisation of CSAs. </w:t>
      </w:r>
      <w:r w:rsidR="00642D89" w:rsidRPr="00642D89">
        <w:t>At the time of publishing, Wilmar and QSL had concluded an agreement on the marketing of GEI sugar</w:t>
      </w:r>
      <w:r w:rsidR="002046F6">
        <w:t xml:space="preserve">, </w:t>
      </w:r>
      <w:r w:rsidR="002046F6" w:rsidRPr="002046F6">
        <w:t>and growers were signing CSAs allowing them to choose the marketing entity to sell GEI sugar.</w:t>
      </w:r>
      <w:r w:rsidR="00642D89" w:rsidRPr="00642D89">
        <w:t xml:space="preserve"> </w:t>
      </w:r>
    </w:p>
    <w:p w14:paraId="7E615C7F" w14:textId="3A7D47D4" w:rsidR="00FB7EA6" w:rsidRDefault="00FB7EA6" w:rsidP="00FB7EA6">
      <w:pPr>
        <w:pStyle w:val="BodyText1"/>
      </w:pPr>
      <w:r>
        <w:t xml:space="preserve">Despite changes to the </w:t>
      </w:r>
      <w:r w:rsidRPr="00D80633">
        <w:rPr>
          <w:rStyle w:val="Italic"/>
        </w:rPr>
        <w:t>Sugar Industry Act</w:t>
      </w:r>
      <w:r>
        <w:t>, u</w:t>
      </w:r>
      <w:r w:rsidRPr="008601AF">
        <w:t xml:space="preserve">ncertainty in the industry continues, as parties continue to debate issues of market power, sugar ownership and fairness. </w:t>
      </w:r>
    </w:p>
    <w:p w14:paraId="7826693F" w14:textId="77777777" w:rsidR="00FB7EA6" w:rsidRDefault="00FB7EA6" w:rsidP="00880D25">
      <w:pPr>
        <w:pStyle w:val="Heading3"/>
      </w:pPr>
      <w:r>
        <w:t>Domestic market</w:t>
      </w:r>
    </w:p>
    <w:p w14:paraId="74A0927D" w14:textId="0939D2D3" w:rsidR="00FB7EA6" w:rsidRDefault="00FB7EA6" w:rsidP="00FB7EA6">
      <w:pPr>
        <w:pStyle w:val="BodyText1"/>
      </w:pPr>
      <w:r>
        <w:t xml:space="preserve">The domestic market for sugar is supplied by producers in Queensland and New South Wales. While most sugar produced in New South Wales is for domestic consumption, typically only around </w:t>
      </w:r>
      <w:r w:rsidR="00AE2351">
        <w:t>15</w:t>
      </w:r>
      <w:r w:rsidR="00EF2280">
        <w:t> </w:t>
      </w:r>
      <w:r>
        <w:t>per cent of Queensland’s raw sugar production is consumed domestically</w:t>
      </w:r>
      <w:r w:rsidR="00D31AA0">
        <w:t xml:space="preserve"> (ASMC 2015b)</w:t>
      </w:r>
      <w:r>
        <w:t xml:space="preserve">. </w:t>
      </w:r>
    </w:p>
    <w:p w14:paraId="4F20C84F" w14:textId="0A59A1C0" w:rsidR="00FB7EA6" w:rsidRDefault="00FB7EA6" w:rsidP="00FB7EA6">
      <w:pPr>
        <w:pStyle w:val="BodyText1"/>
      </w:pPr>
      <w:r>
        <w:t>The food and beverage manufacturing industry is the major user of sugar domestically and an important stage for value-add</w:t>
      </w:r>
      <w:r w:rsidR="001C3D7D">
        <w:t>ing</w:t>
      </w:r>
      <w:r>
        <w:t>. Around 78</w:t>
      </w:r>
      <w:r w:rsidR="00EF2280">
        <w:t> </w:t>
      </w:r>
      <w:r>
        <w:t xml:space="preserve">per cent of raw sugar produced for the domestic </w:t>
      </w:r>
      <w:r>
        <w:lastRenderedPageBreak/>
        <w:t xml:space="preserve">market ends up (after being refined) in a wide range of </w:t>
      </w:r>
      <w:r w:rsidRPr="00D84294">
        <w:t>products</w:t>
      </w:r>
      <w:r>
        <w:t xml:space="preserve">, including soft drinks, </w:t>
      </w:r>
      <w:r w:rsidRPr="00441517">
        <w:t>alcoholic beverages</w:t>
      </w:r>
      <w:r>
        <w:t>,</w:t>
      </w:r>
      <w:r w:rsidRPr="00441517">
        <w:t xml:space="preserve"> confectionery</w:t>
      </w:r>
      <w:r>
        <w:t xml:space="preserve"> and other processed foods.</w:t>
      </w:r>
      <w:r w:rsidRPr="00D84294">
        <w:t xml:space="preserve"> </w:t>
      </w:r>
      <w:r>
        <w:t>A relatively small quantity of raw and refined sugar products are i</w:t>
      </w:r>
      <w:r w:rsidRPr="00D9464F">
        <w:t xml:space="preserve">mported </w:t>
      </w:r>
      <w:r>
        <w:t>for use by the manufacturing industry (BITRE 2015).</w:t>
      </w:r>
    </w:p>
    <w:p w14:paraId="37B16521" w14:textId="2B9F05F6" w:rsidR="00FB7EA6" w:rsidRDefault="00FB7EA6" w:rsidP="00FB7EA6">
      <w:pPr>
        <w:pStyle w:val="BodyText1"/>
      </w:pPr>
      <w:r>
        <w:t>The other 22</w:t>
      </w:r>
      <w:r w:rsidR="00EF2280">
        <w:t> </w:t>
      </w:r>
      <w:r>
        <w:t>per cent of raw sugar produced for the domestic market is used to produce refined sugar and other sugar products that are packaged for retail sale (mainly in supermarkets) or sold to the food service industry (generally in larger packs). There is some evidence to suggest that demand for retail packs has</w:t>
      </w:r>
      <w:r w:rsidRPr="00567A3D">
        <w:t xml:space="preserve"> </w:t>
      </w:r>
      <w:r>
        <w:t>declined</w:t>
      </w:r>
      <w:r w:rsidRPr="00567A3D">
        <w:t xml:space="preserve"> </w:t>
      </w:r>
      <w:r>
        <w:t xml:space="preserve">over time </w:t>
      </w:r>
      <w:r w:rsidRPr="00567A3D">
        <w:t xml:space="preserve">due to competition from alternative sweeteners, reduced at-home use and increased consumer health concerns (Spencer 2004). </w:t>
      </w:r>
    </w:p>
    <w:p w14:paraId="2B816214" w14:textId="77777777" w:rsidR="00FB7EA6" w:rsidRPr="00FB7EA6" w:rsidRDefault="00FB7EA6" w:rsidP="00880D25">
      <w:pPr>
        <w:pStyle w:val="Heading1"/>
      </w:pPr>
      <w:bookmarkStart w:id="77" w:name="_Toc459738668"/>
      <w:bookmarkStart w:id="78" w:name="_Toc487721242"/>
      <w:r>
        <w:lastRenderedPageBreak/>
        <w:t>Data sources and limitations</w:t>
      </w:r>
      <w:bookmarkEnd w:id="77"/>
      <w:bookmarkEnd w:id="78"/>
    </w:p>
    <w:p w14:paraId="1D9C70DC" w14:textId="75D22016" w:rsidR="00FB7EA6" w:rsidRDefault="00FB7EA6" w:rsidP="00FB7EA6">
      <w:pPr>
        <w:pStyle w:val="BodyText1"/>
      </w:pPr>
      <w:r>
        <w:t xml:space="preserve">Time series data on </w:t>
      </w:r>
      <w:proofErr w:type="spellStart"/>
      <w:r>
        <w:t>farmgate</w:t>
      </w:r>
      <w:proofErr w:type="spellEnd"/>
      <w:r>
        <w:t xml:space="preserve">, export and retail prices are needed to investigate long-term trends in farm share and price spread. This chapter provides a description of the data used in this study, as well as some of its limitations. Despite the limitations of existing data, time series </w:t>
      </w:r>
      <w:r w:rsidR="00006E1D">
        <w:t>for</w:t>
      </w:r>
      <w:r>
        <w:t xml:space="preserve"> these variables were compiled and used to examine movements in sugar prices over time.</w:t>
      </w:r>
    </w:p>
    <w:p w14:paraId="15A2685D" w14:textId="6BFA97A8" w:rsidR="00FB7EA6" w:rsidRPr="00EF1779" w:rsidRDefault="00FB7EA6" w:rsidP="00FB7EA6">
      <w:pPr>
        <w:pStyle w:val="BodyText1"/>
      </w:pPr>
      <w:r w:rsidRPr="003F3C9F">
        <w:t xml:space="preserve">Retail price is the </w:t>
      </w:r>
      <w:r>
        <w:t>price</w:t>
      </w:r>
      <w:r w:rsidRPr="003F3C9F">
        <w:t xml:space="preserve"> consumers </w:t>
      </w:r>
      <w:r>
        <w:t>pay</w:t>
      </w:r>
      <w:r w:rsidRPr="003F3C9F">
        <w:t xml:space="preserve"> </w:t>
      </w:r>
      <w:r>
        <w:t>for</w:t>
      </w:r>
      <w:r w:rsidRPr="003F3C9F">
        <w:t xml:space="preserve"> </w:t>
      </w:r>
      <w:r>
        <w:t>a</w:t>
      </w:r>
      <w:r w:rsidRPr="003F3C9F">
        <w:t xml:space="preserve"> food item in </w:t>
      </w:r>
      <w:r>
        <w:t xml:space="preserve">a </w:t>
      </w:r>
      <w:r w:rsidRPr="003F3C9F">
        <w:t xml:space="preserve">retail </w:t>
      </w:r>
      <w:r>
        <w:t>store</w:t>
      </w:r>
      <w:r w:rsidRPr="003F3C9F">
        <w:t xml:space="preserve">. </w:t>
      </w:r>
      <w:r>
        <w:t>The average annual retail price</w:t>
      </w:r>
      <w:r w:rsidRPr="00EF1779">
        <w:t xml:space="preserve"> </w:t>
      </w:r>
      <w:r>
        <w:t xml:space="preserve">(by financial year) </w:t>
      </w:r>
      <w:r w:rsidRPr="00EF1779">
        <w:t xml:space="preserve">of </w:t>
      </w:r>
      <w:r>
        <w:t>refined</w:t>
      </w:r>
      <w:r w:rsidRPr="00EF1779">
        <w:t xml:space="preserve"> sugar</w:t>
      </w:r>
      <w:r>
        <w:t xml:space="preserve"> is calculated using data from the Australian Bureau of Statistics (</w:t>
      </w:r>
      <w:r w:rsidRPr="002F171D">
        <w:t>ABS</w:t>
      </w:r>
      <w:r>
        <w:t>)</w:t>
      </w:r>
      <w:r w:rsidRPr="002F171D">
        <w:t xml:space="preserve"> </w:t>
      </w:r>
      <w:r w:rsidRPr="00F5468A">
        <w:rPr>
          <w:rStyle w:val="Emphasis"/>
        </w:rPr>
        <w:t>Average Retail Prices of Selected Items</w:t>
      </w:r>
      <w:r w:rsidRPr="002F171D">
        <w:t xml:space="preserve"> (cat. no. 6403.0 before Sep</w:t>
      </w:r>
      <w:r>
        <w:t>tember</w:t>
      </w:r>
      <w:r w:rsidRPr="002F171D">
        <w:t xml:space="preserve"> 2004, cat. no. 6403.0.55.001 from Dec</w:t>
      </w:r>
      <w:r>
        <w:t>ember</w:t>
      </w:r>
      <w:r w:rsidRPr="002F171D">
        <w:t xml:space="preserve"> 2004</w:t>
      </w:r>
      <w:r>
        <w:t>)</w:t>
      </w:r>
      <w:r w:rsidRPr="002F171D">
        <w:t xml:space="preserve">. </w:t>
      </w:r>
      <w:r w:rsidRPr="00EF1779">
        <w:t xml:space="preserve">Quarterly retail price data </w:t>
      </w:r>
      <w:r>
        <w:t>for</w:t>
      </w:r>
      <w:r w:rsidRPr="00EF1779">
        <w:t xml:space="preserve"> 2-kilogram bags of </w:t>
      </w:r>
      <w:r>
        <w:t>refined</w:t>
      </w:r>
      <w:r w:rsidRPr="00EF1779">
        <w:t xml:space="preserve"> sugar are available from March 1978 until 2010–11. </w:t>
      </w:r>
      <w:r>
        <w:t>Prices</w:t>
      </w:r>
      <w:r w:rsidRPr="00EF1779">
        <w:t xml:space="preserve"> are averages across a range </w:t>
      </w:r>
      <w:r>
        <w:t xml:space="preserve">of grades, qualities, brands and </w:t>
      </w:r>
      <w:r w:rsidRPr="00EF1779">
        <w:t>retailers in capital cit</w:t>
      </w:r>
      <w:r>
        <w:t>ies</w:t>
      </w:r>
      <w:r w:rsidRPr="009E05FA">
        <w:t xml:space="preserve"> </w:t>
      </w:r>
      <w:r>
        <w:t xml:space="preserve">in </w:t>
      </w:r>
      <w:r w:rsidRPr="00EF1779">
        <w:t xml:space="preserve">Australia. These </w:t>
      </w:r>
      <w:r>
        <w:t xml:space="preserve">quarterly data </w:t>
      </w:r>
      <w:r w:rsidRPr="00EF1779">
        <w:t xml:space="preserve">are averaged to produce annual price estimates, and divided by two to obtain a </w:t>
      </w:r>
      <w:r>
        <w:t>per kilogram</w:t>
      </w:r>
      <w:r w:rsidRPr="00EF1779">
        <w:t xml:space="preserve"> price. </w:t>
      </w:r>
      <w:r>
        <w:t>The ABS discontinued this price series in June 2011. In this study, data from the ABS Consumer Price Index (CPI) ‘Other food’ subgroup is used to extrapolate retail prices to 2014</w:t>
      </w:r>
      <w:r w:rsidR="009C14CD">
        <w:t>–</w:t>
      </w:r>
      <w:r>
        <w:t xml:space="preserve">15. </w:t>
      </w:r>
    </w:p>
    <w:p w14:paraId="128A735B" w14:textId="7A412FEF" w:rsidR="00FB7EA6" w:rsidRDefault="00FB7EA6" w:rsidP="00FB7EA6">
      <w:pPr>
        <w:pStyle w:val="BodyText1"/>
      </w:pPr>
      <w:proofErr w:type="spellStart"/>
      <w:r>
        <w:t>Farmgate</w:t>
      </w:r>
      <w:proofErr w:type="spellEnd"/>
      <w:r w:rsidRPr="00EF1779">
        <w:t xml:space="preserve"> price</w:t>
      </w:r>
      <w:r>
        <w:t xml:space="preserve"> is</w:t>
      </w:r>
      <w:r w:rsidRPr="00EF1779">
        <w:t xml:space="preserve"> </w:t>
      </w:r>
      <w:r>
        <w:t xml:space="preserve">the </w:t>
      </w:r>
      <w:r w:rsidR="008C2A38">
        <w:t>price</w:t>
      </w:r>
      <w:r>
        <w:t xml:space="preserve"> farmers receive for their product, in this case sugar cane. The</w:t>
      </w:r>
      <w:r w:rsidRPr="00EF1779">
        <w:t xml:space="preserve"> local unit value </w:t>
      </w:r>
      <w:r>
        <w:t>(by</w:t>
      </w:r>
      <w:r w:rsidRPr="00EF1779">
        <w:t xml:space="preserve"> financial year</w:t>
      </w:r>
      <w:r>
        <w:t xml:space="preserve">) </w:t>
      </w:r>
      <w:r w:rsidRPr="00EF1779">
        <w:t xml:space="preserve">of </w:t>
      </w:r>
      <w:r>
        <w:t xml:space="preserve">sugar cane is used as a proxy for the </w:t>
      </w:r>
      <w:proofErr w:type="spellStart"/>
      <w:r>
        <w:t>farmgate</w:t>
      </w:r>
      <w:proofErr w:type="spellEnd"/>
      <w:r>
        <w:t xml:space="preserve"> price of sugar cane in this study. This </w:t>
      </w:r>
      <w:r w:rsidRPr="00EF1779">
        <w:t xml:space="preserve">is calculated </w:t>
      </w:r>
      <w:r>
        <w:t>by dividing the</w:t>
      </w:r>
      <w:r w:rsidRPr="00EF1779">
        <w:t xml:space="preserve"> local value of </w:t>
      </w:r>
      <w:r>
        <w:t>sugar cane</w:t>
      </w:r>
      <w:r w:rsidRPr="00EF1779">
        <w:t xml:space="preserve"> by </w:t>
      </w:r>
      <w:r>
        <w:t xml:space="preserve">the </w:t>
      </w:r>
      <w:r w:rsidRPr="00EF1779">
        <w:t xml:space="preserve">volume of production. </w:t>
      </w:r>
      <w:r>
        <w:t>Annual</w:t>
      </w:r>
      <w:r w:rsidRPr="00EF1779">
        <w:t xml:space="preserve"> local value </w:t>
      </w:r>
      <w:r>
        <w:t>data for</w:t>
      </w:r>
      <w:r w:rsidRPr="00EF1779">
        <w:t xml:space="preserve"> </w:t>
      </w:r>
      <w:r>
        <w:t>sugar cane</w:t>
      </w:r>
      <w:r w:rsidRPr="00EF1779">
        <w:t xml:space="preserve"> is </w:t>
      </w:r>
      <w:r>
        <w:t xml:space="preserve">obtained </w:t>
      </w:r>
      <w:r w:rsidRPr="00EF1779">
        <w:t xml:space="preserve">from ABS </w:t>
      </w:r>
      <w:r w:rsidRPr="00F5468A">
        <w:rPr>
          <w:rStyle w:val="Emphasis"/>
        </w:rPr>
        <w:t>Value of Agricultural Commodities Produced, Australia</w:t>
      </w:r>
      <w:r>
        <w:t xml:space="preserve"> (</w:t>
      </w:r>
      <w:r w:rsidRPr="00EF1779">
        <w:t>cat. no. 7503.0</w:t>
      </w:r>
      <w:r>
        <w:t>)</w:t>
      </w:r>
      <w:r w:rsidRPr="00EF1779">
        <w:t xml:space="preserve"> </w:t>
      </w:r>
      <w:r>
        <w:t>while</w:t>
      </w:r>
      <w:r w:rsidRPr="00EF1779">
        <w:t xml:space="preserve"> </w:t>
      </w:r>
      <w:r>
        <w:t xml:space="preserve">annual </w:t>
      </w:r>
      <w:r w:rsidRPr="00EF1779">
        <w:t xml:space="preserve">volume of production data </w:t>
      </w:r>
      <w:r>
        <w:t xml:space="preserve">is obtained from </w:t>
      </w:r>
      <w:r w:rsidRPr="00EF1779">
        <w:t xml:space="preserve">ABS </w:t>
      </w:r>
      <w:r w:rsidRPr="00F5468A">
        <w:rPr>
          <w:rStyle w:val="Emphasis"/>
        </w:rPr>
        <w:t>Agricultural Commodities, Australia</w:t>
      </w:r>
      <w:r>
        <w:t xml:space="preserve"> (</w:t>
      </w:r>
      <w:r w:rsidRPr="00EF1779">
        <w:t>cat. no. 7121.0</w:t>
      </w:r>
      <w:r>
        <w:t>)</w:t>
      </w:r>
      <w:r w:rsidRPr="00EF1779">
        <w:t xml:space="preserve">. </w:t>
      </w:r>
      <w:r>
        <w:t>L</w:t>
      </w:r>
      <w:r w:rsidRPr="0032581D">
        <w:t xml:space="preserve">ocal unit value </w:t>
      </w:r>
      <w:r>
        <w:t>is calculated for</w:t>
      </w:r>
      <w:r w:rsidRPr="0032581D">
        <w:t xml:space="preserve"> production during the year (or season) irrespective</w:t>
      </w:r>
      <w:r>
        <w:t xml:space="preserve"> of when payments are made. </w:t>
      </w:r>
      <w:r w:rsidR="00E15224">
        <w:t>The ABS collect the data needed to derive local unit values via a survey sent to mills. Among other things, this survey asks mill</w:t>
      </w:r>
      <w:r w:rsidR="008C2A38">
        <w:t>er</w:t>
      </w:r>
      <w:r w:rsidR="00E15224">
        <w:t xml:space="preserve">s how many tonnes of sugar cane were delivered for crushing and the payment made to growers for this cane. </w:t>
      </w:r>
      <w:r w:rsidR="00542230">
        <w:t>Local</w:t>
      </w:r>
      <w:r w:rsidR="00E15224">
        <w:t xml:space="preserve"> unit values exclude transport costs. </w:t>
      </w:r>
    </w:p>
    <w:p w14:paraId="64782D0B" w14:textId="26E8EAE3" w:rsidR="00FB7EA6" w:rsidRPr="00EF1779" w:rsidRDefault="00FB7EA6" w:rsidP="00D04833">
      <w:pPr>
        <w:pStyle w:val="BodyText1"/>
      </w:pPr>
      <w:r>
        <w:t>Export price is the</w:t>
      </w:r>
      <w:r w:rsidR="009C3E6C">
        <w:t xml:space="preserve"> price </w:t>
      </w:r>
      <w:r w:rsidR="002E4291">
        <w:t>received</w:t>
      </w:r>
      <w:r w:rsidR="009C3E6C">
        <w:t xml:space="preserve"> for</w:t>
      </w:r>
      <w:r>
        <w:t xml:space="preserve"> raw sugar </w:t>
      </w:r>
      <w:r w:rsidR="009C3E6C">
        <w:t>that is exported</w:t>
      </w:r>
      <w:r w:rsidR="002E4291">
        <w:t xml:space="preserve">. </w:t>
      </w:r>
      <w:r w:rsidR="00850369">
        <w:t xml:space="preserve">Bulk raw sugar is Australia’s major sugar export product (accounting for over 95 per cent of total sugar exports by volume in 2014–15). </w:t>
      </w:r>
      <w:r w:rsidR="002E4291">
        <w:t xml:space="preserve">The export unit value </w:t>
      </w:r>
      <w:r w:rsidR="00207536">
        <w:t xml:space="preserve">(by financial year) </w:t>
      </w:r>
      <w:r w:rsidR="002E4291">
        <w:t xml:space="preserve">of raw sugar is used as a proxy for the export </w:t>
      </w:r>
      <w:r w:rsidR="00850369">
        <w:t>price of raw sugar in this study. It</w:t>
      </w:r>
      <w:r>
        <w:t xml:space="preserve"> is calculated by dividing the value of bulk raw sugar exports by the volume of bulk raw sugar exports. Annual estimates are </w:t>
      </w:r>
      <w:r w:rsidR="008C2A38">
        <w:t>derived</w:t>
      </w:r>
      <w:r>
        <w:t xml:space="preserve"> by averaging quarterly data, available from 1988–89 until 2014–15. The data used to calculate this series is from ABS</w:t>
      </w:r>
      <w:r w:rsidRPr="0037639D">
        <w:t xml:space="preserve"> </w:t>
      </w:r>
      <w:r w:rsidRPr="00F5468A">
        <w:rPr>
          <w:rStyle w:val="Emphasis"/>
        </w:rPr>
        <w:t>International Trade, Australia</w:t>
      </w:r>
      <w:r>
        <w:t xml:space="preserve"> (cat. no. 5465.0) (ABS 2015). </w:t>
      </w:r>
      <w:r w:rsidR="00D833BA">
        <w:t>The ABS collect exp</w:t>
      </w:r>
      <w:r w:rsidR="00D32DE8">
        <w:t xml:space="preserve">ort data </w:t>
      </w:r>
      <w:r w:rsidR="00D833BA">
        <w:t>from export declarat</w:t>
      </w:r>
      <w:r w:rsidR="00D32DE8">
        <w:t>ion forms submitted</w:t>
      </w:r>
      <w:r w:rsidR="00D833BA">
        <w:t xml:space="preserve"> to the Department of Immigration and Border Protection (DIBP). The value is the market value of goods including domestic transport and insurance costs but excluding international transport and insurance costs.</w:t>
      </w:r>
    </w:p>
    <w:p w14:paraId="7164E7AB" w14:textId="6EF1F153" w:rsidR="00FB7EA6" w:rsidRPr="00EF1779" w:rsidRDefault="00FB7EA6" w:rsidP="00FB7EA6">
      <w:pPr>
        <w:pStyle w:val="BodyText1"/>
      </w:pPr>
      <w:r w:rsidRPr="008F5AE4">
        <w:t xml:space="preserve">The world price of </w:t>
      </w:r>
      <w:r>
        <w:t xml:space="preserve">raw </w:t>
      </w:r>
      <w:r w:rsidRPr="008F5AE4">
        <w:t xml:space="preserve">sugar </w:t>
      </w:r>
      <w:r>
        <w:t xml:space="preserve">is calculated using data from the </w:t>
      </w:r>
      <w:r w:rsidRPr="00EB1333">
        <w:t>New York Board of Trade</w:t>
      </w:r>
      <w:r>
        <w:t xml:space="preserve"> (20</w:t>
      </w:r>
      <w:r w:rsidR="00A004CB">
        <w:t>0</w:t>
      </w:r>
      <w:r>
        <w:t>6) made available by the USDA ERS (USDA ERS 2016</w:t>
      </w:r>
      <w:r w:rsidR="001E010B">
        <w:t>a</w:t>
      </w:r>
      <w:r>
        <w:t>). Up until</w:t>
      </w:r>
      <w:r w:rsidRPr="008F5AE4">
        <w:t xml:space="preserve"> 1987–88 this price is the average of monthly averages of </w:t>
      </w:r>
      <w:r>
        <w:t>Intercontinental Exchange (ICE)</w:t>
      </w:r>
      <w:r w:rsidRPr="008F5AE4">
        <w:t xml:space="preserve"> </w:t>
      </w:r>
      <w:r>
        <w:t xml:space="preserve">spot prices for bulk sugar, </w:t>
      </w:r>
      <w:r w:rsidRPr="008F5AE4">
        <w:t>free</w:t>
      </w:r>
      <w:r w:rsidR="00EF2280">
        <w:t xml:space="preserve"> </w:t>
      </w:r>
      <w:r w:rsidRPr="008F5AE4">
        <w:t>on</w:t>
      </w:r>
      <w:r w:rsidR="00EF2280">
        <w:t xml:space="preserve"> </w:t>
      </w:r>
      <w:r w:rsidRPr="008F5AE4">
        <w:t>board</w:t>
      </w:r>
      <w:r>
        <w:t>,</w:t>
      </w:r>
      <w:r w:rsidRPr="008F5AE4">
        <w:t xml:space="preserve"> stowed </w:t>
      </w:r>
      <w:r w:rsidR="001C3D7D">
        <w:t xml:space="preserve">at </w:t>
      </w:r>
      <w:r w:rsidRPr="008F5AE4">
        <w:t>Caribbean ports. From 1988–89 it is the Intercontinental</w:t>
      </w:r>
      <w:r>
        <w:t xml:space="preserve"> Exchange (ICE) nearby futures n</w:t>
      </w:r>
      <w:r w:rsidRPr="008F5AE4">
        <w:t>o.11 contract price, which is considered most reflective of the freely traded world raw sugar p</w:t>
      </w:r>
      <w:r>
        <w:t xml:space="preserve">rice (Butcher 2012). This price is usually expressed in US cents </w:t>
      </w:r>
      <w:r w:rsidR="00EF2280">
        <w:t xml:space="preserve">a </w:t>
      </w:r>
      <w:r>
        <w:t>pound,</w:t>
      </w:r>
      <w:r w:rsidRPr="008F5AE4">
        <w:t xml:space="preserve"> </w:t>
      </w:r>
      <w:r>
        <w:t xml:space="preserve">and </w:t>
      </w:r>
      <w:r w:rsidRPr="008F5AE4">
        <w:t xml:space="preserve">has been converted into Australian </w:t>
      </w:r>
      <w:r>
        <w:t xml:space="preserve">dollars </w:t>
      </w:r>
      <w:r w:rsidR="00EF2280">
        <w:t xml:space="preserve">a </w:t>
      </w:r>
      <w:r>
        <w:t>kilogram using exchange rate data from the Reserve Bank of Australia.</w:t>
      </w:r>
    </w:p>
    <w:p w14:paraId="471881CF" w14:textId="14E5157C" w:rsidR="00FB7EA6" w:rsidRDefault="00FB7EA6" w:rsidP="00FB7EA6">
      <w:pPr>
        <w:pStyle w:val="BodyText1"/>
      </w:pPr>
      <w:r w:rsidRPr="00EF1779">
        <w:lastRenderedPageBreak/>
        <w:t xml:space="preserve">The world price of </w:t>
      </w:r>
      <w:r>
        <w:t>refined</w:t>
      </w:r>
      <w:r w:rsidRPr="00EF1779">
        <w:t xml:space="preserve"> sugar </w:t>
      </w:r>
      <w:r>
        <w:t xml:space="preserve">is also calculated using data from the </w:t>
      </w:r>
      <w:r w:rsidRPr="00EB1333">
        <w:t>New York Board of Trade</w:t>
      </w:r>
      <w:r w:rsidRPr="00B56382">
        <w:t xml:space="preserve"> </w:t>
      </w:r>
      <w:r>
        <w:t>(USDA ERS 2016</w:t>
      </w:r>
      <w:r w:rsidR="001E010B">
        <w:t>a</w:t>
      </w:r>
      <w:r>
        <w:t>). Up until 2005–06 this price is the annual average of monthly prices for the no. 407 c</w:t>
      </w:r>
      <w:r w:rsidRPr="00B04901">
        <w:t xml:space="preserve">ontract, London </w:t>
      </w:r>
      <w:r>
        <w:t>spot p</w:t>
      </w:r>
      <w:r w:rsidRPr="00B04901">
        <w:t xml:space="preserve">rice, </w:t>
      </w:r>
      <w:r w:rsidR="00EF2280">
        <w:t>free on board</w:t>
      </w:r>
      <w:r>
        <w:t xml:space="preserve"> Europe. From </w:t>
      </w:r>
      <w:r w:rsidRPr="00B04901">
        <w:t>2006</w:t>
      </w:r>
      <w:r w:rsidR="009C14CD">
        <w:t>–</w:t>
      </w:r>
      <w:r>
        <w:t>07</w:t>
      </w:r>
      <w:r w:rsidRPr="00B04901">
        <w:t xml:space="preserve"> </w:t>
      </w:r>
      <w:r>
        <w:t xml:space="preserve">the price is the annual average of monthly futures prices for this contract. </w:t>
      </w:r>
    </w:p>
    <w:p w14:paraId="1238B140" w14:textId="77777777" w:rsidR="00FB7EA6" w:rsidRDefault="00FB7EA6" w:rsidP="00FB7EA6">
      <w:pPr>
        <w:pStyle w:val="BodyText1"/>
      </w:pPr>
      <w:r>
        <w:t>All p</w:t>
      </w:r>
      <w:r w:rsidRPr="00EC65A4">
        <w:t xml:space="preserve">rice series </w:t>
      </w:r>
      <w:r>
        <w:t xml:space="preserve">data </w:t>
      </w:r>
      <w:r w:rsidRPr="00EC65A4">
        <w:t xml:space="preserve">have been adjusted for inflation using the ABS </w:t>
      </w:r>
      <w:r w:rsidRPr="00F5468A">
        <w:rPr>
          <w:rStyle w:val="Emphasis"/>
        </w:rPr>
        <w:t>Consumer Price Index</w:t>
      </w:r>
      <w:r w:rsidRPr="00EC65A4">
        <w:t xml:space="preserve"> </w:t>
      </w:r>
      <w:r>
        <w:t>(</w:t>
      </w:r>
      <w:r w:rsidRPr="00EC65A4">
        <w:t>cat. no. 6401.0</w:t>
      </w:r>
      <w:r>
        <w:t>)</w:t>
      </w:r>
      <w:r w:rsidRPr="00EC65A4">
        <w:t xml:space="preserve"> to </w:t>
      </w:r>
      <w:r>
        <w:t>allow an analysis of trends in</w:t>
      </w:r>
      <w:r w:rsidRPr="00EC65A4">
        <w:t xml:space="preserve"> real prices.</w:t>
      </w:r>
    </w:p>
    <w:p w14:paraId="23F4AFEE" w14:textId="3375ED92" w:rsidR="00FB7EA6" w:rsidRDefault="00FB7EA6" w:rsidP="00FB7EA6">
      <w:pPr>
        <w:pStyle w:val="BodyText1"/>
      </w:pPr>
      <w:r>
        <w:t>The price series created from these data sources provide a useful indication of price trends. However, there are some limitations</w:t>
      </w:r>
      <w:r w:rsidR="00EF2280">
        <w:t>:</w:t>
      </w:r>
    </w:p>
    <w:p w14:paraId="7D0E0277" w14:textId="77777777" w:rsidR="00FB7EA6" w:rsidRDefault="00FB7EA6" w:rsidP="00FB7EA6">
      <w:pPr>
        <w:pStyle w:val="Bulletlist-level1"/>
        <w:numPr>
          <w:ilvl w:val="0"/>
          <w:numId w:val="3"/>
        </w:numPr>
      </w:pPr>
      <w:r>
        <w:t>Annual price series data are aggregated from either monthly or quarterly data, which may result in some loss of information and variation.</w:t>
      </w:r>
    </w:p>
    <w:p w14:paraId="1D819A99" w14:textId="082DF109" w:rsidR="00FB7EA6" w:rsidRDefault="00FB7EA6" w:rsidP="00FB7EA6">
      <w:pPr>
        <w:pStyle w:val="Bulletlist-level1"/>
        <w:numPr>
          <w:ilvl w:val="0"/>
          <w:numId w:val="3"/>
        </w:numPr>
      </w:pPr>
      <w:r>
        <w:t>Data may not have been collected with the intention of creating a time series. For example, the specification and quality of items may have changed over time (ABS 2011</w:t>
      </w:r>
      <w:r w:rsidR="00032788">
        <w:t>a</w:t>
      </w:r>
      <w:r>
        <w:t xml:space="preserve">). Nonetheless, the general trends in the data should remain valid. </w:t>
      </w:r>
    </w:p>
    <w:p w14:paraId="1014B3BB" w14:textId="13D1599E" w:rsidR="00FB7EA6" w:rsidRDefault="00FB7EA6" w:rsidP="00FB7EA6">
      <w:pPr>
        <w:pStyle w:val="Bulletlist-level1"/>
        <w:numPr>
          <w:ilvl w:val="0"/>
          <w:numId w:val="3"/>
        </w:numPr>
      </w:pPr>
      <w:r>
        <w:t>The price of 1</w:t>
      </w:r>
      <w:r w:rsidR="00EF2280" w:rsidRPr="00EF2280">
        <w:t>-kilogram</w:t>
      </w:r>
      <w:r>
        <w:t xml:space="preserve"> of retail sugar is assumed to be exactly half of the 2</w:t>
      </w:r>
      <w:r w:rsidR="00EF2280">
        <w:t>-kilogram</w:t>
      </w:r>
      <w:r>
        <w:t xml:space="preserve"> price reported by the ABS. While this may mean that prices in the retail series are lower than the actual cost of a </w:t>
      </w:r>
      <w:r w:rsidR="00FB5569">
        <w:t>1</w:t>
      </w:r>
      <w:r w:rsidR="00FB5569" w:rsidRPr="00EF2280">
        <w:t>-kilogram</w:t>
      </w:r>
      <w:r>
        <w:t xml:space="preserve"> pack of sugar because of additional costs in packaging and handling 1</w:t>
      </w:r>
      <w:r w:rsidR="00EF2280" w:rsidRPr="00EF2280">
        <w:t>-kilogram</w:t>
      </w:r>
      <w:r>
        <w:t xml:space="preserve"> packs, the trend in the data should still be valid.</w:t>
      </w:r>
    </w:p>
    <w:p w14:paraId="053FBFBD" w14:textId="7E3A4D05" w:rsidR="00FB7EA6" w:rsidRDefault="00FB7EA6" w:rsidP="00FB7EA6">
      <w:pPr>
        <w:pStyle w:val="Bulletlist-level1"/>
        <w:numPr>
          <w:ilvl w:val="0"/>
          <w:numId w:val="3"/>
        </w:numPr>
      </w:pPr>
      <w:r>
        <w:t>The ABS CPI ‘Other food’ subgroup used to extrapolate retail prices after 2010</w:t>
      </w:r>
      <w:r w:rsidR="009C14CD">
        <w:t>–</w:t>
      </w:r>
      <w:r>
        <w:t xml:space="preserve">11 is not specific to sugar. </w:t>
      </w:r>
      <w:r w:rsidR="00156031">
        <w:t>While this subcategory includes sugar, i</w:t>
      </w:r>
      <w:r>
        <w:t xml:space="preserve">t </w:t>
      </w:r>
      <w:r w:rsidR="00156031">
        <w:t xml:space="preserve">also </w:t>
      </w:r>
      <w:r>
        <w:t xml:space="preserve">includes eggs, spreads, food additives and condiments, oils and fats, snacks and confectionery and a sub-category referred to as other food products </w:t>
      </w:r>
      <w:r w:rsidR="00EF2280">
        <w:t>n</w:t>
      </w:r>
      <w:r w:rsidR="00EF2280" w:rsidRPr="00EF2280">
        <w:t>ot elsewhere classified </w:t>
      </w:r>
      <w:r>
        <w:t xml:space="preserve"> (ABS 2011</w:t>
      </w:r>
      <w:r w:rsidR="00032788">
        <w:t>b</w:t>
      </w:r>
      <w:r>
        <w:t xml:space="preserve">). </w:t>
      </w:r>
      <w:r w:rsidR="00156031">
        <w:t>While some</w:t>
      </w:r>
      <w:r w:rsidR="007E5F68">
        <w:t xml:space="preserve"> of these </w:t>
      </w:r>
      <w:r w:rsidR="00707A6C">
        <w:t xml:space="preserve">other </w:t>
      </w:r>
      <w:r w:rsidR="007E5F68">
        <w:t>foods are likely to have a high sugar content, others are likely to contain little or no added sugar.</w:t>
      </w:r>
    </w:p>
    <w:p w14:paraId="79AB6EFA" w14:textId="77777777" w:rsidR="00FB7EA6" w:rsidRDefault="00FB7EA6" w:rsidP="00FB7EA6">
      <w:pPr>
        <w:pStyle w:val="Bulletlist-level1"/>
        <w:numPr>
          <w:ilvl w:val="0"/>
          <w:numId w:val="3"/>
        </w:numPr>
      </w:pPr>
      <w:proofErr w:type="spellStart"/>
      <w:r>
        <w:t>Farmgate</w:t>
      </w:r>
      <w:proofErr w:type="spellEnd"/>
      <w:r>
        <w:t xml:space="preserve"> and export prices are approximated by unit values. Again, while this may mean that absolute prices are not completely accurate, trends in the data series should be valid.</w:t>
      </w:r>
    </w:p>
    <w:p w14:paraId="40CD6B4D" w14:textId="77777777" w:rsidR="00FB7EA6" w:rsidRPr="00FB7EA6" w:rsidRDefault="00FB7EA6" w:rsidP="00F70057">
      <w:pPr>
        <w:pStyle w:val="Heading1"/>
      </w:pPr>
      <w:bookmarkStart w:id="79" w:name="_Toc459738669"/>
      <w:bookmarkStart w:id="80" w:name="_Toc487721243"/>
      <w:r>
        <w:lastRenderedPageBreak/>
        <w:t>Price movements</w:t>
      </w:r>
      <w:bookmarkEnd w:id="79"/>
      <w:bookmarkEnd w:id="80"/>
    </w:p>
    <w:p w14:paraId="239A33D4" w14:textId="3C5109CF" w:rsidR="00FB7EA6" w:rsidRDefault="00FB7EA6" w:rsidP="00FB7EA6">
      <w:pPr>
        <w:pStyle w:val="BodyText1"/>
      </w:pPr>
      <w:r>
        <w:fldChar w:fldCharType="begin"/>
      </w:r>
      <w:r>
        <w:instrText xml:space="preserve"> REF _Ref446345007 \h </w:instrText>
      </w:r>
      <w:r>
        <w:fldChar w:fldCharType="separate"/>
      </w:r>
      <w:r w:rsidR="00A82ABB">
        <w:t xml:space="preserve">Figure </w:t>
      </w:r>
      <w:r w:rsidR="00A82ABB">
        <w:rPr>
          <w:noProof/>
        </w:rPr>
        <w:t>2</w:t>
      </w:r>
      <w:r>
        <w:fldChar w:fldCharType="end"/>
      </w:r>
      <w:r>
        <w:t xml:space="preserve"> shows movements in real </w:t>
      </w:r>
      <w:r w:rsidR="00800646">
        <w:t xml:space="preserve">prices of </w:t>
      </w:r>
      <w:r>
        <w:t xml:space="preserve">sugar and sugar cane between 1984–85 and 2014–15. This figure shows that Australian sugar prices are correlated with movements in world sugar prices. There are several reasons why this is the case. </w:t>
      </w:r>
      <w:r w:rsidR="00402FFC">
        <w:t>First</w:t>
      </w:r>
      <w:r>
        <w:t>, Australia is heavily exposed to the world market, exporting over 70</w:t>
      </w:r>
      <w:r w:rsidR="00EF2280">
        <w:t> </w:t>
      </w:r>
      <w:r>
        <w:t>per cent of its raw sugar. Second, the Australian sugar industry is one of the least protected in the world. Third, the</w:t>
      </w:r>
      <w:r w:rsidRPr="00820D0C">
        <w:t xml:space="preserve"> domestic market is small compared to </w:t>
      </w:r>
      <w:r>
        <w:t>Australia’s</w:t>
      </w:r>
      <w:r w:rsidRPr="00820D0C">
        <w:t xml:space="preserve"> production</w:t>
      </w:r>
      <w:r>
        <w:t>, and fourth, sugar produced in Australia only accounts for around 2.5</w:t>
      </w:r>
      <w:r w:rsidR="00EF2280">
        <w:t> </w:t>
      </w:r>
      <w:r>
        <w:t>per cent of world sugar production, or 6</w:t>
      </w:r>
      <w:r w:rsidR="00FC6F30">
        <w:t>.6</w:t>
      </w:r>
      <w:r w:rsidR="00EF2280">
        <w:t> </w:t>
      </w:r>
      <w:r>
        <w:t xml:space="preserve">per cent of total world exports. </w:t>
      </w:r>
    </w:p>
    <w:p w14:paraId="6DC31119" w14:textId="77777777" w:rsidR="00FB7EA6" w:rsidRPr="00FB7EA6" w:rsidRDefault="00FB7EA6" w:rsidP="00F70057">
      <w:pPr>
        <w:pStyle w:val="Heading2"/>
      </w:pPr>
      <w:bookmarkStart w:id="81" w:name="_Toc459738670"/>
      <w:bookmarkStart w:id="82" w:name="_Toc487721244"/>
      <w:r>
        <w:t>World prices of raw and refined sugar</w:t>
      </w:r>
      <w:bookmarkEnd w:id="81"/>
      <w:bookmarkEnd w:id="82"/>
    </w:p>
    <w:p w14:paraId="6F73D80D" w14:textId="01848786" w:rsidR="00FB7EA6" w:rsidRDefault="00FB7EA6" w:rsidP="00FB7EA6">
      <w:pPr>
        <w:pStyle w:val="BodyText1"/>
      </w:pPr>
      <w:r>
        <w:t>There are significant price distortions in the world sugar market, with less than 50 per cent of world sugar trade occurring in a free market (</w:t>
      </w:r>
      <w:r w:rsidRPr="00814601">
        <w:t>ICE Futures U.S.</w:t>
      </w:r>
      <w:r>
        <w:t xml:space="preserve"> 2012). Trade distorting policies (such as quotas, floor prices and tariffs) designed to protect domestic industry remain in place in the European Union and other sugar producing countries, including the United States. There are also a range of preferential trade agreements in place. For example, the Korea-Australia Free Trade Agreement (KAFTA) reduced tariffs and the Japan-Australia Economic Partnership Agreement (JAEPA) recently reduced levies on Australian sugar (Trade &amp; Investment Queensland Australia 2015)</w:t>
      </w:r>
      <w:r w:rsidR="005F4BCF">
        <w:t>.</w:t>
      </w:r>
    </w:p>
    <w:p w14:paraId="4A34612F" w14:textId="0BB8A41A" w:rsidR="00FB7EA6" w:rsidRDefault="00FB7EA6" w:rsidP="00FB7EA6">
      <w:pPr>
        <w:pStyle w:val="BodyText1"/>
      </w:pPr>
      <w:r>
        <w:fldChar w:fldCharType="begin"/>
      </w:r>
      <w:r>
        <w:instrText xml:space="preserve"> REF _Ref446345007 \h </w:instrText>
      </w:r>
      <w:r>
        <w:fldChar w:fldCharType="separate"/>
      </w:r>
      <w:r w:rsidR="00A82ABB">
        <w:t xml:space="preserve">Figure </w:t>
      </w:r>
      <w:r w:rsidR="00A82ABB">
        <w:rPr>
          <w:noProof/>
        </w:rPr>
        <w:t>2</w:t>
      </w:r>
      <w:r>
        <w:fldChar w:fldCharType="end"/>
      </w:r>
      <w:r>
        <w:t xml:space="preserve"> shows world prices for raw and refined sugar using data that is most reflective of freely traded sugar. This data shows that the price of refined </w:t>
      </w:r>
      <w:r w:rsidRPr="00B6417A">
        <w:t>sugar</w:t>
      </w:r>
      <w:r>
        <w:t xml:space="preserve"> is higher than the price of </w:t>
      </w:r>
      <w:r w:rsidRPr="00B6417A">
        <w:t>raw</w:t>
      </w:r>
      <w:r>
        <w:t xml:space="preserve"> sugar, that these prices closely track each other and that there is no clear trend between 1984–85 and 2014–15</w:t>
      </w:r>
      <w:r w:rsidRPr="00B6417A">
        <w:t>. The average world price of raw</w:t>
      </w:r>
      <w:r>
        <w:t xml:space="preserve"> sugar for this period was 28.9</w:t>
      </w:r>
      <w:r w:rsidR="00EF2280">
        <w:t> </w:t>
      </w:r>
      <w:r>
        <w:t>cents a kilogram (in 2014–15 dollars), while the average world price of refined</w:t>
      </w:r>
      <w:r w:rsidRPr="00B6417A">
        <w:t xml:space="preserve"> su</w:t>
      </w:r>
      <w:r>
        <w:t>gar was 38.2</w:t>
      </w:r>
      <w:r w:rsidR="00EF2280">
        <w:t> </w:t>
      </w:r>
      <w:r w:rsidRPr="00B6417A">
        <w:t xml:space="preserve">cents </w:t>
      </w:r>
      <w:r>
        <w:t>a kilogram. Raw and refined world sugar prices were highest in 2010–11 (63.1</w:t>
      </w:r>
      <w:r w:rsidR="00EF2280">
        <w:t> </w:t>
      </w:r>
      <w:r w:rsidR="00EF2280" w:rsidRPr="00EF2280">
        <w:t xml:space="preserve">cents a kilogram </w:t>
      </w:r>
      <w:r>
        <w:t>and 74</w:t>
      </w:r>
      <w:r w:rsidR="00EF2280">
        <w:t> </w:t>
      </w:r>
      <w:r w:rsidRPr="00B6417A">
        <w:t xml:space="preserve">cents </w:t>
      </w:r>
      <w:r>
        <w:t>a kilogram)</w:t>
      </w:r>
      <w:r w:rsidRPr="00B6417A">
        <w:t xml:space="preserve"> </w:t>
      </w:r>
      <w:r>
        <w:t>and lowest in 2001–02 (11.1</w:t>
      </w:r>
      <w:r w:rsidR="00EF2280">
        <w:t> </w:t>
      </w:r>
      <w:r w:rsidR="00EF2280" w:rsidRPr="00EF2280">
        <w:t>cents a kilogram</w:t>
      </w:r>
      <w:r>
        <w:t xml:space="preserve"> and 18 cents a kilogram). </w:t>
      </w:r>
    </w:p>
    <w:p w14:paraId="568128A8" w14:textId="77777777" w:rsidR="00FB7EA6" w:rsidRDefault="00FB7EA6" w:rsidP="00FB7EA6">
      <w:pPr>
        <w:pStyle w:val="Caption"/>
      </w:pPr>
      <w:bookmarkStart w:id="83" w:name="_Ref446345007"/>
      <w:bookmarkStart w:id="84" w:name="_Toc459731413"/>
      <w:bookmarkStart w:id="85" w:name="_Toc488412507"/>
      <w:r>
        <w:t xml:space="preserve">Figure </w:t>
      </w:r>
      <w:fldSimple w:instr=" SEQ Figure \* ARABIC ">
        <w:r w:rsidR="00A82ABB">
          <w:rPr>
            <w:noProof/>
          </w:rPr>
          <w:t>2</w:t>
        </w:r>
      </w:fldSimple>
      <w:bookmarkEnd w:id="83"/>
      <w:r w:rsidRPr="00FB7EA6">
        <w:t xml:space="preserve"> Real prices of sugar and sugar cane, 1984–85 to 2014–15</w:t>
      </w:r>
      <w:bookmarkEnd w:id="84"/>
      <w:bookmarkEnd w:id="85"/>
    </w:p>
    <w:p w14:paraId="3401940B" w14:textId="1C504375" w:rsidR="00FB7EA6" w:rsidRDefault="00F774C3" w:rsidP="00FB7EA6">
      <w:r>
        <w:rPr>
          <w:noProof/>
          <w:lang w:eastAsia="en-AU"/>
        </w:rPr>
        <w:drawing>
          <wp:inline distT="0" distB="0" distL="0" distR="0" wp14:anchorId="1474D348" wp14:editId="404CD502">
            <wp:extent cx="5520906" cy="3351126"/>
            <wp:effectExtent l="0" t="0" r="3810" b="1905"/>
            <wp:docPr id="2" name="Picture 2" descr="Shows real prices for sugar and sugar cane between 1984–85 and 2014–15." title="Real prices of sugar and sugar cane, 1984–85 to 201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35418" cy="3359935"/>
                    </a:xfrm>
                    <a:prstGeom prst="rect">
                      <a:avLst/>
                    </a:prstGeom>
                    <a:noFill/>
                  </pic:spPr>
                </pic:pic>
              </a:graphicData>
            </a:graphic>
          </wp:inline>
        </w:drawing>
      </w:r>
    </w:p>
    <w:p w14:paraId="3B9929C3" w14:textId="77777777" w:rsidR="00FB7EA6" w:rsidRDefault="00FB7EA6" w:rsidP="00FB7EA6">
      <w:pPr>
        <w:pStyle w:val="Notesourcetext"/>
      </w:pPr>
      <w:r>
        <w:lastRenderedPageBreak/>
        <w:t xml:space="preserve">Source: Australian Bureau of Statistics (ABS), </w:t>
      </w:r>
      <w:r w:rsidRPr="00F5468A">
        <w:rPr>
          <w:rStyle w:val="Emphasis"/>
        </w:rPr>
        <w:t>Average Retail Prices of Selected Items</w:t>
      </w:r>
      <w:r>
        <w:t xml:space="preserve">, </w:t>
      </w:r>
      <w:r w:rsidRPr="002F171D">
        <w:t xml:space="preserve">cat. </w:t>
      </w:r>
      <w:proofErr w:type="gramStart"/>
      <w:r w:rsidRPr="002F171D">
        <w:t>no</w:t>
      </w:r>
      <w:proofErr w:type="gramEnd"/>
      <w:r w:rsidRPr="002F171D">
        <w:t>. 6403.0 before Sep 2004, cat. no. 6403.0.55.001 from Dec 2004</w:t>
      </w:r>
      <w:r>
        <w:t xml:space="preserve">, Canberra; </w:t>
      </w:r>
      <w:r w:rsidRPr="00EF1779">
        <w:t xml:space="preserve">ABS </w:t>
      </w:r>
      <w:r w:rsidRPr="00F5468A">
        <w:rPr>
          <w:rStyle w:val="Emphasis"/>
        </w:rPr>
        <w:t>Value of Agricultural Commodities Produced</w:t>
      </w:r>
      <w:r w:rsidRPr="00206A19">
        <w:rPr>
          <w:rStyle w:val="Emphasis"/>
        </w:rPr>
        <w:t>, Australia</w:t>
      </w:r>
      <w:r>
        <w:t xml:space="preserve">, </w:t>
      </w:r>
      <w:r w:rsidRPr="00EF1779">
        <w:t xml:space="preserve">cat. </w:t>
      </w:r>
      <w:proofErr w:type="gramStart"/>
      <w:r w:rsidRPr="00EF1779">
        <w:t>no</w:t>
      </w:r>
      <w:proofErr w:type="gramEnd"/>
      <w:r w:rsidRPr="00EF1779">
        <w:t>. 7503.0</w:t>
      </w:r>
      <w:r>
        <w:t xml:space="preserve">, Canberra; </w:t>
      </w:r>
      <w:r w:rsidRPr="00EF1779">
        <w:t xml:space="preserve">ABS </w:t>
      </w:r>
      <w:r w:rsidRPr="00F5468A">
        <w:rPr>
          <w:rStyle w:val="Emphasis"/>
        </w:rPr>
        <w:t>Agricultural Commodities, Australia</w:t>
      </w:r>
      <w:r>
        <w:t xml:space="preserve">, </w:t>
      </w:r>
      <w:r w:rsidRPr="00EF1779">
        <w:t xml:space="preserve">cat. </w:t>
      </w:r>
      <w:proofErr w:type="gramStart"/>
      <w:r w:rsidRPr="00EF1779">
        <w:t>no</w:t>
      </w:r>
      <w:proofErr w:type="gramEnd"/>
      <w:r w:rsidRPr="00EF1779">
        <w:t>. 7121.0</w:t>
      </w:r>
      <w:r>
        <w:t>, Canberra; ABS</w:t>
      </w:r>
      <w:r w:rsidRPr="0037639D">
        <w:t xml:space="preserve"> </w:t>
      </w:r>
      <w:r w:rsidRPr="0037639D">
        <w:rPr>
          <w:rStyle w:val="Italic"/>
        </w:rPr>
        <w:t>International Trade, Australia</w:t>
      </w:r>
      <w:r>
        <w:t xml:space="preserve">, cat. </w:t>
      </w:r>
      <w:proofErr w:type="gramStart"/>
      <w:r>
        <w:t>no</w:t>
      </w:r>
      <w:proofErr w:type="gramEnd"/>
      <w:r>
        <w:t xml:space="preserve">. 5465.0, Canberra; USDA ERS (2016) </w:t>
      </w:r>
      <w:r w:rsidRPr="00B20A38">
        <w:rPr>
          <w:rStyle w:val="Italic"/>
        </w:rPr>
        <w:t>Sugar and Sweeteners Yearbook Tables</w:t>
      </w:r>
      <w:r>
        <w:t xml:space="preserve">, compiled from New York Board of Trade data </w:t>
      </w:r>
    </w:p>
    <w:p w14:paraId="7DE3E76A" w14:textId="77777777" w:rsidR="00FB7EA6" w:rsidRDefault="00FB7EA6" w:rsidP="00FB7EA6">
      <w:pPr>
        <w:pStyle w:val="BodyText1"/>
      </w:pPr>
      <w:r>
        <w:t xml:space="preserve">While it is difficult to identify any overall trend, there have been some significant movements in world sugar prices over the past 30 years. As with other commodities, the main determinants of world sugar prices are supply and demand, </w:t>
      </w:r>
      <w:r w:rsidRPr="00B6417A">
        <w:t xml:space="preserve">although changes </w:t>
      </w:r>
      <w:r>
        <w:t xml:space="preserve">in supply </w:t>
      </w:r>
      <w:r w:rsidRPr="00B6417A">
        <w:t xml:space="preserve">tend to be more important as world demand for sugar is relatively stable and inelastic (Butcher 2012). Small changes in sugar supplies can </w:t>
      </w:r>
      <w:r>
        <w:t>lead to</w:t>
      </w:r>
      <w:r w:rsidRPr="00B6417A">
        <w:t xml:space="preserve"> significant changes to world sugar prices (Industry </w:t>
      </w:r>
      <w:r w:rsidRPr="008F0F70">
        <w:t xml:space="preserve">Commission 1992). </w:t>
      </w:r>
    </w:p>
    <w:p w14:paraId="2B31DBF3" w14:textId="29747350" w:rsidR="00FB7EA6" w:rsidRDefault="00FB7EA6" w:rsidP="00FB7EA6">
      <w:pPr>
        <w:pStyle w:val="BodyText1"/>
      </w:pPr>
      <w:r>
        <w:t>The peak in world sugar prices in 1989</w:t>
      </w:r>
      <w:r w:rsidR="009C14CD">
        <w:t>–</w:t>
      </w:r>
      <w:r>
        <w:t xml:space="preserve">90 coincided with the running down of stocks built up in the early 1980s, with world consumption exceeding production between 1986 and 1989. </w:t>
      </w:r>
      <w:r w:rsidR="004670AB">
        <w:t>T</w:t>
      </w:r>
      <w:r>
        <w:t xml:space="preserve">here was </w:t>
      </w:r>
      <w:r w:rsidR="004670AB">
        <w:t xml:space="preserve">also </w:t>
      </w:r>
      <w:r>
        <w:t xml:space="preserve">a poor crop in the </w:t>
      </w:r>
      <w:r w:rsidRPr="008F0F70">
        <w:t xml:space="preserve">United States </w:t>
      </w:r>
      <w:r>
        <w:t>in 1990</w:t>
      </w:r>
      <w:r w:rsidR="004670AB">
        <w:t>,</w:t>
      </w:r>
      <w:r>
        <w:t xml:space="preserve"> which led to </w:t>
      </w:r>
      <w:r w:rsidR="00777A61">
        <w:t>an increase in</w:t>
      </w:r>
      <w:r>
        <w:t xml:space="preserve"> </w:t>
      </w:r>
      <w:r w:rsidR="004670AB">
        <w:t>US</w:t>
      </w:r>
      <w:r>
        <w:t xml:space="preserve"> sugar imports </w:t>
      </w:r>
      <w:r w:rsidRPr="008F0F70">
        <w:t>(Hannah &amp; Spence 1997)</w:t>
      </w:r>
      <w:r>
        <w:t xml:space="preserve">. The peak in </w:t>
      </w:r>
      <w:r w:rsidRPr="008F0F70">
        <w:t xml:space="preserve">2010–11 </w:t>
      </w:r>
      <w:r>
        <w:t>coincided with significant disruptions to world production in 2008</w:t>
      </w:r>
      <w:r w:rsidR="009C14CD">
        <w:t>–</w:t>
      </w:r>
      <w:r>
        <w:t>09 and 2009</w:t>
      </w:r>
      <w:r w:rsidR="009C14CD">
        <w:t>–</w:t>
      </w:r>
      <w:r>
        <w:t>10, including u</w:t>
      </w:r>
      <w:r w:rsidRPr="008F0F70">
        <w:t>nfavourable weather in Australia, Europe and North America</w:t>
      </w:r>
      <w:r>
        <w:t xml:space="preserve">, and infrastructure constraints impeding </w:t>
      </w:r>
      <w:r w:rsidRPr="008F0F70">
        <w:t xml:space="preserve">production in Brazil during the harvest season. </w:t>
      </w:r>
    </w:p>
    <w:p w14:paraId="32CFB84B" w14:textId="4AE2083B" w:rsidR="00FB7EA6" w:rsidRPr="008F0F70" w:rsidRDefault="00FB7EA6" w:rsidP="00FB7EA6">
      <w:pPr>
        <w:pStyle w:val="BodyText1"/>
      </w:pPr>
      <w:r>
        <w:t>The trough in world prices in 2001</w:t>
      </w:r>
      <w:r w:rsidR="00D841F2" w:rsidRPr="008F0F70">
        <w:t>–</w:t>
      </w:r>
      <w:r>
        <w:t xml:space="preserve">02 followed a period of relatively weak growth </w:t>
      </w:r>
      <w:r w:rsidRPr="008F0F70">
        <w:t>in demand for sugar</w:t>
      </w:r>
      <w:r>
        <w:t xml:space="preserve"> and an expansion in Brazilian </w:t>
      </w:r>
      <w:r w:rsidRPr="008F0F70">
        <w:t>sugar exports</w:t>
      </w:r>
      <w:r w:rsidR="00777A61">
        <w:t>—</w:t>
      </w:r>
      <w:r w:rsidRPr="008F0F70">
        <w:t>from 5.5</w:t>
      </w:r>
      <w:r w:rsidR="00EF2280">
        <w:t> </w:t>
      </w:r>
      <w:r w:rsidR="00D33AD5">
        <w:t>million tonnes</w:t>
      </w:r>
      <w:r w:rsidRPr="008F0F70">
        <w:t xml:space="preserve"> in 1995–96 to 11.3</w:t>
      </w:r>
      <w:r w:rsidR="00EF2280">
        <w:t> </w:t>
      </w:r>
      <w:r w:rsidR="00D33AD5">
        <w:t>million tonnes</w:t>
      </w:r>
      <w:r w:rsidRPr="008F0F70">
        <w:t xml:space="preserve"> in 2001–02 (ABARE 2003)</w:t>
      </w:r>
      <w:r>
        <w:t xml:space="preserve">. The gradual recovery in prices that followed occurred as Brazil diverted a higher proportion of sugar cane to ethanol production (ABARE 2006) and as </w:t>
      </w:r>
      <w:r w:rsidRPr="00333F53">
        <w:t>EU member states</w:t>
      </w:r>
      <w:r>
        <w:t xml:space="preserve"> reduced production in response to a reduction in the EU’s sugar export subsidy programme</w:t>
      </w:r>
      <w:r w:rsidRPr="00333F53">
        <w:t xml:space="preserve"> </w:t>
      </w:r>
      <w:r>
        <w:t>(ABARE 2007).</w:t>
      </w:r>
    </w:p>
    <w:p w14:paraId="65DDE5DE" w14:textId="5C62906E" w:rsidR="00FB7EA6" w:rsidRDefault="00FB7EA6" w:rsidP="00FB7EA6">
      <w:pPr>
        <w:pStyle w:val="BodyText1"/>
      </w:pPr>
      <w:r w:rsidRPr="008F0F70">
        <w:t>While the world price of sugar is influenced by many factors, a critical supply side factor is the amount of sugar exported by Brazil each year. Because Brazil is a dominant producer and trader in the world market (</w:t>
      </w:r>
      <w:r>
        <w:t>it</w:t>
      </w:r>
      <w:r w:rsidRPr="008F0F70">
        <w:t xml:space="preserve"> accounted for 42</w:t>
      </w:r>
      <w:r w:rsidR="00EF2280">
        <w:t> </w:t>
      </w:r>
      <w:r w:rsidRPr="008F0F70">
        <w:t>per cent of the total volume of sugar traded in 2014–15 (ABARES 2015))</w:t>
      </w:r>
      <w:r>
        <w:t>,</w:t>
      </w:r>
      <w:r w:rsidRPr="008F0F70">
        <w:t xml:space="preserve"> the amount of raw sugar it produces </w:t>
      </w:r>
      <w:r>
        <w:t>affects</w:t>
      </w:r>
      <w:r w:rsidRPr="008F0F70">
        <w:t xml:space="preserve"> world price</w:t>
      </w:r>
      <w:r>
        <w:t>s</w:t>
      </w:r>
      <w:r w:rsidRPr="008F0F70">
        <w:t xml:space="preserve"> (New York Board of Trade 2006). Factors that affect</w:t>
      </w:r>
      <w:r w:rsidRPr="00B6417A">
        <w:t xml:space="preserve"> Brazil’s sugar </w:t>
      </w:r>
      <w:r>
        <w:t>production</w:t>
      </w:r>
      <w:r w:rsidRPr="00B6417A">
        <w:t xml:space="preserve"> include disruptions </w:t>
      </w:r>
      <w:r>
        <w:t>to supply</w:t>
      </w:r>
      <w:r w:rsidRPr="00B6417A">
        <w:t xml:space="preserve"> </w:t>
      </w:r>
      <w:r>
        <w:t xml:space="preserve">(for example, </w:t>
      </w:r>
      <w:r w:rsidRPr="00B6417A">
        <w:t>unfavourable climatic conditions</w:t>
      </w:r>
      <w:r>
        <w:t xml:space="preserve"> or pests and disease)</w:t>
      </w:r>
      <w:r w:rsidRPr="00B6417A">
        <w:t xml:space="preserve">, </w:t>
      </w:r>
      <w:r>
        <w:t xml:space="preserve">the exchange rate and </w:t>
      </w:r>
      <w:r w:rsidRPr="00B6417A">
        <w:t xml:space="preserve">ethanol prices. </w:t>
      </w:r>
      <w:r>
        <w:t>W</w:t>
      </w:r>
      <w:r w:rsidRPr="00B6417A">
        <w:t xml:space="preserve">hen </w:t>
      </w:r>
      <w:r>
        <w:t xml:space="preserve">ethanol prices are high </w:t>
      </w:r>
      <w:r w:rsidRPr="00B6417A">
        <w:t xml:space="preserve">the quantity of Brazilian sugar cane diverted to </w:t>
      </w:r>
      <w:r>
        <w:t>sugar production</w:t>
      </w:r>
      <w:r w:rsidRPr="00B6417A">
        <w:t xml:space="preserve"> </w:t>
      </w:r>
      <w:r>
        <w:t>decreases</w:t>
      </w:r>
      <w:r w:rsidRPr="00B6417A">
        <w:t xml:space="preserve">. </w:t>
      </w:r>
      <w:r>
        <w:t xml:space="preserve">The increase in oil prices in the </w:t>
      </w:r>
      <w:proofErr w:type="spellStart"/>
      <w:r w:rsidR="00D140A0">
        <w:t xml:space="preserve">mid </w:t>
      </w:r>
      <w:r w:rsidR="0083493C">
        <w:t>2000s</w:t>
      </w:r>
      <w:proofErr w:type="spellEnd"/>
      <w:r>
        <w:t xml:space="preserve"> created an incentive for Brazil to divert cane to ethanol production. </w:t>
      </w:r>
    </w:p>
    <w:p w14:paraId="0CC86093" w14:textId="77777777" w:rsidR="00FB7EA6" w:rsidRPr="00FB7EA6" w:rsidRDefault="00FB7EA6" w:rsidP="00F70057">
      <w:pPr>
        <w:pStyle w:val="Heading2"/>
      </w:pPr>
      <w:bookmarkStart w:id="86" w:name="_Toc459738671"/>
      <w:bookmarkStart w:id="87" w:name="_Toc487721245"/>
      <w:r>
        <w:t>E</w:t>
      </w:r>
      <w:r w:rsidRPr="00FB7EA6">
        <w:t>xport price of raw sugar</w:t>
      </w:r>
      <w:bookmarkEnd w:id="86"/>
      <w:bookmarkEnd w:id="87"/>
    </w:p>
    <w:p w14:paraId="7E2DA298" w14:textId="435DF20A" w:rsidR="00FB7EA6" w:rsidRDefault="00FB7EA6" w:rsidP="00FB7EA6">
      <w:r>
        <w:t>The real Australian export price of raw sugar averaged 52.5</w:t>
      </w:r>
      <w:r w:rsidR="00EF2280">
        <w:t> </w:t>
      </w:r>
      <w:r>
        <w:t>cents a kilogram between 198</w:t>
      </w:r>
      <w:r w:rsidR="00D33AD5">
        <w:t>8</w:t>
      </w:r>
      <w:r>
        <w:t>–8</w:t>
      </w:r>
      <w:r w:rsidR="00D33AD5">
        <w:t>9</w:t>
      </w:r>
      <w:r>
        <w:t xml:space="preserve"> and 2014–15, reaching a high of 71.7</w:t>
      </w:r>
      <w:r w:rsidR="00EF2280">
        <w:t> </w:t>
      </w:r>
      <w:r w:rsidR="00D33AD5">
        <w:t xml:space="preserve">cents a kilogram </w:t>
      </w:r>
      <w:r>
        <w:t>in 1989–90 and a low of 31.3</w:t>
      </w:r>
      <w:r w:rsidR="00EF2280">
        <w:t> </w:t>
      </w:r>
      <w:r>
        <w:t xml:space="preserve">cents a kilogram in 2003–04. There is also a slight downward trend in the export price over this period. The export unit value closely follows movements in world sugar prices. </w:t>
      </w:r>
    </w:p>
    <w:p w14:paraId="37C38E17" w14:textId="09BF0CE4" w:rsidR="00FB7EA6" w:rsidRDefault="00FB7EA6" w:rsidP="00FB7EA6">
      <w:r>
        <w:t xml:space="preserve">In addition, the export price of raw sugar tends to track above the world raw sugar price. Sometimes, as in the early 2000s, this price differential is significant, although the gap has narrowed in recent years. </w:t>
      </w:r>
      <w:r w:rsidR="004633DE" w:rsidRPr="004633DE">
        <w:t xml:space="preserve">This premium includes </w:t>
      </w:r>
      <w:r w:rsidR="004633DE">
        <w:t>several components</w:t>
      </w:r>
      <w:r w:rsidR="004633DE" w:rsidRPr="004633DE">
        <w:t>. The freight component is determined by the location of the supplier and customer for raw sugar, and the location of the next potential supplier (</w:t>
      </w:r>
      <w:r w:rsidR="004633DE" w:rsidRPr="009715E4">
        <w:t>ASMC 2015</w:t>
      </w:r>
      <w:r w:rsidR="00DB293E" w:rsidRPr="009715E4">
        <w:t>d</w:t>
      </w:r>
      <w:r w:rsidR="004633DE" w:rsidRPr="004633DE">
        <w:t>).</w:t>
      </w:r>
      <w:r w:rsidR="00CC016D">
        <w:t xml:space="preserve"> The main destination</w:t>
      </w:r>
      <w:r w:rsidR="009E4590">
        <w:t>s</w:t>
      </w:r>
      <w:r w:rsidR="00CC016D">
        <w:t xml:space="preserve"> for Australian sugar </w:t>
      </w:r>
      <w:r w:rsidR="009E4590">
        <w:t>are</w:t>
      </w:r>
      <w:r w:rsidR="00CC016D">
        <w:t xml:space="preserve"> </w:t>
      </w:r>
      <w:r w:rsidR="009E4590">
        <w:t xml:space="preserve">the Republic of Korea, </w:t>
      </w:r>
      <w:r w:rsidR="00CC016D">
        <w:t>Indonesia</w:t>
      </w:r>
      <w:r w:rsidR="009E4590">
        <w:t>, Japan</w:t>
      </w:r>
      <w:r w:rsidR="00CC016D">
        <w:t xml:space="preserve"> and</w:t>
      </w:r>
      <w:r w:rsidR="009E4590">
        <w:t xml:space="preserve"> China</w:t>
      </w:r>
      <w:r w:rsidR="00CC016D">
        <w:t>.</w:t>
      </w:r>
      <w:r w:rsidR="004633DE">
        <w:t xml:space="preserve"> </w:t>
      </w:r>
      <w:r w:rsidR="009E4590">
        <w:t xml:space="preserve">Australia has a significant shipping time advantage when exporting to these countries compared to some other countries, including Brazil (Goesch et al. 2015). </w:t>
      </w:r>
      <w:r>
        <w:t xml:space="preserve">Australian raw sugar may also attract a premium because of its </w:t>
      </w:r>
      <w:r>
        <w:lastRenderedPageBreak/>
        <w:t>quality and reliability of supply. In particular, the degree of polarisation</w:t>
      </w:r>
      <w:r w:rsidR="00402FFC">
        <w:t xml:space="preserve"> (a measure of the sucrose content of sugar)</w:t>
      </w:r>
      <w:r>
        <w:t xml:space="preserve"> of Australian sugar is generally higher than the standard quality specification set by the Sugar Association of London for the ICE no. 11 contract (96 degrees polarisation) (ASMC 2014). </w:t>
      </w:r>
    </w:p>
    <w:p w14:paraId="642EDF58" w14:textId="77777777" w:rsidR="00FB7EA6" w:rsidRPr="00FB7EA6" w:rsidRDefault="00FB7EA6" w:rsidP="00F70057">
      <w:pPr>
        <w:pStyle w:val="Heading2"/>
      </w:pPr>
      <w:bookmarkStart w:id="88" w:name="_Toc459738672"/>
      <w:bookmarkStart w:id="89" w:name="_Toc487721246"/>
      <w:proofErr w:type="spellStart"/>
      <w:r>
        <w:t>F</w:t>
      </w:r>
      <w:r w:rsidRPr="00FB7EA6">
        <w:t>armgate</w:t>
      </w:r>
      <w:proofErr w:type="spellEnd"/>
      <w:r w:rsidRPr="00FB7EA6">
        <w:t xml:space="preserve"> price of sugar cane</w:t>
      </w:r>
      <w:bookmarkEnd w:id="88"/>
      <w:bookmarkEnd w:id="89"/>
    </w:p>
    <w:p w14:paraId="753B2EBF" w14:textId="58E2E240" w:rsidR="00FB7EA6" w:rsidRDefault="00FB7EA6" w:rsidP="00FB7EA6">
      <w:r w:rsidRPr="00091552">
        <w:t xml:space="preserve">The real </w:t>
      </w:r>
      <w:proofErr w:type="spellStart"/>
      <w:r w:rsidRPr="00091552">
        <w:t>farmgate</w:t>
      </w:r>
      <w:proofErr w:type="spellEnd"/>
      <w:r w:rsidRPr="00091552">
        <w:t xml:space="preserve"> price of </w:t>
      </w:r>
      <w:r>
        <w:t>sugar cane</w:t>
      </w:r>
      <w:r w:rsidRPr="00091552">
        <w:t xml:space="preserve"> (as estimated by local unit value) averaged 4</w:t>
      </w:r>
      <w:r>
        <w:t>.5</w:t>
      </w:r>
      <w:r w:rsidRPr="00091552">
        <w:t xml:space="preserve"> cents a kilogram between 1984–85</w:t>
      </w:r>
      <w:r>
        <w:t xml:space="preserve"> and 2014</w:t>
      </w:r>
      <w:r w:rsidRPr="00091552">
        <w:t>–</w:t>
      </w:r>
      <w:r>
        <w:t>15</w:t>
      </w:r>
      <w:r w:rsidRPr="00091552">
        <w:t xml:space="preserve"> (</w:t>
      </w:r>
      <w:r>
        <w:fldChar w:fldCharType="begin"/>
      </w:r>
      <w:r>
        <w:instrText xml:space="preserve"> REF _Ref446345007 \h </w:instrText>
      </w:r>
      <w:r>
        <w:fldChar w:fldCharType="separate"/>
      </w:r>
      <w:r w:rsidR="00A82ABB">
        <w:t xml:space="preserve">Figure </w:t>
      </w:r>
      <w:r w:rsidR="00A82ABB">
        <w:rPr>
          <w:noProof/>
        </w:rPr>
        <w:t>2</w:t>
      </w:r>
      <w:r>
        <w:fldChar w:fldCharType="end"/>
      </w:r>
      <w:r w:rsidRPr="00091552">
        <w:t>)</w:t>
      </w:r>
      <w:r>
        <w:t xml:space="preserve">, and ranged between </w:t>
      </w:r>
      <w:r w:rsidRPr="00091552">
        <w:t>6</w:t>
      </w:r>
      <w:r>
        <w:t>.0</w:t>
      </w:r>
      <w:r w:rsidR="00EF2280">
        <w:t> </w:t>
      </w:r>
      <w:r w:rsidRPr="00091552">
        <w:t xml:space="preserve">cents a kilogram </w:t>
      </w:r>
      <w:r>
        <w:t>in 1989–90 and</w:t>
      </w:r>
      <w:r w:rsidRPr="00091552">
        <w:t xml:space="preserve"> 3</w:t>
      </w:r>
      <w:r>
        <w:t>.0</w:t>
      </w:r>
      <w:r w:rsidR="00EF2280">
        <w:t> </w:t>
      </w:r>
      <w:r w:rsidRPr="00091552">
        <w:t>cent</w:t>
      </w:r>
      <w:r>
        <w:t>s a kilogram in 2003–04</w:t>
      </w:r>
      <w:r w:rsidRPr="00091552">
        <w:t xml:space="preserve">. </w:t>
      </w:r>
    </w:p>
    <w:p w14:paraId="7A7D5849" w14:textId="65D0E71A" w:rsidR="00FB7EA6" w:rsidRDefault="00FB7EA6" w:rsidP="00FB7EA6">
      <w:pPr>
        <w:pStyle w:val="BodyText1"/>
      </w:pPr>
      <w:r>
        <w:t xml:space="preserve">Cane pricing formulas are used to determine the price growers receive for sugar cane. These formulas link the price of cane to the world price of raw sugar and the CCS content of cane, which is a measure of the quality of cane (see </w:t>
      </w:r>
      <w:r>
        <w:fldChar w:fldCharType="begin"/>
      </w:r>
      <w:r>
        <w:instrText xml:space="preserve"> REF _Ref446346705 \h </w:instrText>
      </w:r>
      <w:r>
        <w:fldChar w:fldCharType="separate"/>
      </w:r>
      <w:r w:rsidR="00A82ABB">
        <w:t xml:space="preserve">Box </w:t>
      </w:r>
      <w:r w:rsidR="00A82ABB">
        <w:rPr>
          <w:noProof/>
        </w:rPr>
        <w:t>1</w:t>
      </w:r>
      <w:r>
        <w:fldChar w:fldCharType="end"/>
      </w:r>
      <w:r>
        <w:t xml:space="preserve"> for further detail). The quality of sugar cane can be negatively affected by pests, disease and adverse weather, including drought, cyclones and heavy rain during harvest.</w:t>
      </w:r>
    </w:p>
    <w:p w14:paraId="35B0CEF3" w14:textId="77777777" w:rsidR="00FB7EA6" w:rsidRDefault="00FB7EA6" w:rsidP="00FB7EA6">
      <w:pPr>
        <w:pStyle w:val="Caption"/>
      </w:pPr>
      <w:bookmarkStart w:id="90" w:name="_Ref446346705"/>
      <w:bookmarkStart w:id="91" w:name="_Toc459731435"/>
      <w:bookmarkStart w:id="92" w:name="_Toc487721268"/>
      <w:r>
        <w:t xml:space="preserve">Box </w:t>
      </w:r>
      <w:fldSimple w:instr=" SEQ Box \* ARABIC ">
        <w:r w:rsidR="00A82ABB">
          <w:rPr>
            <w:noProof/>
          </w:rPr>
          <w:t>1</w:t>
        </w:r>
      </w:fldSimple>
      <w:bookmarkEnd w:id="90"/>
      <w:r>
        <w:t xml:space="preserve"> Cane pricing</w:t>
      </w:r>
      <w:bookmarkEnd w:id="91"/>
      <w:bookmarkEnd w:id="92"/>
    </w:p>
    <w:tbl>
      <w:tblPr>
        <w:tblStyle w:val="TableGridLight"/>
        <w:tblW w:w="9129" w:type="dxa"/>
        <w:tblLayout w:type="fixed"/>
        <w:tblLook w:val="04A0" w:firstRow="1" w:lastRow="0" w:firstColumn="1" w:lastColumn="0" w:noHBand="0" w:noVBand="1"/>
      </w:tblPr>
      <w:tblGrid>
        <w:gridCol w:w="9129"/>
      </w:tblGrid>
      <w:tr w:rsidR="00FB7EA6" w:rsidRPr="00187ED8" w14:paraId="24445801" w14:textId="77777777" w:rsidTr="00526A4F">
        <w:tc>
          <w:tcPr>
            <w:tcW w:w="9129" w:type="dxa"/>
          </w:tcPr>
          <w:p w14:paraId="5AFFFF71" w14:textId="77777777" w:rsidR="00FB7EA6" w:rsidRPr="00FB7EA6" w:rsidRDefault="00FB7EA6" w:rsidP="00FB7EA6">
            <w:pPr>
              <w:pStyle w:val="Boxtext"/>
            </w:pPr>
            <w:r>
              <w:t xml:space="preserve">Most CSAs contain cane pricing </w:t>
            </w:r>
            <w:r w:rsidRPr="00FB7EA6">
              <w:t>formulas (see below) that express cane price as a function of the net raw sugar price and the sugar content of the cane. Although these formulas are not required by legislation they have been used to determine cane prices for many years and have widespread industry support. CSAs may also include provisions that allow growers to share in the value of by-products such as molasses (Canegrowers 2010).</w:t>
            </w:r>
          </w:p>
          <w:p w14:paraId="29F7709D" w14:textId="77777777" w:rsidR="00FB7EA6" w:rsidRPr="00FB7EA6" w:rsidRDefault="00FB7EA6" w:rsidP="00FB7EA6">
            <w:pPr>
              <w:pStyle w:val="Boxtext"/>
            </w:pPr>
            <w:r w:rsidRPr="00C01467">
              <w:t xml:space="preserve">Pc = 0.009 × (CCS – 4) × Ps + Constant </w:t>
            </w:r>
          </w:p>
          <w:p w14:paraId="14A7F35B" w14:textId="77777777" w:rsidR="00FB7EA6" w:rsidRPr="00FB7EA6" w:rsidRDefault="00FB7EA6" w:rsidP="00FB7EA6">
            <w:pPr>
              <w:pStyle w:val="Boxtext"/>
            </w:pPr>
            <w:r w:rsidRPr="00C01467">
              <w:t xml:space="preserve">Where: </w:t>
            </w:r>
          </w:p>
          <w:p w14:paraId="0A2FA601" w14:textId="77777777" w:rsidR="00FB7EA6" w:rsidRPr="00FB7EA6" w:rsidRDefault="00FB7EA6" w:rsidP="00FB7EA6">
            <w:pPr>
              <w:pStyle w:val="Boxtext"/>
            </w:pPr>
            <w:r w:rsidRPr="00C01467">
              <w:t>Pc = cane price ($/tonne)</w:t>
            </w:r>
          </w:p>
          <w:p w14:paraId="610033D3" w14:textId="77777777" w:rsidR="00FB7EA6" w:rsidRPr="00FB7EA6" w:rsidRDefault="00FB7EA6" w:rsidP="00FB7EA6">
            <w:pPr>
              <w:pStyle w:val="Boxtext"/>
            </w:pPr>
            <w:r w:rsidRPr="00C01467">
              <w:t>Ps = net raw sugar price ($/tonne sugar) (see below)</w:t>
            </w:r>
          </w:p>
          <w:p w14:paraId="5FD12015" w14:textId="77777777" w:rsidR="00FB7EA6" w:rsidRPr="00FB7EA6" w:rsidRDefault="00FB7EA6" w:rsidP="00FB7EA6">
            <w:pPr>
              <w:pStyle w:val="Boxtext"/>
            </w:pPr>
            <w:r w:rsidRPr="00C01467">
              <w:t>CCS = Commercial Cane Sugar, a measure of</w:t>
            </w:r>
            <w:r w:rsidRPr="00FB7EA6">
              <w:t xml:space="preserve"> the recoverable sucrose in the cane (units) </w:t>
            </w:r>
          </w:p>
          <w:p w14:paraId="74C8BE30" w14:textId="77777777" w:rsidR="00FB7EA6" w:rsidRPr="00FB7EA6" w:rsidRDefault="00FB7EA6" w:rsidP="00FB7EA6">
            <w:pPr>
              <w:pStyle w:val="Boxtext"/>
            </w:pPr>
            <w:r>
              <w:t xml:space="preserve">The CCS is a measure of sugar cane quality. It </w:t>
            </w:r>
            <w:r w:rsidRPr="00FB7EA6">
              <w:t xml:space="preserve">estimates the level of extractable sucrose minus a negative weighting based on the impurities in the cane (ash, dirt </w:t>
            </w:r>
            <w:proofErr w:type="spellStart"/>
            <w:r w:rsidRPr="00FB7EA6">
              <w:t>etc</w:t>
            </w:r>
            <w:proofErr w:type="spellEnd"/>
            <w:r w:rsidRPr="00FB7EA6">
              <w:t xml:space="preserve">) (Albertson &amp; </w:t>
            </w:r>
            <w:proofErr w:type="spellStart"/>
            <w:r w:rsidRPr="00FB7EA6">
              <w:t>Grof</w:t>
            </w:r>
            <w:proofErr w:type="spellEnd"/>
            <w:r w:rsidRPr="00FB7EA6">
              <w:t xml:space="preserve"> 2004).</w:t>
            </w:r>
          </w:p>
          <w:p w14:paraId="54351B3E" w14:textId="77777777" w:rsidR="00FB7EA6" w:rsidRPr="00FB7EA6" w:rsidRDefault="00FB7EA6" w:rsidP="00FB7EA6">
            <w:pPr>
              <w:pStyle w:val="Boxtext"/>
            </w:pPr>
            <w:r>
              <w:t>The net raw sugar price (Ps,</w:t>
            </w:r>
            <w:r w:rsidRPr="00FB7EA6">
              <w:t xml:space="preserve"> the price received by the mill for the sale of sugar produced from that cane) links the cane price to the world price of sugar (Wilmar Sugar 2014). The ICE futures no. 11 contract price (world raw sugar price) accounts for around 99 per cent of the net sugar price.</w:t>
            </w:r>
          </w:p>
          <w:p w14:paraId="1462F144" w14:textId="77777777" w:rsidR="00FB7EA6" w:rsidRPr="00FB7EA6" w:rsidRDefault="00FB7EA6" w:rsidP="00FB7EA6">
            <w:pPr>
              <w:pStyle w:val="Boxtext"/>
            </w:pPr>
            <w:r w:rsidRPr="00C01467">
              <w:t xml:space="preserve">Ps = ICE </w:t>
            </w:r>
            <w:r w:rsidRPr="00FB7EA6">
              <w:t xml:space="preserve">no. 11 price + Marketing Premiums – Marketing Costs </w:t>
            </w:r>
          </w:p>
          <w:p w14:paraId="32CE8C14" w14:textId="77777777" w:rsidR="00FB7EA6" w:rsidRPr="00FB7EA6" w:rsidRDefault="00FB7EA6" w:rsidP="00FB7EA6">
            <w:pPr>
              <w:pStyle w:val="Boxtext"/>
            </w:pPr>
            <w:r w:rsidRPr="00C01467">
              <w:t xml:space="preserve">Where: </w:t>
            </w:r>
          </w:p>
          <w:p w14:paraId="38E0B4F5" w14:textId="77777777" w:rsidR="00FB7EA6" w:rsidRPr="00FB7EA6" w:rsidRDefault="00FB7EA6" w:rsidP="00FB7EA6">
            <w:pPr>
              <w:pStyle w:val="Boxtext"/>
            </w:pPr>
            <w:r w:rsidRPr="00C01467">
              <w:t xml:space="preserve">Ps = net raw sugar price ($/tonne) </w:t>
            </w:r>
          </w:p>
          <w:p w14:paraId="1F8ADEBE" w14:textId="130E9BA7" w:rsidR="00FB7EA6" w:rsidRPr="00FB7EA6" w:rsidRDefault="00FB7EA6" w:rsidP="00FB7EA6">
            <w:pPr>
              <w:pStyle w:val="Boxtext"/>
            </w:pPr>
            <w:r w:rsidRPr="00C01467">
              <w:t xml:space="preserve">ICE </w:t>
            </w:r>
            <w:r w:rsidRPr="00FB7EA6">
              <w:t xml:space="preserve">no. 11 price = Intercontinental Exchange, nearby futures, no. 11 contract price, converted to </w:t>
            </w:r>
            <w:r w:rsidR="005E0777">
              <w:t>Australian dollars.</w:t>
            </w:r>
          </w:p>
          <w:p w14:paraId="2D8FDA4B" w14:textId="32760673" w:rsidR="00FB7EA6" w:rsidRPr="00FB7EA6" w:rsidRDefault="00FB7EA6" w:rsidP="00FB7EA6">
            <w:pPr>
              <w:pStyle w:val="Boxtext"/>
            </w:pPr>
            <w:r w:rsidRPr="00C01467">
              <w:t>Marketing Premiums = additional components of price negotiated between parties to a sugar sales contract over and above the ICE</w:t>
            </w:r>
            <w:r w:rsidRPr="00FB7EA6">
              <w:t xml:space="preserve"> no. 11 price converted to </w:t>
            </w:r>
            <w:r w:rsidR="005E0777">
              <w:t xml:space="preserve"> </w:t>
            </w:r>
            <w:r w:rsidR="005E0777" w:rsidRPr="005E0777">
              <w:t>Australian dollars.</w:t>
            </w:r>
          </w:p>
          <w:p w14:paraId="02B63CBA" w14:textId="057E90F3" w:rsidR="00FB7EA6" w:rsidRPr="00FB7EA6" w:rsidRDefault="00FB7EA6" w:rsidP="00AC2CCF">
            <w:pPr>
              <w:pStyle w:val="Boxtext"/>
            </w:pPr>
            <w:r w:rsidRPr="00C01467">
              <w:t>Marketing Costs = the costs associated with storing and handling sugar in the bulk sugar terminals, financing the industry advance payment scheme, administration of pricing and physical sales</w:t>
            </w:r>
            <w:r w:rsidR="003B3E29">
              <w:t xml:space="preserve"> (note, marketing costs not only include </w:t>
            </w:r>
            <w:r w:rsidR="00643C41">
              <w:t xml:space="preserve">futures brokerage but </w:t>
            </w:r>
            <w:r w:rsidR="003B3E29">
              <w:t>also include costs for unwinding forward pricing and sales if these tonnages are not received (QSL 201</w:t>
            </w:r>
            <w:r w:rsidR="00643C41">
              <w:t>5</w:t>
            </w:r>
            <w:r w:rsidR="00D869B9">
              <w:t>b</w:t>
            </w:r>
            <w:r w:rsidR="003B3E29">
              <w:t>))</w:t>
            </w:r>
            <w:r w:rsidR="001A66BC">
              <w:t>.</w:t>
            </w:r>
            <w:r w:rsidRPr="00FB7EA6">
              <w:t xml:space="preserve"> </w:t>
            </w:r>
          </w:p>
        </w:tc>
      </w:tr>
    </w:tbl>
    <w:p w14:paraId="6CF0ED30" w14:textId="77777777" w:rsidR="00FB7EA6" w:rsidRPr="00187ED8" w:rsidRDefault="00FB7EA6" w:rsidP="00FB7EA6">
      <w:pPr>
        <w:pStyle w:val="Notesourcetext"/>
      </w:pPr>
      <w:r>
        <w:t>Source: Wilmar Sugar 2014</w:t>
      </w:r>
    </w:p>
    <w:p w14:paraId="71C83E93" w14:textId="7DF7744B" w:rsidR="00FB7EA6" w:rsidRDefault="00FB7EA6" w:rsidP="00FB7EA6">
      <w:pPr>
        <w:pStyle w:val="BodyText1"/>
      </w:pPr>
      <w:r>
        <w:t>While cane prices generally move in line with world sugar prices, c</w:t>
      </w:r>
      <w:r w:rsidRPr="00091552">
        <w:t xml:space="preserve">ane prices </w:t>
      </w:r>
      <w:r>
        <w:t xml:space="preserve">are insulated </w:t>
      </w:r>
      <w:r w:rsidRPr="00091552">
        <w:t>from</w:t>
      </w:r>
      <w:r>
        <w:t xml:space="preserve"> </w:t>
      </w:r>
      <w:r w:rsidRPr="00091552">
        <w:t>variability in world price</w:t>
      </w:r>
      <w:r>
        <w:t>s</w:t>
      </w:r>
      <w:r w:rsidRPr="00091552">
        <w:t xml:space="preserve"> </w:t>
      </w:r>
      <w:r>
        <w:t>to some extent</w:t>
      </w:r>
      <w:r w:rsidRPr="00091552">
        <w:t xml:space="preserve"> </w:t>
      </w:r>
      <w:r>
        <w:t xml:space="preserve">through the use of </w:t>
      </w:r>
      <w:r w:rsidRPr="00091552">
        <w:t>risk management practices</w:t>
      </w:r>
      <w:r>
        <w:t xml:space="preserve"> such as pooling and futures pricing </w:t>
      </w:r>
      <w:r w:rsidRPr="00091552">
        <w:t>(</w:t>
      </w:r>
      <w:r>
        <w:t>QSL 2013).</w:t>
      </w:r>
      <w:r w:rsidRPr="002B5AB0">
        <w:t xml:space="preserve"> </w:t>
      </w:r>
      <w:r>
        <w:t xml:space="preserve">Mechanisms enabling </w:t>
      </w:r>
      <w:r w:rsidRPr="009B3C20">
        <w:t xml:space="preserve">growers and millers to manage their price exposure </w:t>
      </w:r>
      <w:r>
        <w:t>independently of one an</w:t>
      </w:r>
      <w:r w:rsidRPr="009B3C20">
        <w:t xml:space="preserve">other </w:t>
      </w:r>
      <w:r>
        <w:t xml:space="preserve">have been progressively introduced since the </w:t>
      </w:r>
      <w:r>
        <w:lastRenderedPageBreak/>
        <w:t>late 1990s (Warren Males</w:t>
      </w:r>
      <w:r w:rsidRPr="00FB7EA6">
        <w:t xml:space="preserve"> [Canegrowers] 2015, </w:t>
      </w:r>
      <w:r>
        <w:t xml:space="preserve">pers. comm., </w:t>
      </w:r>
      <w:r w:rsidRPr="00FB7EA6">
        <w:t>22 December</w:t>
      </w:r>
      <w:r>
        <w:t>). QSL offer a range of pooling options that allow growers to manage up to 70 per cent of their exposure to the world sugar price by allocating their production across a number of pricing pools, each with their own</w:t>
      </w:r>
      <w:r w:rsidRPr="00832D0F">
        <w:t xml:space="preserve"> pricing and risk </w:t>
      </w:r>
      <w:r>
        <w:t>characteristics, and volume obligations</w:t>
      </w:r>
      <w:r w:rsidRPr="00832D0F">
        <w:t xml:space="preserve"> </w:t>
      </w:r>
      <w:r>
        <w:t>(ASMC 2014)</w:t>
      </w:r>
      <w:r w:rsidRPr="00832D0F">
        <w:t>.</w:t>
      </w:r>
      <w:r>
        <w:t xml:space="preserve"> It is important to note, however, that the terms of the CSA between growers and the milling company they supply determines the extent to which growers can participate in this system. </w:t>
      </w:r>
    </w:p>
    <w:p w14:paraId="082413D0" w14:textId="4F473382" w:rsidR="00FB7EA6" w:rsidRDefault="00FB7EA6" w:rsidP="001B4AA3">
      <w:pPr>
        <w:pStyle w:val="BodyText1"/>
      </w:pPr>
      <w:r>
        <w:t xml:space="preserve">Despite </w:t>
      </w:r>
      <w:proofErr w:type="spellStart"/>
      <w:r>
        <w:t>farmgate</w:t>
      </w:r>
      <w:proofErr w:type="spellEnd"/>
      <w:r>
        <w:t xml:space="preserve"> prices being highly correlated with world prices and Australian export prices, </w:t>
      </w:r>
      <w:r w:rsidR="001B4AA3">
        <w:t>there have been instances where these price trends diverged in the short</w:t>
      </w:r>
      <w:r w:rsidR="00647DB8">
        <w:t xml:space="preserve"> </w:t>
      </w:r>
      <w:r w:rsidR="001B4AA3">
        <w:t>term (for example, in 2000</w:t>
      </w:r>
      <w:r w:rsidR="009C14CD">
        <w:t>–</w:t>
      </w:r>
      <w:r w:rsidR="001B4AA3">
        <w:t>01 and 2010</w:t>
      </w:r>
      <w:r w:rsidR="009C14CD">
        <w:t>–</w:t>
      </w:r>
      <w:r w:rsidR="001B4AA3">
        <w:t xml:space="preserve">11). </w:t>
      </w:r>
      <w:r>
        <w:t xml:space="preserve">There are </w:t>
      </w:r>
      <w:r w:rsidR="001B4AA3">
        <w:t xml:space="preserve">several factors that can lead to a short-term divergence in trend. One factor is bad weather, which can affect the quantity and quality of sugar cane produced. </w:t>
      </w:r>
      <w:r>
        <w:t xml:space="preserve">Another factor </w:t>
      </w:r>
      <w:r w:rsidR="001B4AA3" w:rsidRPr="001B4AA3">
        <w:t xml:space="preserve">is </w:t>
      </w:r>
      <w:r w:rsidR="00F10F86">
        <w:t>that m</w:t>
      </w:r>
      <w:r>
        <w:t>ost raw sugar is priced and sold forward</w:t>
      </w:r>
      <w:r w:rsidR="00FC6F30">
        <w:t xml:space="preserve">, </w:t>
      </w:r>
      <w:r w:rsidR="00DD7DEB" w:rsidRPr="00DD7DEB">
        <w:t xml:space="preserve">while the invoice value for exports largely reflects </w:t>
      </w:r>
      <w:r w:rsidR="00FC6F30">
        <w:t>market conditions at the time futures positions are closed</w:t>
      </w:r>
      <w:r>
        <w:t xml:space="preserve">. This means that in a rising </w:t>
      </w:r>
      <w:r w:rsidR="0083493C">
        <w:t xml:space="preserve">or falling </w:t>
      </w:r>
      <w:r>
        <w:t>market, the futures price locked in prior to the actual supply of cane can lag the spot market (for which the nearby ICE no. 11 contract is a proxy) (Warren Males</w:t>
      </w:r>
      <w:r w:rsidRPr="00FB7EA6">
        <w:t xml:space="preserve"> [Canegrowers] 2016, </w:t>
      </w:r>
      <w:r>
        <w:t xml:space="preserve">pers. comm., </w:t>
      </w:r>
      <w:r w:rsidRPr="00FB7EA6">
        <w:t>4 May</w:t>
      </w:r>
      <w:r>
        <w:t xml:space="preserve">). </w:t>
      </w:r>
      <w:r w:rsidR="00483DAD">
        <w:t>This may have contributed to the short</w:t>
      </w:r>
      <w:r w:rsidR="00647DB8">
        <w:t>-</w:t>
      </w:r>
      <w:r w:rsidR="00483DAD">
        <w:t xml:space="preserve">term deviation in </w:t>
      </w:r>
      <w:proofErr w:type="spellStart"/>
      <w:r w:rsidR="006B22B4">
        <w:t>farmgate</w:t>
      </w:r>
      <w:proofErr w:type="spellEnd"/>
      <w:r w:rsidR="006B22B4">
        <w:t xml:space="preserve"> and export price trends in 2000</w:t>
      </w:r>
      <w:r w:rsidR="009C14CD">
        <w:t>–</w:t>
      </w:r>
      <w:r w:rsidR="006B22B4">
        <w:t xml:space="preserve">01. </w:t>
      </w:r>
    </w:p>
    <w:p w14:paraId="6B18D279" w14:textId="77777777" w:rsidR="00FB7EA6" w:rsidRPr="00FB7EA6" w:rsidRDefault="00FB7EA6" w:rsidP="00F70057">
      <w:pPr>
        <w:pStyle w:val="Heading2"/>
      </w:pPr>
      <w:bookmarkStart w:id="93" w:name="_Toc459738673"/>
      <w:bookmarkStart w:id="94" w:name="_Toc487721247"/>
      <w:r>
        <w:t>Retail price of refined sugar</w:t>
      </w:r>
      <w:bookmarkEnd w:id="93"/>
      <w:bookmarkEnd w:id="94"/>
    </w:p>
    <w:p w14:paraId="324F69D6" w14:textId="58640A19" w:rsidR="00FB7EA6" w:rsidRDefault="00FB7EA6" w:rsidP="00FB7EA6">
      <w:pPr>
        <w:pStyle w:val="BodyText1"/>
      </w:pPr>
      <w:r>
        <w:t xml:space="preserve">The </w:t>
      </w:r>
      <w:r w:rsidRPr="00356DF5">
        <w:t xml:space="preserve">real retail price </w:t>
      </w:r>
      <w:r>
        <w:t>of</w:t>
      </w:r>
      <w:r w:rsidRPr="00356DF5">
        <w:t xml:space="preserve"> </w:t>
      </w:r>
      <w:r>
        <w:t>refined</w:t>
      </w:r>
      <w:r w:rsidRPr="00356DF5">
        <w:t xml:space="preserve"> sugar</w:t>
      </w:r>
      <w:r>
        <w:t xml:space="preserve"> averaged 169.4 cents a kilogram</w:t>
      </w:r>
      <w:r w:rsidRPr="00356DF5">
        <w:t xml:space="preserve"> </w:t>
      </w:r>
      <w:r>
        <w:t xml:space="preserve">between </w:t>
      </w:r>
      <w:r w:rsidRPr="00091552">
        <w:t>1984–85</w:t>
      </w:r>
      <w:r>
        <w:t xml:space="preserve"> and 2014</w:t>
      </w:r>
      <w:r w:rsidRPr="00091552">
        <w:t>–</w:t>
      </w:r>
      <w:r>
        <w:t>15. Prices were highest in 1989–90, at 211.9</w:t>
      </w:r>
      <w:r w:rsidR="005E0777">
        <w:t> </w:t>
      </w:r>
      <w:r>
        <w:t xml:space="preserve">cents a kilogram, </w:t>
      </w:r>
      <w:r w:rsidRPr="00356DF5">
        <w:t>and</w:t>
      </w:r>
      <w:r>
        <w:t xml:space="preserve"> </w:t>
      </w:r>
      <w:r w:rsidRPr="00356DF5">
        <w:t>lowest in 2005–06</w:t>
      </w:r>
      <w:r>
        <w:t>,</w:t>
      </w:r>
      <w:r w:rsidRPr="00356DF5">
        <w:t xml:space="preserve"> at </w:t>
      </w:r>
      <w:r>
        <w:t>136</w:t>
      </w:r>
      <w:r w:rsidR="005E0777">
        <w:t> </w:t>
      </w:r>
      <w:r w:rsidRPr="00356DF5">
        <w:t>cents a</w:t>
      </w:r>
      <w:r>
        <w:t xml:space="preserve"> kilogram. In 2014–15</w:t>
      </w:r>
      <w:r w:rsidRPr="00356DF5">
        <w:t xml:space="preserve">, the retail price of </w:t>
      </w:r>
      <w:r>
        <w:t>refined</w:t>
      </w:r>
      <w:r w:rsidRPr="00356DF5">
        <w:t xml:space="preserve"> </w:t>
      </w:r>
      <w:r>
        <w:t xml:space="preserve">sugar was </w:t>
      </w:r>
      <w:r w:rsidR="00821ECC" w:rsidRPr="00F75F6A">
        <w:t>151.2</w:t>
      </w:r>
      <w:r w:rsidR="005E0777">
        <w:t> </w:t>
      </w:r>
      <w:r w:rsidRPr="00356DF5">
        <w:t>cents a kilogram.</w:t>
      </w:r>
      <w:r>
        <w:t xml:space="preserve"> </w:t>
      </w:r>
    </w:p>
    <w:p w14:paraId="2B9C1694" w14:textId="77777777" w:rsidR="00FB7EA6" w:rsidRDefault="00FB7EA6" w:rsidP="00FB7EA6">
      <w:pPr>
        <w:pStyle w:val="BodyText1"/>
      </w:pPr>
      <w:r w:rsidRPr="00356DF5">
        <w:t>The retail price has trende</w:t>
      </w:r>
      <w:r>
        <w:t>d down</w:t>
      </w:r>
      <w:r w:rsidRPr="00B70458">
        <w:t xml:space="preserve"> </w:t>
      </w:r>
      <w:r>
        <w:t>slightly o</w:t>
      </w:r>
      <w:r w:rsidRPr="00356DF5">
        <w:t xml:space="preserve">ver the </w:t>
      </w:r>
      <w:r>
        <w:t>p</w:t>
      </w:r>
      <w:r w:rsidRPr="00356DF5">
        <w:t>as</w:t>
      </w:r>
      <w:r>
        <w:t>t 30 years, and i</w:t>
      </w:r>
      <w:r w:rsidRPr="00356DF5">
        <w:t xml:space="preserve">n major supermarkets the price of private label </w:t>
      </w:r>
      <w:r>
        <w:t>refined</w:t>
      </w:r>
      <w:r w:rsidRPr="00356DF5">
        <w:t xml:space="preserve"> sugar can be as low as </w:t>
      </w:r>
      <w:r>
        <w:t>$</w:t>
      </w:r>
      <w:r w:rsidRPr="00356DF5">
        <w:t xml:space="preserve">1 </w:t>
      </w:r>
      <w:r>
        <w:t>a kilogram</w:t>
      </w:r>
      <w:r w:rsidRPr="00356DF5">
        <w:t xml:space="preserve">. </w:t>
      </w:r>
      <w:r>
        <w:t>An important driver of this trend has been the progressive deregulation of the Australian sugar industry. Deregulation began in 1989 with removal of the long-standing import embargo</w:t>
      </w:r>
      <w:r w:rsidRPr="009629F9">
        <w:t xml:space="preserve"> </w:t>
      </w:r>
      <w:r>
        <w:t>on raw and refined sugar (to be replaced with a tariff which was phased out over the 1990s) and the elimination of the government set</w:t>
      </w:r>
      <w:r w:rsidRPr="00AB43D5">
        <w:t xml:space="preserve"> price for</w:t>
      </w:r>
      <w:r>
        <w:t xml:space="preserve"> </w:t>
      </w:r>
      <w:r w:rsidRPr="00AB43D5">
        <w:t>domestic raw and refined sugar</w:t>
      </w:r>
      <w:r>
        <w:t>. There has been a narrowing of the gap between the</w:t>
      </w:r>
      <w:r w:rsidRPr="00023789">
        <w:t xml:space="preserve"> </w:t>
      </w:r>
      <w:r>
        <w:t xml:space="preserve">retail price of refined sugar in Australia and the world price of refined sugar since deregulation (Industry Commission 1992). Of course, the retail price of refined sugar remains well above the world price, with distribution costs such as rent, labour, advertising and profits making up the difference. </w:t>
      </w:r>
    </w:p>
    <w:p w14:paraId="1E1AEB75" w14:textId="77777777" w:rsidR="00FB7EA6" w:rsidRDefault="00FB7EA6" w:rsidP="00FB7EA6">
      <w:pPr>
        <w:pStyle w:val="BodyText1"/>
      </w:pPr>
      <w:r>
        <w:t>C</w:t>
      </w:r>
      <w:r w:rsidRPr="00356DF5">
        <w:t>ompetition from alternative sweeteners, increased consumer health concerns</w:t>
      </w:r>
      <w:r>
        <w:t xml:space="preserve"> </w:t>
      </w:r>
      <w:r w:rsidRPr="00356DF5">
        <w:t xml:space="preserve">and reduced at-home use </w:t>
      </w:r>
      <w:r>
        <w:t>may have also contributed to the declining trend</w:t>
      </w:r>
      <w:r w:rsidRPr="00356DF5">
        <w:t xml:space="preserve"> </w:t>
      </w:r>
      <w:r>
        <w:t xml:space="preserve">in the retail price of sugar </w:t>
      </w:r>
      <w:r w:rsidRPr="00356DF5">
        <w:t xml:space="preserve">(Spencer 2004). </w:t>
      </w:r>
    </w:p>
    <w:p w14:paraId="09C7AA1E" w14:textId="77777777" w:rsidR="00FB7EA6" w:rsidRPr="00FB7EA6" w:rsidRDefault="00FB7EA6" w:rsidP="00F70057">
      <w:pPr>
        <w:pStyle w:val="Heading2"/>
      </w:pPr>
      <w:bookmarkStart w:id="95" w:name="_Toc459738674"/>
      <w:bookmarkStart w:id="96" w:name="_Toc487721248"/>
      <w:r>
        <w:t>Price indices</w:t>
      </w:r>
      <w:bookmarkEnd w:id="95"/>
      <w:bookmarkEnd w:id="96"/>
    </w:p>
    <w:p w14:paraId="4BD606BB" w14:textId="297E27A2" w:rsidR="00FB7EA6" w:rsidRDefault="00FB7EA6" w:rsidP="00FB7EA6">
      <w:pPr>
        <w:pStyle w:val="BodyText1"/>
      </w:pPr>
      <w:r>
        <w:t>In order to more easily identify</w:t>
      </w:r>
      <w:r w:rsidRPr="00752DCC">
        <w:t xml:space="preserve"> trends in </w:t>
      </w:r>
      <w:r>
        <w:t>sugar prices</w:t>
      </w:r>
      <w:r w:rsidRPr="00752DCC">
        <w:t xml:space="preserve"> and to examine </w:t>
      </w:r>
      <w:r>
        <w:t>their movements relative to one another</w:t>
      </w:r>
      <w:r w:rsidRPr="00752DCC">
        <w:t xml:space="preserve">, </w:t>
      </w:r>
      <w:r>
        <w:t xml:space="preserve">the </w:t>
      </w:r>
      <w:r w:rsidR="00800646">
        <w:t xml:space="preserve">real </w:t>
      </w:r>
      <w:r>
        <w:t xml:space="preserve">price data underlying </w:t>
      </w:r>
      <w:r>
        <w:fldChar w:fldCharType="begin"/>
      </w:r>
      <w:r>
        <w:instrText xml:space="preserve"> REF _Ref446345007 \h </w:instrText>
      </w:r>
      <w:r>
        <w:fldChar w:fldCharType="separate"/>
      </w:r>
      <w:r w:rsidR="00A82ABB">
        <w:t xml:space="preserve">Figure </w:t>
      </w:r>
      <w:r w:rsidR="00A82ABB">
        <w:rPr>
          <w:noProof/>
        </w:rPr>
        <w:t>2</w:t>
      </w:r>
      <w:r>
        <w:fldChar w:fldCharType="end"/>
      </w:r>
      <w:r>
        <w:t xml:space="preserve"> have been converted into price indices using 1990–91 as the base year </w:t>
      </w:r>
      <w:r w:rsidRPr="00752DCC">
        <w:t>(</w:t>
      </w:r>
      <w:r>
        <w:t>that is, all series are set to 100 in 1990</w:t>
      </w:r>
      <w:r w:rsidR="009C14CD">
        <w:t>–</w:t>
      </w:r>
      <w:r>
        <w:t>91) (</w:t>
      </w:r>
      <w:r>
        <w:fldChar w:fldCharType="begin"/>
      </w:r>
      <w:r>
        <w:instrText xml:space="preserve"> REF _Ref447209344 \h </w:instrText>
      </w:r>
      <w:r>
        <w:fldChar w:fldCharType="separate"/>
      </w:r>
      <w:r w:rsidR="00A82ABB">
        <w:t xml:space="preserve">Figure </w:t>
      </w:r>
      <w:r w:rsidR="00A82ABB">
        <w:rPr>
          <w:noProof/>
        </w:rPr>
        <w:t>3</w:t>
      </w:r>
      <w:r>
        <w:fldChar w:fldCharType="end"/>
      </w:r>
      <w:r>
        <w:t xml:space="preserve">). These price indices show slight downward trends in the </w:t>
      </w:r>
      <w:proofErr w:type="spellStart"/>
      <w:r>
        <w:t>farmgate</w:t>
      </w:r>
      <w:proofErr w:type="spellEnd"/>
      <w:r>
        <w:t xml:space="preserve"> price of sugar cane, the export unit value of raw sugar</w:t>
      </w:r>
      <w:r w:rsidRPr="00856A22">
        <w:t xml:space="preserve"> </w:t>
      </w:r>
      <w:r>
        <w:t xml:space="preserve">and </w:t>
      </w:r>
      <w:r w:rsidRPr="00193E14">
        <w:t xml:space="preserve">the retail price of </w:t>
      </w:r>
      <w:r>
        <w:t xml:space="preserve">refined sugar between 1984–85 and 2014–15. </w:t>
      </w:r>
      <w:r w:rsidRPr="00193E14">
        <w:t>As discussed previously, world price</w:t>
      </w:r>
      <w:r>
        <w:t>s</w:t>
      </w:r>
      <w:r w:rsidRPr="00193E14">
        <w:t xml:space="preserve"> of</w:t>
      </w:r>
      <w:r>
        <w:t xml:space="preserve"> raw and refined sugar do</w:t>
      </w:r>
      <w:r w:rsidRPr="00193E14">
        <w:t xml:space="preserve"> not show a clea</w:t>
      </w:r>
      <w:r>
        <w:t>r trend over this period</w:t>
      </w:r>
      <w:r w:rsidRPr="00193E14">
        <w:t>.</w:t>
      </w:r>
    </w:p>
    <w:p w14:paraId="6CCD18DC" w14:textId="1F649985" w:rsidR="00FB7EA6" w:rsidRDefault="00FB7EA6" w:rsidP="00FB7EA6">
      <w:pPr>
        <w:pStyle w:val="BodyText1"/>
      </w:pPr>
      <w:r>
        <w:t>While the</w:t>
      </w:r>
      <w:r w:rsidRPr="00156075">
        <w:t xml:space="preserve"> </w:t>
      </w:r>
      <w:r>
        <w:t>five price indices generally move in the same direction, volatility varies from one series to the next. The world price of raw sugar is the most volatile of these indices. In 1989–90</w:t>
      </w:r>
      <w:r w:rsidR="005E0777">
        <w:t xml:space="preserve"> </w:t>
      </w:r>
      <w:r>
        <w:lastRenderedPageBreak/>
        <w:t>the world price of raw sugar was 53</w:t>
      </w:r>
      <w:r w:rsidR="005E0777">
        <w:t> </w:t>
      </w:r>
      <w:r>
        <w:t>per cent higher than its base year value, while in 2001–02 it was 63 percent below its base year value. By 2010–11, it had rebounded to be 108</w:t>
      </w:r>
      <w:r w:rsidRPr="00193E14">
        <w:t xml:space="preserve"> per cent</w:t>
      </w:r>
      <w:r>
        <w:t xml:space="preserve"> higher than</w:t>
      </w:r>
      <w:r w:rsidRPr="00193E14">
        <w:t xml:space="preserve"> </w:t>
      </w:r>
      <w:r>
        <w:t>its base year value. The world price of refined sugar is also volatile.</w:t>
      </w:r>
      <w:r w:rsidRPr="00193E14">
        <w:t xml:space="preserve"> </w:t>
      </w:r>
    </w:p>
    <w:p w14:paraId="133FA377" w14:textId="77777777" w:rsidR="00FB7EA6" w:rsidRDefault="00FB7EA6" w:rsidP="00FB7EA6">
      <w:pPr>
        <w:pStyle w:val="BodyText1"/>
      </w:pPr>
      <w:r>
        <w:t xml:space="preserve">As explained earlier, price spikes in 1989–90 and 2010–11 coincided with a rundown in world sugar stocks and disruptions to supply while the trough in the early 2000s followed a significant expansion in Brazilian exports. </w:t>
      </w:r>
    </w:p>
    <w:p w14:paraId="0B6EC34E" w14:textId="74013420" w:rsidR="00FB7EA6" w:rsidRDefault="00FB7EA6" w:rsidP="00FB7EA6">
      <w:pPr>
        <w:pStyle w:val="Caption"/>
      </w:pPr>
      <w:bookmarkStart w:id="97" w:name="_Ref447209344"/>
      <w:bookmarkStart w:id="98" w:name="_Toc459731414"/>
      <w:bookmarkStart w:id="99" w:name="_Toc488412508"/>
      <w:r>
        <w:t xml:space="preserve">Figure </w:t>
      </w:r>
      <w:fldSimple w:instr=" SEQ Figure \* ARABIC ">
        <w:r w:rsidR="00A82ABB">
          <w:rPr>
            <w:noProof/>
          </w:rPr>
          <w:t>3</w:t>
        </w:r>
      </w:fldSimple>
      <w:bookmarkEnd w:id="97"/>
      <w:r w:rsidRPr="00FB7EA6">
        <w:t xml:space="preserve"> </w:t>
      </w:r>
      <w:r w:rsidR="00BF2613">
        <w:t xml:space="preserve">Real </w:t>
      </w:r>
      <w:r w:rsidR="006D1605">
        <w:t xml:space="preserve">sugar </w:t>
      </w:r>
      <w:r w:rsidR="00BF2613">
        <w:t>p</w:t>
      </w:r>
      <w:r w:rsidRPr="00FB7EA6">
        <w:t>rice indices, 1984–85 to 2014–15</w:t>
      </w:r>
      <w:bookmarkEnd w:id="98"/>
      <w:bookmarkEnd w:id="99"/>
    </w:p>
    <w:p w14:paraId="33474E38" w14:textId="68AA4BA5" w:rsidR="00FB7EA6" w:rsidRDefault="00F774C3" w:rsidP="00FB7EA6">
      <w:pPr>
        <w:pStyle w:val="BodyText1"/>
      </w:pPr>
      <w:r>
        <w:rPr>
          <w:noProof/>
          <w:lang w:eastAsia="en-AU"/>
        </w:rPr>
        <w:drawing>
          <wp:inline distT="0" distB="0" distL="0" distR="0" wp14:anchorId="54D577E4" wp14:editId="23057849">
            <wp:extent cx="4796287" cy="2916611"/>
            <wp:effectExtent l="0" t="0" r="4445" b="0"/>
            <wp:docPr id="3" name="Picture 3" descr="Shows real price indices for sugar and sugar cane between 1984–85 and 2014–15." title="Real price indices, 1984–85 to 201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4803" cy="2921790"/>
                    </a:xfrm>
                    <a:prstGeom prst="rect">
                      <a:avLst/>
                    </a:prstGeom>
                    <a:noFill/>
                  </pic:spPr>
                </pic:pic>
              </a:graphicData>
            </a:graphic>
          </wp:inline>
        </w:drawing>
      </w:r>
    </w:p>
    <w:p w14:paraId="51908DBD" w14:textId="77777777" w:rsidR="00FB7EA6" w:rsidRPr="00FB7EA6" w:rsidRDefault="00FB7EA6" w:rsidP="00880D25">
      <w:pPr>
        <w:pStyle w:val="Heading1"/>
      </w:pPr>
      <w:bookmarkStart w:id="100" w:name="_Toc459738675"/>
      <w:bookmarkStart w:id="101" w:name="_Toc487721249"/>
      <w:r w:rsidRPr="00192245">
        <w:lastRenderedPageBreak/>
        <w:t>Farm share and price spread</w:t>
      </w:r>
      <w:bookmarkEnd w:id="100"/>
      <w:bookmarkEnd w:id="101"/>
    </w:p>
    <w:p w14:paraId="319A6BDF" w14:textId="289DE2A0" w:rsidR="00FB7EA6" w:rsidRDefault="00FB7EA6" w:rsidP="00FB7EA6">
      <w:r>
        <w:t>The aim of this section is to investigate trends in farm share and price spread in the sugar industry. A</w:t>
      </w:r>
      <w:r w:rsidRPr="00C57C99">
        <w:t xml:space="preserve"> sharp declining trend in farm share</w:t>
      </w:r>
      <w:r>
        <w:t xml:space="preserve"> or a </w:t>
      </w:r>
      <w:r w:rsidRPr="00C57C99">
        <w:t>widening</w:t>
      </w:r>
      <w:r>
        <w:t xml:space="preserve"> in price spread could</w:t>
      </w:r>
      <w:r w:rsidRPr="00C57C99">
        <w:t xml:space="preserve"> signal inefficiencies in the food supply chain</w:t>
      </w:r>
      <w:r>
        <w:t>,</w:t>
      </w:r>
      <w:r w:rsidRPr="00C57C99">
        <w:t xml:space="preserve"> such as the </w:t>
      </w:r>
      <w:r w:rsidR="002B4205">
        <w:t>exercise</w:t>
      </w:r>
      <w:r w:rsidRPr="00C57C99">
        <w:t xml:space="preserve"> of market power. </w:t>
      </w:r>
      <w:r>
        <w:t>A</w:t>
      </w:r>
      <w:r w:rsidRPr="00C57C99">
        <w:t xml:space="preserve"> high-level analysis </w:t>
      </w:r>
      <w:r>
        <w:t>such as this</w:t>
      </w:r>
      <w:r w:rsidRPr="00C57C99">
        <w:t xml:space="preserve"> </w:t>
      </w:r>
      <w:r>
        <w:t>can</w:t>
      </w:r>
      <w:r w:rsidRPr="00C57C99">
        <w:t xml:space="preserve"> alert policy makers to</w:t>
      </w:r>
      <w:r>
        <w:t xml:space="preserve"> the possibility of </w:t>
      </w:r>
      <w:r w:rsidRPr="00C57C99">
        <w:t xml:space="preserve">competition issues </w:t>
      </w:r>
      <w:r>
        <w:t>in</w:t>
      </w:r>
      <w:r w:rsidRPr="00C57C99">
        <w:t xml:space="preserve"> one or more sectors </w:t>
      </w:r>
      <w:r>
        <w:t>in</w:t>
      </w:r>
      <w:r w:rsidRPr="00C57C99">
        <w:t xml:space="preserve"> a supply chain. </w:t>
      </w:r>
      <w:r>
        <w:t>However, a</w:t>
      </w:r>
      <w:r w:rsidRPr="00C57C99">
        <w:t>dditional analysis w</w:t>
      </w:r>
      <w:r>
        <w:t>ould be needed to confirm the existence of imperfect competition because</w:t>
      </w:r>
      <w:r w:rsidRPr="00C57C99">
        <w:t xml:space="preserve"> </w:t>
      </w:r>
      <w:r>
        <w:t xml:space="preserve">changes in </w:t>
      </w:r>
      <w:r w:rsidRPr="00C57C99">
        <w:t xml:space="preserve">farm share </w:t>
      </w:r>
      <w:r>
        <w:t xml:space="preserve">or </w:t>
      </w:r>
      <w:r w:rsidRPr="00C57C99">
        <w:t xml:space="preserve">price spread </w:t>
      </w:r>
      <w:r>
        <w:t xml:space="preserve">can occur for a number </w:t>
      </w:r>
      <w:r w:rsidR="006E1DCD">
        <w:t xml:space="preserve">of </w:t>
      </w:r>
      <w:r w:rsidRPr="00C57C99">
        <w:t>reasons</w:t>
      </w:r>
      <w:r>
        <w:t xml:space="preserve"> that are not related to </w:t>
      </w:r>
      <w:r w:rsidR="008E4865">
        <w:t>market power</w:t>
      </w:r>
      <w:r>
        <w:t>.</w:t>
      </w:r>
    </w:p>
    <w:p w14:paraId="0C29062F" w14:textId="77777777" w:rsidR="00FB7EA6" w:rsidRPr="00FB7EA6" w:rsidRDefault="00FB7EA6" w:rsidP="00880D25">
      <w:pPr>
        <w:pStyle w:val="Heading2"/>
      </w:pPr>
      <w:bookmarkStart w:id="102" w:name="_Toc459738676"/>
      <w:bookmarkStart w:id="103" w:name="_Toc487721250"/>
      <w:r>
        <w:t>Methodology</w:t>
      </w:r>
      <w:bookmarkEnd w:id="102"/>
      <w:bookmarkEnd w:id="103"/>
    </w:p>
    <w:p w14:paraId="1CDEE715" w14:textId="7E7789F4" w:rsidR="00FB7EA6" w:rsidRDefault="00FB7EA6" w:rsidP="00FB7EA6">
      <w:pPr>
        <w:pStyle w:val="BodyText1"/>
      </w:pPr>
      <w:r w:rsidRPr="0059015A">
        <w:t xml:space="preserve">The methodology used to </w:t>
      </w:r>
      <w:r>
        <w:t>estimate</w:t>
      </w:r>
      <w:r w:rsidRPr="0059015A">
        <w:t xml:space="preserve"> farm share and farm-to-retail and farm-to-export price spreads</w:t>
      </w:r>
      <w:r>
        <w:t xml:space="preserve"> </w:t>
      </w:r>
      <w:r w:rsidRPr="0059015A">
        <w:t xml:space="preserve">is based on </w:t>
      </w:r>
      <w:r>
        <w:t>a methodology</w:t>
      </w:r>
      <w:r w:rsidRPr="0059015A">
        <w:t xml:space="preserve"> d</w:t>
      </w:r>
      <w:r>
        <w:t>eveloped by the USDA ERS (USDA ERS</w:t>
      </w:r>
      <w:r w:rsidRPr="0059015A">
        <w:t xml:space="preserve"> </w:t>
      </w:r>
      <w:r>
        <w:t>201</w:t>
      </w:r>
      <w:r w:rsidR="001E010B">
        <w:t>6b</w:t>
      </w:r>
      <w:r>
        <w:t>)</w:t>
      </w:r>
      <w:r w:rsidRPr="0059015A">
        <w:t xml:space="preserve">. </w:t>
      </w:r>
      <w:r>
        <w:t xml:space="preserve">This methodology has been applied to </w:t>
      </w:r>
      <w:proofErr w:type="spellStart"/>
      <w:r>
        <w:t>farmgate</w:t>
      </w:r>
      <w:proofErr w:type="spellEnd"/>
      <w:r>
        <w:t>, retail</w:t>
      </w:r>
      <w:r w:rsidRPr="001D44F1">
        <w:t xml:space="preserve"> </w:t>
      </w:r>
      <w:r>
        <w:t>and export price data (described in Chapter 3) to e</w:t>
      </w:r>
      <w:r w:rsidRPr="00BC20F0">
        <w:t>stimate farm share</w:t>
      </w:r>
      <w:r>
        <w:t xml:space="preserve"> </w:t>
      </w:r>
      <w:r w:rsidRPr="00BC20F0">
        <w:t>and price spread</w:t>
      </w:r>
      <w:r>
        <w:t>s</w:t>
      </w:r>
      <w:r w:rsidRPr="00BC20F0">
        <w:t xml:space="preserve"> </w:t>
      </w:r>
      <w:r>
        <w:t>in the Australian sugar industry</w:t>
      </w:r>
      <w:r w:rsidR="00402FFC">
        <w:t>.</w:t>
      </w:r>
    </w:p>
    <w:p w14:paraId="2E53D856" w14:textId="77777777" w:rsidR="00FB7EA6" w:rsidRPr="00FB7EA6" w:rsidRDefault="00FB7EA6" w:rsidP="00FB7EA6">
      <w:pPr>
        <w:pStyle w:val="BodyText1"/>
      </w:pPr>
      <w:r w:rsidRPr="00FB7EA6">
        <w:t xml:space="preserve">The first step in calculating farm share and price spread is to estimate the farm value of a product for each financial year. </w:t>
      </w:r>
    </w:p>
    <w:p w14:paraId="619F2E90" w14:textId="77777777" w:rsidR="00FB7EA6" w:rsidRDefault="00FB7EA6" w:rsidP="00FB7EA6">
      <w:pPr>
        <w:pStyle w:val="BodyText1"/>
      </w:pPr>
      <w:r w:rsidRPr="003F3C9F">
        <w:t xml:space="preserve">Farm value is a measure of the </w:t>
      </w:r>
      <w:r>
        <w:t>payment farmers receive</w:t>
      </w:r>
      <w:r w:rsidRPr="003F3C9F">
        <w:t xml:space="preserve"> for the farm product equivalent of</w:t>
      </w:r>
      <w:r>
        <w:t xml:space="preserve"> the product sold to customers, or stated differently and specific to sugar, the value of sugar cane that has gone into the end product sold to customers. </w:t>
      </w:r>
      <w:r w:rsidRPr="00FB7EA6">
        <w:t>In this analysis, two end products are considered, r</w:t>
      </w:r>
      <w:r>
        <w:t>efined sugar (sold in retail stores) and bulk raw sugar (sold to export markets),</w:t>
      </w:r>
      <w:r w:rsidRPr="00A664DE">
        <w:t xml:space="preserve"> </w:t>
      </w:r>
      <w:r>
        <w:t xml:space="preserve">so two farm value series are calculated. It is important to note that the export market is much more significant than the retail market in Australia, with only a small proportion of the sugar produced in Australia sold in domestic retail stores. </w:t>
      </w:r>
    </w:p>
    <w:p w14:paraId="32CA238E" w14:textId="1D1C5518" w:rsidR="00FB7EA6" w:rsidRPr="00FB7EA6" w:rsidRDefault="00FB7EA6" w:rsidP="00FB7EA6">
      <w:pPr>
        <w:pStyle w:val="BodyText1"/>
      </w:pPr>
      <w:r w:rsidRPr="00FB7EA6">
        <w:t>Farm value is calculated as the gross value of the farm product needed to produce a given retail (or export) product less the value of any co-products. Co-products are other products of value produced during the manufacturing process (</w:t>
      </w:r>
      <w:r>
        <w:t>f</w:t>
      </w:r>
      <w:r w:rsidRPr="000536B0">
        <w:t>or example, molasses is an important co</w:t>
      </w:r>
      <w:r w:rsidR="006856F8">
        <w:t>-</w:t>
      </w:r>
      <w:r>
        <w:t>product of the milling process).</w:t>
      </w:r>
    </w:p>
    <w:p w14:paraId="0FC2BEE1" w14:textId="71624780" w:rsidR="00FB7EA6" w:rsidRPr="00FB7EA6" w:rsidRDefault="00FB7EA6" w:rsidP="00FB7EA6">
      <w:pPr>
        <w:pStyle w:val="BodyText1"/>
      </w:pPr>
      <w:r>
        <w:t>The gross farm value</w:t>
      </w:r>
      <w:r w:rsidRPr="00FB7EA6">
        <w:t xml:space="preserve"> of the export product (bulk raw sugar) for each year equals the local unit value of sugar cane multiplied by the cane to sugar ratio (CSR). The CSR is the amount of sugar cane needed to produce </w:t>
      </w:r>
      <w:r w:rsidR="005E0777">
        <w:t>one</w:t>
      </w:r>
      <w:r w:rsidR="005E0777" w:rsidRPr="00FB7EA6">
        <w:t xml:space="preserve"> </w:t>
      </w:r>
      <w:r w:rsidRPr="00FB7EA6">
        <w:t>kilogram of raw sugar.</w:t>
      </w:r>
      <w:r w:rsidRPr="000536B0">
        <w:t xml:space="preserve"> </w:t>
      </w:r>
      <w:r>
        <w:t>This ratio varies with the quality of sugar cane. Average annual CSRs are</w:t>
      </w:r>
      <w:r w:rsidRPr="000536B0">
        <w:t xml:space="preserve"> obtained from ABARES </w:t>
      </w:r>
      <w:r w:rsidRPr="00FB7EA6">
        <w:t>Agricultural Commodity Statistics</w:t>
      </w:r>
      <w:r w:rsidRPr="000536B0">
        <w:t xml:space="preserve">. The CSR </w:t>
      </w:r>
      <w:r>
        <w:t xml:space="preserve">for </w:t>
      </w:r>
      <w:r w:rsidRPr="000536B0">
        <w:t>the Australian sugar industry averaged 7.24 between 1984–85 and 2014–15</w:t>
      </w:r>
      <w:r w:rsidR="004F0476">
        <w:t xml:space="preserve"> (ABARES 2015)</w:t>
      </w:r>
      <w:r w:rsidRPr="000536B0">
        <w:t>.</w:t>
      </w:r>
    </w:p>
    <w:p w14:paraId="3D216B5F" w14:textId="625DDE94" w:rsidR="00FB7EA6" w:rsidRPr="00FB7EA6" w:rsidRDefault="00FB7EA6" w:rsidP="00FB7EA6">
      <w:pPr>
        <w:pStyle w:val="BodyText1"/>
      </w:pPr>
      <w:r w:rsidRPr="00FB7EA6">
        <w:t xml:space="preserve">The gross farm value of the retail product (refined sugar) equals the local unit value of sugar cane multiplied by the CSR (as above) and a conversion factor representing the </w:t>
      </w:r>
      <w:r w:rsidRPr="000536B0">
        <w:t xml:space="preserve">amount of raw sugar needed to produce </w:t>
      </w:r>
      <w:r w:rsidR="005E0777">
        <w:t>one</w:t>
      </w:r>
      <w:r w:rsidR="005E0777" w:rsidRPr="000536B0">
        <w:t xml:space="preserve"> </w:t>
      </w:r>
      <w:r w:rsidRPr="000536B0">
        <w:t xml:space="preserve">kilogram of refined sugar. This </w:t>
      </w:r>
      <w:r>
        <w:t xml:space="preserve">second </w:t>
      </w:r>
      <w:r w:rsidRPr="000536B0">
        <w:t xml:space="preserve">conversion factor is assumed to be 1.07 (for all years), in line with the value used by the </w:t>
      </w:r>
      <w:r>
        <w:t>USDA ERS</w:t>
      </w:r>
      <w:r w:rsidRPr="000536B0">
        <w:t xml:space="preserve"> (</w:t>
      </w:r>
      <w:r>
        <w:t>USDA ERS</w:t>
      </w:r>
      <w:r w:rsidRPr="000536B0">
        <w:t xml:space="preserve"> 201</w:t>
      </w:r>
      <w:r w:rsidR="001E010B">
        <w:t>6b</w:t>
      </w:r>
      <w:r w:rsidRPr="000536B0">
        <w:t>).</w:t>
      </w:r>
    </w:p>
    <w:p w14:paraId="4620E6BD" w14:textId="4630AEF4" w:rsidR="00FB7EA6" w:rsidRDefault="008E4865" w:rsidP="00FB7EA6">
      <w:pPr>
        <w:pStyle w:val="BodyText1"/>
      </w:pPr>
      <w:r>
        <w:t>Net f</w:t>
      </w:r>
      <w:r w:rsidR="008E61BA" w:rsidRPr="008E61BA">
        <w:t xml:space="preserve">arm value </w:t>
      </w:r>
      <w:r>
        <w:t xml:space="preserve">(referred to as farm value in the rest of this paper) </w:t>
      </w:r>
      <w:r w:rsidR="008E61BA" w:rsidRPr="008E61BA">
        <w:t>is gross farm value less the value of co-products. The USDA ERS (</w:t>
      </w:r>
      <w:r w:rsidR="008E61BA" w:rsidRPr="001E010B">
        <w:t>2015</w:t>
      </w:r>
      <w:r w:rsidR="008E61BA" w:rsidRPr="008E61BA">
        <w:t>) estimates that co</w:t>
      </w:r>
      <w:r w:rsidR="00D140A0">
        <w:t>-</w:t>
      </w:r>
      <w:r w:rsidR="008E61BA" w:rsidRPr="008E61BA">
        <w:t>products account for 6</w:t>
      </w:r>
      <w:r w:rsidR="005E0777">
        <w:t> </w:t>
      </w:r>
      <w:r w:rsidR="008E61BA" w:rsidRPr="008E61BA">
        <w:t>per cent of the farm value of sugar cane. Ideally, the co</w:t>
      </w:r>
      <w:r w:rsidR="00D140A0">
        <w:t>-</w:t>
      </w:r>
      <w:r w:rsidR="008E61BA" w:rsidRPr="008E61BA">
        <w:t xml:space="preserve">products estimate used in this analysis would be based on Australian data. However, this data is not publicly available, so the US estimate has </w:t>
      </w:r>
      <w:r w:rsidR="008E61BA" w:rsidRPr="008E61BA">
        <w:lastRenderedPageBreak/>
        <w:t>been used. As such, farm value is simply the gross farm value (of either the export or retail product) multiplied by 0.94.</w:t>
      </w:r>
    </w:p>
    <w:p w14:paraId="7740C895" w14:textId="77777777" w:rsidR="00FB7EA6" w:rsidRPr="0059015A" w:rsidRDefault="00FB7EA6" w:rsidP="00FB7EA6">
      <w:pPr>
        <w:pStyle w:val="BodyText1"/>
      </w:pPr>
      <w:r>
        <w:t xml:space="preserve">Once the farm values of retail and export products are estimated, farm share and price spread can be easily calculated. </w:t>
      </w:r>
    </w:p>
    <w:p w14:paraId="628D3EF7" w14:textId="77777777" w:rsidR="00FB7EA6" w:rsidRPr="00FB7EA6" w:rsidRDefault="00FB7EA6" w:rsidP="00880D25">
      <w:pPr>
        <w:pStyle w:val="Heading2"/>
      </w:pPr>
      <w:bookmarkStart w:id="104" w:name="_Toc459738677"/>
      <w:bookmarkStart w:id="105" w:name="_Toc487721251"/>
      <w:r>
        <w:t>Farm share of retail price</w:t>
      </w:r>
      <w:bookmarkEnd w:id="104"/>
      <w:bookmarkEnd w:id="105"/>
    </w:p>
    <w:p w14:paraId="5FB585F6" w14:textId="091B68BD" w:rsidR="00FB7EA6" w:rsidRDefault="00FB7EA6" w:rsidP="00FB7EA6">
      <w:pPr>
        <w:pStyle w:val="BodyText1"/>
      </w:pPr>
      <w:r>
        <w:t>Farm share of the retail price of sugar averaged 19.3</w:t>
      </w:r>
      <w:r w:rsidR="005E0777">
        <w:t> </w:t>
      </w:r>
      <w:r>
        <w:t>per cent between 1984</w:t>
      </w:r>
      <w:r w:rsidR="009C14CD">
        <w:t>–</w:t>
      </w:r>
      <w:r>
        <w:t>85 and 2014</w:t>
      </w:r>
      <w:r w:rsidR="009C14CD">
        <w:t>–</w:t>
      </w:r>
      <w:r>
        <w:t>15 (</w:t>
      </w:r>
      <w:r>
        <w:fldChar w:fldCharType="begin"/>
      </w:r>
      <w:r>
        <w:instrText xml:space="preserve"> REF _Ref447209328 \h </w:instrText>
      </w:r>
      <w:r>
        <w:fldChar w:fldCharType="separate"/>
      </w:r>
      <w:r w:rsidR="00A82ABB">
        <w:t xml:space="preserve">Figure </w:t>
      </w:r>
      <w:r w:rsidR="00A82ABB">
        <w:rPr>
          <w:noProof/>
        </w:rPr>
        <w:t>4</w:t>
      </w:r>
      <w:r>
        <w:fldChar w:fldCharType="end"/>
      </w:r>
      <w:r>
        <w:t>)</w:t>
      </w:r>
      <w:r w:rsidRPr="00FE21BD">
        <w:t xml:space="preserve">. </w:t>
      </w:r>
      <w:r>
        <w:t>It</w:t>
      </w:r>
      <w:r w:rsidRPr="00FE21BD">
        <w:t xml:space="preserve"> </w:t>
      </w:r>
      <w:r>
        <w:t>was</w:t>
      </w:r>
      <w:r w:rsidRPr="00FE21BD">
        <w:t xml:space="preserve"> hi</w:t>
      </w:r>
      <w:r>
        <w:t xml:space="preserve">ghest </w:t>
      </w:r>
      <w:r w:rsidRPr="00FE21BD">
        <w:t>in 1988–89</w:t>
      </w:r>
      <w:r>
        <w:t>,</w:t>
      </w:r>
      <w:r w:rsidRPr="00FE21BD">
        <w:t xml:space="preserve"> </w:t>
      </w:r>
      <w:r>
        <w:t>at 23.7</w:t>
      </w:r>
      <w:r w:rsidR="005E0777">
        <w:t> </w:t>
      </w:r>
      <w:r w:rsidRPr="00FE21BD">
        <w:t>per cent</w:t>
      </w:r>
      <w:r>
        <w:t>,</w:t>
      </w:r>
      <w:r w:rsidRPr="00FE21BD">
        <w:t xml:space="preserve"> and lowest in 2000–01</w:t>
      </w:r>
      <w:r>
        <w:t xml:space="preserve">, </w:t>
      </w:r>
      <w:r w:rsidRPr="00FE21BD">
        <w:t>at 13</w:t>
      </w:r>
      <w:r>
        <w:t>.2</w:t>
      </w:r>
      <w:r w:rsidR="005E0777">
        <w:t> </w:t>
      </w:r>
      <w:r w:rsidRPr="00FE21BD">
        <w:t>per cent. In 201</w:t>
      </w:r>
      <w:r>
        <w:t>4–15</w:t>
      </w:r>
      <w:r w:rsidRPr="00FE21BD">
        <w:t xml:space="preserve">, </w:t>
      </w:r>
      <w:r>
        <w:t>it</w:t>
      </w:r>
      <w:r w:rsidRPr="00FE21BD">
        <w:t xml:space="preserve"> was </w:t>
      </w:r>
      <w:r>
        <w:t>18.3</w:t>
      </w:r>
      <w:r w:rsidR="005E0777">
        <w:t> </w:t>
      </w:r>
      <w:r w:rsidRPr="00FE21BD">
        <w:t xml:space="preserve">per cent. </w:t>
      </w:r>
      <w:r>
        <w:fldChar w:fldCharType="begin"/>
      </w:r>
      <w:r>
        <w:instrText xml:space="preserve"> REF _Ref447209328 \h </w:instrText>
      </w:r>
      <w:r>
        <w:fldChar w:fldCharType="separate"/>
      </w:r>
      <w:r w:rsidR="00A82ABB">
        <w:t xml:space="preserve">Figure </w:t>
      </w:r>
      <w:r w:rsidR="00A82ABB">
        <w:rPr>
          <w:noProof/>
        </w:rPr>
        <w:t>4</w:t>
      </w:r>
      <w:r>
        <w:fldChar w:fldCharType="end"/>
      </w:r>
      <w:r>
        <w:t xml:space="preserve"> shows that f</w:t>
      </w:r>
      <w:r w:rsidRPr="00FE21BD">
        <w:t xml:space="preserve">arm share of </w:t>
      </w:r>
      <w:r>
        <w:t>t</w:t>
      </w:r>
      <w:r w:rsidRPr="00FE21BD">
        <w:t>he retail price has trended down</w:t>
      </w:r>
      <w:r>
        <w:t xml:space="preserve"> </w:t>
      </w:r>
      <w:r w:rsidRPr="00FE21BD">
        <w:t xml:space="preserve">slightly </w:t>
      </w:r>
      <w:r>
        <w:t>over</w:t>
      </w:r>
      <w:r w:rsidRPr="00FE21BD">
        <w:t xml:space="preserve"> the last 30 years. </w:t>
      </w:r>
      <w:r w:rsidR="00395CFC" w:rsidRPr="00395CFC">
        <w:t>The average year on year decrease is relatively small, at 0.17</w:t>
      </w:r>
      <w:r w:rsidR="005E0777">
        <w:t> </w:t>
      </w:r>
      <w:r w:rsidR="00395CFC" w:rsidRPr="00395CFC">
        <w:t>percentage points a year.</w:t>
      </w:r>
      <w:r w:rsidR="00395CFC">
        <w:t xml:space="preserve"> </w:t>
      </w:r>
      <w:r>
        <w:t xml:space="preserve">The dip in farm share between the </w:t>
      </w:r>
      <w:proofErr w:type="spellStart"/>
      <w:r>
        <w:t>mid</w:t>
      </w:r>
      <w:r w:rsidR="00D140A0">
        <w:t xml:space="preserve"> </w:t>
      </w:r>
      <w:r>
        <w:t>1990s</w:t>
      </w:r>
      <w:proofErr w:type="spellEnd"/>
      <w:r>
        <w:t xml:space="preserve"> and early 2000s coincided with </w:t>
      </w:r>
      <w:r w:rsidR="005352F7">
        <w:t>a significant expansion in Brazilian exports. Between 1994</w:t>
      </w:r>
      <w:r w:rsidR="009C14CD">
        <w:t>–</w:t>
      </w:r>
      <w:r w:rsidR="005352F7">
        <w:t>95 and 2000</w:t>
      </w:r>
      <w:r w:rsidR="009C14CD">
        <w:t>–</w:t>
      </w:r>
      <w:r w:rsidR="005352F7">
        <w:t xml:space="preserve">01 </w:t>
      </w:r>
      <w:r>
        <w:t xml:space="preserve">the world price of raw sugar fell </w:t>
      </w:r>
      <w:r w:rsidR="005352F7">
        <w:t xml:space="preserve">by </w:t>
      </w:r>
      <w:r w:rsidR="00771446">
        <w:t>55</w:t>
      </w:r>
      <w:r w:rsidR="005E0777">
        <w:t> </w:t>
      </w:r>
      <w:r>
        <w:t>per cent</w:t>
      </w:r>
      <w:r w:rsidRPr="00D65CCF">
        <w:t xml:space="preserve"> </w:t>
      </w:r>
      <w:r>
        <w:t xml:space="preserve">while the </w:t>
      </w:r>
      <w:proofErr w:type="spellStart"/>
      <w:r>
        <w:t>farmgate</w:t>
      </w:r>
      <w:proofErr w:type="spellEnd"/>
      <w:r>
        <w:t xml:space="preserve"> price of cane fell by 43</w:t>
      </w:r>
      <w:r w:rsidR="005E0777">
        <w:t> </w:t>
      </w:r>
      <w:r>
        <w:t xml:space="preserve">per cent. </w:t>
      </w:r>
    </w:p>
    <w:p w14:paraId="51E10E59" w14:textId="77777777" w:rsidR="00FB7EA6" w:rsidRDefault="00FB7EA6" w:rsidP="00FB7EA6">
      <w:pPr>
        <w:pStyle w:val="Caption"/>
      </w:pPr>
      <w:bookmarkStart w:id="106" w:name="_Ref447209328"/>
      <w:bookmarkStart w:id="107" w:name="_Toc459731415"/>
      <w:bookmarkStart w:id="108" w:name="_Toc488412509"/>
      <w:r>
        <w:t xml:space="preserve">Figure </w:t>
      </w:r>
      <w:fldSimple w:instr=" SEQ Figure \* ARABIC ">
        <w:r w:rsidR="00A82ABB">
          <w:rPr>
            <w:noProof/>
          </w:rPr>
          <w:t>4</w:t>
        </w:r>
      </w:fldSimple>
      <w:bookmarkEnd w:id="106"/>
      <w:r>
        <w:t xml:space="preserve"> Farm share of retail price, sugar, 1984–85 to 2014–15</w:t>
      </w:r>
      <w:bookmarkEnd w:id="107"/>
      <w:bookmarkEnd w:id="108"/>
    </w:p>
    <w:p w14:paraId="41F06052" w14:textId="44394177" w:rsidR="00FB7EA6" w:rsidRDefault="00C35863" w:rsidP="00FB7EA6">
      <w:pPr>
        <w:pStyle w:val="BodyText1"/>
      </w:pPr>
      <w:r>
        <w:rPr>
          <w:noProof/>
          <w:lang w:eastAsia="en-AU"/>
        </w:rPr>
        <w:drawing>
          <wp:inline distT="0" distB="0" distL="0" distR="0" wp14:anchorId="5E5B2F2B" wp14:editId="4EF45AC2">
            <wp:extent cx="5385291" cy="3181350"/>
            <wp:effectExtent l="0" t="0" r="6350" b="0"/>
            <wp:docPr id="20" name="Picture 20" descr="Shows farm share of the retail price of sugar  between 1984–85 and 2014–15." title="Farm share of retail price, sugar, 1984–85 to 201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5774" cy="3187543"/>
                    </a:xfrm>
                    <a:prstGeom prst="rect">
                      <a:avLst/>
                    </a:prstGeom>
                    <a:noFill/>
                  </pic:spPr>
                </pic:pic>
              </a:graphicData>
            </a:graphic>
          </wp:inline>
        </w:drawing>
      </w:r>
    </w:p>
    <w:p w14:paraId="3DAC0A86" w14:textId="5A95B674" w:rsidR="00FB7EA6" w:rsidRDefault="00FB7EA6" w:rsidP="00FB7EA6">
      <w:pPr>
        <w:pStyle w:val="BodyText1"/>
      </w:pPr>
      <w:r>
        <w:t>Given that the farm share estimates derived in this study are based on the same methodology used by USDA ERS, it is possible to compare US estimates with Australian farm share estimates (farm share for sugar in the United States is reported in the USDA ERS ‘Price Spreads from Farm to Consumer’ series (USDA ERS 201</w:t>
      </w:r>
      <w:r w:rsidR="001E010B">
        <w:t>6b</w:t>
      </w:r>
      <w:r>
        <w:t>)). In the United States, farm share of the retail price of refined sugar averaged 27.3 per cent</w:t>
      </w:r>
      <w:r w:rsidRPr="00B9533B">
        <w:t xml:space="preserve"> </w:t>
      </w:r>
      <w:r>
        <w:t>between 2000 and 2013, while in Australia it averaged 17</w:t>
      </w:r>
      <w:r w:rsidR="00E01D99">
        <w:t>.5</w:t>
      </w:r>
      <w:r w:rsidR="005E0777">
        <w:t> </w:t>
      </w:r>
      <w:r>
        <w:t>per cent between 2000–01 and 2013–14 (note, US estimates are only available by calendar year). Farm share in the United States was quite flat</w:t>
      </w:r>
      <w:r w:rsidRPr="00B9533B">
        <w:t xml:space="preserve"> </w:t>
      </w:r>
      <w:r>
        <w:t xml:space="preserve">over this period, except for a drop in 2013 when it </w:t>
      </w:r>
      <w:r w:rsidRPr="00FF712E">
        <w:t>fell to</w:t>
      </w:r>
      <w:r>
        <w:t xml:space="preserve"> 21</w:t>
      </w:r>
      <w:r w:rsidR="005E0777">
        <w:t> </w:t>
      </w:r>
      <w:r>
        <w:t xml:space="preserve">per cent, </w:t>
      </w:r>
      <w:proofErr w:type="gramStart"/>
      <w:r w:rsidRPr="00FF712E">
        <w:t>its</w:t>
      </w:r>
      <w:proofErr w:type="gramEnd"/>
      <w:r w:rsidRPr="00FF712E">
        <w:t xml:space="preserve"> lowest in over a decade</w:t>
      </w:r>
      <w:r>
        <w:t>. The significant decline in farm value in 2013 coincided with high levels of sugar cane and sugar beet production (USDA ERS 201</w:t>
      </w:r>
      <w:r w:rsidR="001E010B">
        <w:t>6b</w:t>
      </w:r>
      <w:r>
        <w:t>).</w:t>
      </w:r>
    </w:p>
    <w:p w14:paraId="0C1C7D44" w14:textId="77777777" w:rsidR="00FB7EA6" w:rsidRDefault="00FB7EA6" w:rsidP="00FB7EA6">
      <w:pPr>
        <w:pStyle w:val="BodyText1"/>
      </w:pPr>
      <w:r>
        <w:t xml:space="preserve">One reason why farm share for sugar is higher in the United States than in Australia is because US domestic sugar prices (and cane prices) are maintained above world prices through the US sugar program. This program includes a number of measures to support the domestic industry, </w:t>
      </w:r>
      <w:r>
        <w:lastRenderedPageBreak/>
        <w:t xml:space="preserve">including a loans program (which effectively sets a price floor for sugar and sugar cane) and various import restrictions. </w:t>
      </w:r>
    </w:p>
    <w:p w14:paraId="3BFE513A" w14:textId="77777777" w:rsidR="00FB7EA6" w:rsidRPr="00FB7EA6" w:rsidRDefault="00FB7EA6" w:rsidP="00880D25">
      <w:pPr>
        <w:pStyle w:val="Heading2"/>
      </w:pPr>
      <w:bookmarkStart w:id="109" w:name="_Toc459738678"/>
      <w:bookmarkStart w:id="110" w:name="_Toc487721252"/>
      <w:r>
        <w:t>Farm share of export price</w:t>
      </w:r>
      <w:bookmarkEnd w:id="109"/>
      <w:bookmarkEnd w:id="110"/>
    </w:p>
    <w:p w14:paraId="267EE867" w14:textId="089E7445" w:rsidR="00FB7EA6" w:rsidRDefault="00FB7EA6" w:rsidP="00FB7EA6">
      <w:pPr>
        <w:pStyle w:val="BodyText1"/>
      </w:pPr>
      <w:r>
        <w:t>F</w:t>
      </w:r>
      <w:r w:rsidRPr="00FE21BD">
        <w:t>arm share of</w:t>
      </w:r>
      <w:r>
        <w:t xml:space="preserve"> the export price of raw sugar averaged 56.7</w:t>
      </w:r>
      <w:r w:rsidR="005E0777">
        <w:t> </w:t>
      </w:r>
      <w:r>
        <w:t>per cent between 1988–89 and 2014–15 (</w:t>
      </w:r>
      <w:r>
        <w:fldChar w:fldCharType="begin"/>
      </w:r>
      <w:r>
        <w:instrText xml:space="preserve"> REF _Ref447209305 \h </w:instrText>
      </w:r>
      <w:r>
        <w:fldChar w:fldCharType="separate"/>
      </w:r>
      <w:r w:rsidR="00A82ABB">
        <w:t xml:space="preserve">Figure </w:t>
      </w:r>
      <w:r w:rsidR="00A82ABB">
        <w:rPr>
          <w:noProof/>
        </w:rPr>
        <w:t>5</w:t>
      </w:r>
      <w:r>
        <w:fldChar w:fldCharType="end"/>
      </w:r>
      <w:r>
        <w:t>)</w:t>
      </w:r>
      <w:r w:rsidRPr="00FE21BD">
        <w:t xml:space="preserve">. </w:t>
      </w:r>
      <w:r>
        <w:t>It</w:t>
      </w:r>
      <w:r w:rsidRPr="00FE21BD">
        <w:t xml:space="preserve"> </w:t>
      </w:r>
      <w:r>
        <w:t>was at its lowest in 2000–01, when it fell to 36.9</w:t>
      </w:r>
      <w:r w:rsidR="005E0777">
        <w:t> </w:t>
      </w:r>
      <w:r>
        <w:t>per cent, before increasing to a high of 68</w:t>
      </w:r>
      <w:r w:rsidR="005E0777">
        <w:t> </w:t>
      </w:r>
      <w:r w:rsidRPr="00FE21BD">
        <w:t>per cent</w:t>
      </w:r>
      <w:r w:rsidRPr="00890C96">
        <w:t xml:space="preserve"> </w:t>
      </w:r>
      <w:r>
        <w:t>in 2004–05</w:t>
      </w:r>
      <w:r w:rsidRPr="00FE21BD">
        <w:t>.</w:t>
      </w:r>
      <w:r>
        <w:t xml:space="preserve"> </w:t>
      </w:r>
      <w:r w:rsidRPr="00FE21BD">
        <w:t>In 201</w:t>
      </w:r>
      <w:r>
        <w:t>4–15</w:t>
      </w:r>
      <w:r w:rsidRPr="00FE21BD">
        <w:t xml:space="preserve">, </w:t>
      </w:r>
      <w:r>
        <w:t>it was</w:t>
      </w:r>
      <w:r w:rsidRPr="00FE21BD">
        <w:t xml:space="preserve"> </w:t>
      </w:r>
      <w:r>
        <w:t>57.8</w:t>
      </w:r>
      <w:r w:rsidR="005E0777">
        <w:t> </w:t>
      </w:r>
      <w:r>
        <w:t>per cent</w:t>
      </w:r>
      <w:r w:rsidRPr="00FE21BD">
        <w:t xml:space="preserve">. </w:t>
      </w:r>
      <w:r>
        <w:t xml:space="preserve">Similar to farm share of the retail price, farm share of the export price trended down slightly </w:t>
      </w:r>
      <w:proofErr w:type="gramStart"/>
      <w:r>
        <w:t>between 1988–89</w:t>
      </w:r>
      <w:proofErr w:type="gramEnd"/>
      <w:r>
        <w:t xml:space="preserve"> and 2014–15, declining on average by </w:t>
      </w:r>
      <w:r w:rsidRPr="00FE21BD">
        <w:t>0.2</w:t>
      </w:r>
      <w:r>
        <w:t>6</w:t>
      </w:r>
      <w:r w:rsidR="005E0777">
        <w:t> </w:t>
      </w:r>
      <w:r w:rsidR="00395CFC">
        <w:t xml:space="preserve">percentage points </w:t>
      </w:r>
      <w:r>
        <w:t>a year. One factor that is likely to have contributed to the sharp decline in farm share in 2000</w:t>
      </w:r>
      <w:r w:rsidR="00BF591A">
        <w:t>–</w:t>
      </w:r>
      <w:r>
        <w:t xml:space="preserve">01 </w:t>
      </w:r>
      <w:r w:rsidR="00C322C0">
        <w:t>and 2010</w:t>
      </w:r>
      <w:r w:rsidR="00BF591A">
        <w:t>–</w:t>
      </w:r>
      <w:r w:rsidR="00C322C0">
        <w:t xml:space="preserve">11 </w:t>
      </w:r>
      <w:r>
        <w:t>was extreme weather</w:t>
      </w:r>
      <w:r w:rsidR="003C3CF4">
        <w:t>,</w:t>
      </w:r>
      <w:r>
        <w:t xml:space="preserve"> which reduced the quality and quantity of sugar cane</w:t>
      </w:r>
      <w:r w:rsidR="003C3CF4">
        <w:t>.</w:t>
      </w:r>
      <w:r>
        <w:t xml:space="preserve"> </w:t>
      </w:r>
    </w:p>
    <w:p w14:paraId="6DA67216" w14:textId="77777777" w:rsidR="00FB7EA6" w:rsidRDefault="00FB7EA6" w:rsidP="00FB7EA6">
      <w:pPr>
        <w:pStyle w:val="Caption"/>
      </w:pPr>
      <w:bookmarkStart w:id="111" w:name="_Ref447209305"/>
      <w:bookmarkStart w:id="112" w:name="_Toc459731416"/>
      <w:bookmarkStart w:id="113" w:name="_Toc488412510"/>
      <w:r>
        <w:t xml:space="preserve">Figure </w:t>
      </w:r>
      <w:fldSimple w:instr=" SEQ Figure \* ARABIC ">
        <w:r w:rsidR="00A82ABB">
          <w:rPr>
            <w:noProof/>
          </w:rPr>
          <w:t>5</w:t>
        </w:r>
      </w:fldSimple>
      <w:bookmarkEnd w:id="111"/>
      <w:r>
        <w:t xml:space="preserve"> Farm share of export price, sugar, 1988–89 to 2014–15</w:t>
      </w:r>
      <w:bookmarkEnd w:id="112"/>
      <w:bookmarkEnd w:id="113"/>
    </w:p>
    <w:p w14:paraId="25739873" w14:textId="0247F0DF" w:rsidR="00FB7EA6" w:rsidRDefault="0095386E" w:rsidP="00FB7EA6">
      <w:pPr>
        <w:pStyle w:val="BodyText1"/>
      </w:pPr>
      <w:r>
        <w:rPr>
          <w:noProof/>
          <w:lang w:eastAsia="en-AU"/>
        </w:rPr>
        <w:drawing>
          <wp:inline distT="0" distB="0" distL="0" distR="0" wp14:anchorId="2BD45B0D" wp14:editId="037D9532">
            <wp:extent cx="5171793" cy="3053301"/>
            <wp:effectExtent l="0" t="0" r="0" b="0"/>
            <wp:docPr id="4" name="Picture 4" descr="Shows farm share of the export price of raw sugar between 1988–89 and 2014–15." title="Farm share of export price, sugar, 1988–89 to 201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86744" cy="3062128"/>
                    </a:xfrm>
                    <a:prstGeom prst="rect">
                      <a:avLst/>
                    </a:prstGeom>
                    <a:noFill/>
                  </pic:spPr>
                </pic:pic>
              </a:graphicData>
            </a:graphic>
          </wp:inline>
        </w:drawing>
      </w:r>
    </w:p>
    <w:p w14:paraId="5EAC4154" w14:textId="77777777" w:rsidR="00FB7EA6" w:rsidRPr="00FB7EA6" w:rsidRDefault="00FB7EA6" w:rsidP="001C0B54">
      <w:pPr>
        <w:pStyle w:val="Heading2"/>
      </w:pPr>
      <w:bookmarkStart w:id="114" w:name="_Toc459738679"/>
      <w:bookmarkStart w:id="115" w:name="_Toc487721253"/>
      <w:r>
        <w:t>Comments on farm share</w:t>
      </w:r>
      <w:bookmarkEnd w:id="114"/>
      <w:bookmarkEnd w:id="115"/>
    </w:p>
    <w:p w14:paraId="11530D48" w14:textId="5CF2DA15" w:rsidR="00FB7EA6" w:rsidRDefault="00FB7EA6" w:rsidP="00FB7EA6">
      <w:pPr>
        <w:pStyle w:val="BodyText1"/>
      </w:pPr>
      <w:r>
        <w:t>It is often difficult to explain short</w:t>
      </w:r>
      <w:r w:rsidR="00647DB8">
        <w:t>-</w:t>
      </w:r>
      <w:r>
        <w:t>term movements in farm share because farm share can change year on year for many reasons. For example, the farm share statistic is very sensitive to the price data used, and unpacking why price series have moved differently in any particular year can be difficult because of various data issues described earlier (for example, high levels of aggregation</w:t>
      </w:r>
      <w:r w:rsidR="00821EC0">
        <w:t xml:space="preserve"> and differences in futures and spot markets).</w:t>
      </w:r>
    </w:p>
    <w:p w14:paraId="3A314DDC" w14:textId="0F86ACD9" w:rsidR="00FB7EA6" w:rsidRDefault="00B95135" w:rsidP="00FB7EA6">
      <w:pPr>
        <w:pStyle w:val="BodyText1"/>
      </w:pPr>
      <w:r>
        <w:t xml:space="preserve">Despite the limitations with the </w:t>
      </w:r>
      <w:proofErr w:type="spellStart"/>
      <w:r>
        <w:t>farmgate</w:t>
      </w:r>
      <w:proofErr w:type="spellEnd"/>
      <w:r>
        <w:t xml:space="preserve"> and export price data used in this analysis, longer term trends in these prices and farm share should remain valid. </w:t>
      </w:r>
      <w:r w:rsidR="00FB7EA6">
        <w:t>As mentioned</w:t>
      </w:r>
      <w:r w:rsidR="00FB7EA6" w:rsidRPr="009C04A5">
        <w:t xml:space="preserve"> </w:t>
      </w:r>
      <w:r w:rsidR="00FB7EA6">
        <w:t xml:space="preserve">previously, a </w:t>
      </w:r>
      <w:r>
        <w:t xml:space="preserve">sustained </w:t>
      </w:r>
      <w:r w:rsidR="00FB7EA6">
        <w:t xml:space="preserve">decrease in farm share over time could indicate imperfect price transmission, and the existence of market power in the value chain. However, it could also be because of other factors such as differences in productivity in different sectors. For example, if the cost of producing sugar cane decreases relative to the cost of producing the retail product (which could include transport, processing and retailing), this is likely to be reflected in a decline in farm share. </w:t>
      </w:r>
    </w:p>
    <w:p w14:paraId="1084CE70" w14:textId="6F3E0863" w:rsidR="00FB7EA6" w:rsidRDefault="00FB7EA6" w:rsidP="00FB7EA6">
      <w:pPr>
        <w:pStyle w:val="BodyText1"/>
      </w:pPr>
      <w:r>
        <w:t xml:space="preserve">For Australia, the initial findings of this analysis show that farm shares of retail and export prices have remained relatively stable, only trending down slightly </w:t>
      </w:r>
      <w:r w:rsidR="00930512">
        <w:t>since the 1980s</w:t>
      </w:r>
      <w:r>
        <w:t xml:space="preserve">. </w:t>
      </w:r>
      <w:r>
        <w:fldChar w:fldCharType="begin"/>
      </w:r>
      <w:r>
        <w:instrText xml:space="preserve"> REF _Ref447209328 \h </w:instrText>
      </w:r>
      <w:r>
        <w:fldChar w:fldCharType="separate"/>
      </w:r>
      <w:r w:rsidR="00A82ABB">
        <w:t xml:space="preserve">Figure </w:t>
      </w:r>
      <w:r w:rsidR="00A82ABB">
        <w:rPr>
          <w:noProof/>
        </w:rPr>
        <w:t>4</w:t>
      </w:r>
      <w:r>
        <w:fldChar w:fldCharType="end"/>
      </w:r>
      <w:r>
        <w:t xml:space="preserve"> </w:t>
      </w:r>
      <w:r>
        <w:lastRenderedPageBreak/>
        <w:t xml:space="preserve">actually suggests that there has been a slight upward trend in farm share of the retail price since the early 2000s. It may </w:t>
      </w:r>
      <w:r w:rsidR="00EA681B">
        <w:t xml:space="preserve">be </w:t>
      </w:r>
      <w:r>
        <w:t xml:space="preserve">worthwhile </w:t>
      </w:r>
      <w:r w:rsidR="00402FFC">
        <w:t xml:space="preserve">updating </w:t>
      </w:r>
      <w:r>
        <w:t xml:space="preserve">this analysis in a few </w:t>
      </w:r>
      <w:proofErr w:type="spellStart"/>
      <w:r>
        <w:t>years time</w:t>
      </w:r>
      <w:proofErr w:type="spellEnd"/>
      <w:r>
        <w:t xml:space="preserve"> to see if recent changes in raw sugar marketing arrangements have any impact on the trend in farm share. </w:t>
      </w:r>
    </w:p>
    <w:p w14:paraId="51F0462D" w14:textId="77777777" w:rsidR="00FB7EA6" w:rsidRDefault="00FB7EA6" w:rsidP="00FB7EA6">
      <w:pPr>
        <w:pStyle w:val="BodyText1"/>
      </w:pPr>
      <w:r>
        <w:t>I</w:t>
      </w:r>
      <w:r w:rsidRPr="00FE21BD">
        <w:t xml:space="preserve">t is </w:t>
      </w:r>
      <w:r>
        <w:t xml:space="preserve">also </w:t>
      </w:r>
      <w:r w:rsidRPr="00FE21BD">
        <w:t xml:space="preserve">reasonable to expect farm share of </w:t>
      </w:r>
      <w:r>
        <w:t xml:space="preserve">the </w:t>
      </w:r>
      <w:r w:rsidRPr="00FE21BD">
        <w:t>retail price</w:t>
      </w:r>
      <w:r>
        <w:t xml:space="preserve"> of </w:t>
      </w:r>
      <w:r w:rsidRPr="00FE21BD">
        <w:t xml:space="preserve">sugar </w:t>
      </w:r>
      <w:r>
        <w:t>to</w:t>
      </w:r>
      <w:r w:rsidRPr="00FE21BD">
        <w:t xml:space="preserve"> </w:t>
      </w:r>
      <w:r>
        <w:t xml:space="preserve">be lower than </w:t>
      </w:r>
      <w:r w:rsidRPr="00FE21BD">
        <w:t xml:space="preserve">farm share </w:t>
      </w:r>
      <w:r>
        <w:t>for</w:t>
      </w:r>
      <w:r w:rsidRPr="00FE21BD">
        <w:t xml:space="preserve"> </w:t>
      </w:r>
      <w:r>
        <w:t xml:space="preserve">some </w:t>
      </w:r>
      <w:r w:rsidRPr="00FE21BD">
        <w:t>other</w:t>
      </w:r>
      <w:r>
        <w:t xml:space="preserve"> less processed</w:t>
      </w:r>
      <w:r w:rsidRPr="00FE21BD">
        <w:t xml:space="preserve"> food products</w:t>
      </w:r>
      <w:r w:rsidRPr="00F441E8">
        <w:t xml:space="preserve"> </w:t>
      </w:r>
      <w:r>
        <w:t>(more highly processed f</w:t>
      </w:r>
      <w:r w:rsidRPr="00FF712E">
        <w:t>oods typically receiv</w:t>
      </w:r>
      <w:r>
        <w:t>ing</w:t>
      </w:r>
      <w:r w:rsidRPr="00FF712E">
        <w:t xml:space="preserve"> a lower farm share</w:t>
      </w:r>
      <w:r>
        <w:t>), and to be lower than in the United States, where f</w:t>
      </w:r>
      <w:r w:rsidRPr="00FF712E">
        <w:t xml:space="preserve">arm share </w:t>
      </w:r>
      <w:r>
        <w:t>is influenced by measures designed to support the domestic industry.</w:t>
      </w:r>
    </w:p>
    <w:p w14:paraId="09C0FBA0" w14:textId="77777777" w:rsidR="00FB7EA6" w:rsidRPr="00FB7EA6" w:rsidRDefault="00FB7EA6" w:rsidP="00880D25">
      <w:pPr>
        <w:pStyle w:val="Heading2"/>
      </w:pPr>
      <w:bookmarkStart w:id="116" w:name="_Toc459738680"/>
      <w:bookmarkStart w:id="117" w:name="_Toc487721254"/>
      <w:r>
        <w:t>Farm-to-retail p</w:t>
      </w:r>
      <w:r w:rsidRPr="00FB7EA6">
        <w:t>rice spread</w:t>
      </w:r>
      <w:bookmarkEnd w:id="116"/>
      <w:bookmarkEnd w:id="117"/>
    </w:p>
    <w:p w14:paraId="4B81E358" w14:textId="3BF09988" w:rsidR="00FB7EA6" w:rsidRDefault="00FB7EA6" w:rsidP="00FB7EA6">
      <w:pPr>
        <w:pStyle w:val="BodyText1"/>
      </w:pPr>
      <w:r w:rsidRPr="00FE21BD">
        <w:t xml:space="preserve">The price spread (or the marketing bills) between farm value and </w:t>
      </w:r>
      <w:r>
        <w:t xml:space="preserve">the </w:t>
      </w:r>
      <w:r w:rsidRPr="00FE21BD">
        <w:t xml:space="preserve">retail value </w:t>
      </w:r>
      <w:r>
        <w:t>for</w:t>
      </w:r>
      <w:r w:rsidRPr="00FE21BD">
        <w:t xml:space="preserve"> sugar </w:t>
      </w:r>
      <w:r>
        <w:t>averaged 136.4</w:t>
      </w:r>
      <w:r w:rsidRPr="00FE21BD">
        <w:t xml:space="preserve"> cents a k</w:t>
      </w:r>
      <w:r>
        <w:t>ilogram between 1984–85 and 2014–15</w:t>
      </w:r>
      <w:r w:rsidRPr="00FE21BD">
        <w:t xml:space="preserve"> </w:t>
      </w:r>
      <w:r>
        <w:t>(</w:t>
      </w:r>
      <w:r>
        <w:fldChar w:fldCharType="begin"/>
      </w:r>
      <w:r>
        <w:instrText xml:space="preserve"> REF _Ref447209290 \h </w:instrText>
      </w:r>
      <w:r>
        <w:fldChar w:fldCharType="separate"/>
      </w:r>
      <w:r w:rsidR="00A82ABB">
        <w:t xml:space="preserve">Figure </w:t>
      </w:r>
      <w:r w:rsidR="00A82ABB">
        <w:rPr>
          <w:noProof/>
        </w:rPr>
        <w:t>6</w:t>
      </w:r>
      <w:r>
        <w:fldChar w:fldCharType="end"/>
      </w:r>
      <w:r>
        <w:t>). It was highest in 1989–90, at 166.3</w:t>
      </w:r>
      <w:r w:rsidR="005E0777">
        <w:t> </w:t>
      </w:r>
      <w:r>
        <w:t>cents a kilogram, and lowest in 2005–06, at 110.4</w:t>
      </w:r>
      <w:r w:rsidR="005E0777">
        <w:t> </w:t>
      </w:r>
      <w:r>
        <w:t xml:space="preserve">cents a kilogram. </w:t>
      </w:r>
      <w:r w:rsidRPr="00FE21BD">
        <w:t>In 201</w:t>
      </w:r>
      <w:r>
        <w:t>4–15</w:t>
      </w:r>
      <w:r w:rsidRPr="00FE21BD">
        <w:t xml:space="preserve">, the spread was </w:t>
      </w:r>
      <w:r>
        <w:t>123.5</w:t>
      </w:r>
      <w:r w:rsidR="005E0777">
        <w:t> </w:t>
      </w:r>
      <w:r w:rsidRPr="00FE21BD">
        <w:t xml:space="preserve">cents a kilogram, lower than the average </w:t>
      </w:r>
      <w:r>
        <w:t>for</w:t>
      </w:r>
      <w:r w:rsidRPr="00FE21BD">
        <w:t xml:space="preserve"> this period.</w:t>
      </w:r>
      <w:r>
        <w:t xml:space="preserve"> </w:t>
      </w:r>
      <w:r>
        <w:fldChar w:fldCharType="begin"/>
      </w:r>
      <w:r>
        <w:instrText xml:space="preserve"> REF _Ref447209290 \h </w:instrText>
      </w:r>
      <w:r>
        <w:fldChar w:fldCharType="separate"/>
      </w:r>
      <w:r w:rsidR="00A82ABB">
        <w:t xml:space="preserve">Figure </w:t>
      </w:r>
      <w:r w:rsidR="00A82ABB">
        <w:rPr>
          <w:noProof/>
        </w:rPr>
        <w:t>6</w:t>
      </w:r>
      <w:r>
        <w:fldChar w:fldCharType="end"/>
      </w:r>
      <w:r>
        <w:t xml:space="preserve"> shows a slight downward trend in price spread (that is, a narrowing in spread) over the past 30</w:t>
      </w:r>
      <w:r w:rsidR="005E0777">
        <w:t> </w:t>
      </w:r>
      <w:r>
        <w:t xml:space="preserve">years. </w:t>
      </w:r>
    </w:p>
    <w:p w14:paraId="17F4B84E" w14:textId="77777777" w:rsidR="00E20DF2" w:rsidRDefault="00E20DF2" w:rsidP="00E20DF2">
      <w:pPr>
        <w:pStyle w:val="BodyText1"/>
      </w:pPr>
      <w:r>
        <w:t xml:space="preserve">The increase in price spread between the </w:t>
      </w:r>
      <w:proofErr w:type="spellStart"/>
      <w:r>
        <w:t>mid 1990s</w:t>
      </w:r>
      <w:proofErr w:type="spellEnd"/>
      <w:r>
        <w:t xml:space="preserve"> and early 2000s coincided with declining world prices. </w:t>
      </w:r>
    </w:p>
    <w:p w14:paraId="50FB85FA" w14:textId="77777777" w:rsidR="00FB7EA6" w:rsidRDefault="00FB7EA6" w:rsidP="00FB7EA6">
      <w:pPr>
        <w:pStyle w:val="Caption"/>
      </w:pPr>
      <w:bookmarkStart w:id="118" w:name="_Ref447209290"/>
      <w:bookmarkStart w:id="119" w:name="_Toc459731417"/>
      <w:bookmarkStart w:id="120" w:name="_Toc488412511"/>
      <w:r>
        <w:t xml:space="preserve">Figure </w:t>
      </w:r>
      <w:fldSimple w:instr=" SEQ Figure \* ARABIC ">
        <w:r w:rsidR="00A82ABB">
          <w:rPr>
            <w:noProof/>
          </w:rPr>
          <w:t>6</w:t>
        </w:r>
      </w:fldSimple>
      <w:bookmarkEnd w:id="118"/>
      <w:r>
        <w:t xml:space="preserve"> Farm-to-retail price spread, sugar, 1984–85 to 2014–15</w:t>
      </w:r>
      <w:bookmarkEnd w:id="119"/>
      <w:bookmarkEnd w:id="120"/>
    </w:p>
    <w:p w14:paraId="5C4FADF2" w14:textId="6DDFC40F" w:rsidR="00FB7EA6" w:rsidRDefault="00C35863" w:rsidP="00FB7EA6">
      <w:pPr>
        <w:pStyle w:val="BodyText1"/>
      </w:pPr>
      <w:r>
        <w:rPr>
          <w:noProof/>
          <w:lang w:eastAsia="en-AU"/>
        </w:rPr>
        <w:drawing>
          <wp:inline distT="0" distB="0" distL="0" distR="0" wp14:anchorId="4C3AFE3D" wp14:editId="7DD35394">
            <wp:extent cx="5495026" cy="3335417"/>
            <wp:effectExtent l="0" t="0" r="0" b="0"/>
            <wp:docPr id="22" name="Picture 22" descr="Shows the farm-to-retail price spread for sugar between 1984–85 and 2014–15." title="Farm-to-retail price spread, sugar, 1984–85 to 201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9346" cy="3344109"/>
                    </a:xfrm>
                    <a:prstGeom prst="rect">
                      <a:avLst/>
                    </a:prstGeom>
                    <a:noFill/>
                  </pic:spPr>
                </pic:pic>
              </a:graphicData>
            </a:graphic>
          </wp:inline>
        </w:drawing>
      </w:r>
    </w:p>
    <w:p w14:paraId="29E715A3" w14:textId="77777777" w:rsidR="00FB7EA6" w:rsidRPr="00FB7EA6" w:rsidRDefault="00FB7EA6" w:rsidP="00880D25">
      <w:pPr>
        <w:pStyle w:val="Heading2"/>
      </w:pPr>
      <w:bookmarkStart w:id="121" w:name="_Toc459738681"/>
      <w:bookmarkStart w:id="122" w:name="_Toc487721255"/>
      <w:r>
        <w:t>Farm-to-export p</w:t>
      </w:r>
      <w:r w:rsidRPr="00FB7EA6">
        <w:t>rice spread</w:t>
      </w:r>
      <w:bookmarkEnd w:id="121"/>
      <w:bookmarkEnd w:id="122"/>
    </w:p>
    <w:p w14:paraId="2135CD3B" w14:textId="0BC385AA" w:rsidR="00FB7EA6" w:rsidRDefault="00FB7EA6" w:rsidP="00FB7EA6">
      <w:pPr>
        <w:pStyle w:val="BodyText1"/>
      </w:pPr>
      <w:r w:rsidRPr="00FE21BD">
        <w:t xml:space="preserve">The </w:t>
      </w:r>
      <w:r>
        <w:t>price</w:t>
      </w:r>
      <w:r w:rsidRPr="00FE21BD">
        <w:t xml:space="preserve"> spread between farm value and</w:t>
      </w:r>
      <w:r>
        <w:t xml:space="preserve"> the</w:t>
      </w:r>
      <w:r w:rsidRPr="00FE21BD">
        <w:t xml:space="preserve"> </w:t>
      </w:r>
      <w:r>
        <w:t>export unit</w:t>
      </w:r>
      <w:r w:rsidRPr="00FE21BD">
        <w:t xml:space="preserve"> </w:t>
      </w:r>
      <w:r>
        <w:t xml:space="preserve">value of raw </w:t>
      </w:r>
      <w:r w:rsidRPr="00FE21BD">
        <w:t xml:space="preserve">sugar </w:t>
      </w:r>
      <w:r>
        <w:t>averaged 22.9</w:t>
      </w:r>
      <w:r w:rsidR="005E0777">
        <w:t> </w:t>
      </w:r>
      <w:r w:rsidRPr="00FE21BD">
        <w:t>cents a k</w:t>
      </w:r>
      <w:r>
        <w:t>ilogram between 1988–89 and 2014–15 (</w:t>
      </w:r>
      <w:r>
        <w:fldChar w:fldCharType="begin"/>
      </w:r>
      <w:r>
        <w:instrText xml:space="preserve"> REF _Ref447209196 \h </w:instrText>
      </w:r>
      <w:r>
        <w:fldChar w:fldCharType="separate"/>
      </w:r>
      <w:r w:rsidR="00A82ABB">
        <w:t xml:space="preserve">Figure </w:t>
      </w:r>
      <w:r w:rsidR="00A82ABB">
        <w:rPr>
          <w:noProof/>
        </w:rPr>
        <w:t>7</w:t>
      </w:r>
      <w:r>
        <w:fldChar w:fldCharType="end"/>
      </w:r>
      <w:r>
        <w:t xml:space="preserve">). The </w:t>
      </w:r>
      <w:r w:rsidRPr="00FE21BD">
        <w:t xml:space="preserve">spread </w:t>
      </w:r>
      <w:r>
        <w:t>was highest</w:t>
      </w:r>
      <w:r w:rsidRPr="00F1627B">
        <w:t xml:space="preserve"> </w:t>
      </w:r>
      <w:r>
        <w:t>in 2000–01, at 35.9</w:t>
      </w:r>
      <w:r w:rsidR="005E0777">
        <w:t> </w:t>
      </w:r>
      <w:r>
        <w:t>cents a kilogram, and lowest in 2003–04, at 10.5</w:t>
      </w:r>
      <w:r w:rsidR="005E0777">
        <w:t> </w:t>
      </w:r>
      <w:r>
        <w:t>cents a kilogram</w:t>
      </w:r>
      <w:r w:rsidRPr="00FE21BD">
        <w:t>. In 201</w:t>
      </w:r>
      <w:r>
        <w:t>4–15</w:t>
      </w:r>
      <w:r w:rsidRPr="00FE21BD">
        <w:t xml:space="preserve">, </w:t>
      </w:r>
      <w:r>
        <w:t xml:space="preserve">it </w:t>
      </w:r>
      <w:r w:rsidRPr="00FE21BD">
        <w:t xml:space="preserve">was </w:t>
      </w:r>
      <w:r>
        <w:t>18.9</w:t>
      </w:r>
      <w:r w:rsidR="005E0777">
        <w:t> </w:t>
      </w:r>
      <w:r w:rsidRPr="00FE21BD">
        <w:t xml:space="preserve">cents a kilogram, lower than the average </w:t>
      </w:r>
      <w:r>
        <w:t>for</w:t>
      </w:r>
      <w:r w:rsidRPr="00FE21BD">
        <w:t xml:space="preserve"> this period.</w:t>
      </w:r>
      <w:r>
        <w:t xml:space="preserve"> There is no obvious long-term trend in the spread.</w:t>
      </w:r>
    </w:p>
    <w:p w14:paraId="280F210F" w14:textId="3FDD0C2A" w:rsidR="00FB7EA6" w:rsidRDefault="00FB7EA6" w:rsidP="00FB7EA6">
      <w:pPr>
        <w:pStyle w:val="Caption"/>
      </w:pPr>
      <w:bookmarkStart w:id="123" w:name="_Ref447209196"/>
      <w:bookmarkStart w:id="124" w:name="_Toc459731418"/>
      <w:bookmarkStart w:id="125" w:name="_Toc488412512"/>
      <w:r>
        <w:lastRenderedPageBreak/>
        <w:t xml:space="preserve">Figure </w:t>
      </w:r>
      <w:fldSimple w:instr=" SEQ Figure \* ARABIC ">
        <w:r w:rsidR="00A82ABB">
          <w:rPr>
            <w:noProof/>
          </w:rPr>
          <w:t>7</w:t>
        </w:r>
      </w:fldSimple>
      <w:bookmarkEnd w:id="123"/>
      <w:r>
        <w:t xml:space="preserve"> Farm-to-export price spread, sugar, 198</w:t>
      </w:r>
      <w:r w:rsidR="00567CFE">
        <w:t>8</w:t>
      </w:r>
      <w:r>
        <w:t>–</w:t>
      </w:r>
      <w:r w:rsidR="00567CFE">
        <w:t>89</w:t>
      </w:r>
      <w:r>
        <w:t xml:space="preserve"> to 2014–15</w:t>
      </w:r>
      <w:bookmarkEnd w:id="124"/>
      <w:bookmarkEnd w:id="125"/>
    </w:p>
    <w:p w14:paraId="67740102" w14:textId="19DC17C2" w:rsidR="00FB7EA6" w:rsidRDefault="00FF7EC0" w:rsidP="00FB7EA6">
      <w:pPr>
        <w:pStyle w:val="BodyText1"/>
      </w:pPr>
      <w:r>
        <w:rPr>
          <w:noProof/>
          <w:lang w:eastAsia="en-AU"/>
        </w:rPr>
        <w:drawing>
          <wp:inline distT="0" distB="0" distL="0" distR="0" wp14:anchorId="38F4995D" wp14:editId="273C36CF">
            <wp:extent cx="5724525" cy="3481070"/>
            <wp:effectExtent l="0" t="0" r="9525" b="5080"/>
            <wp:docPr id="8" name="Picture 8" descr="Shows the farm-to-export price spread for raw sugar between 1988–89 and 2014–15." title="Farm-to-export price spread, sugar, 1988–89 to 201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3481070"/>
                    </a:xfrm>
                    <a:prstGeom prst="rect">
                      <a:avLst/>
                    </a:prstGeom>
                    <a:noFill/>
                  </pic:spPr>
                </pic:pic>
              </a:graphicData>
            </a:graphic>
          </wp:inline>
        </w:drawing>
      </w:r>
    </w:p>
    <w:p w14:paraId="68578B48" w14:textId="008B13E5" w:rsidR="00FB7EA6" w:rsidRPr="00FE21BD" w:rsidRDefault="00FB7EA6" w:rsidP="00FB7EA6">
      <w:pPr>
        <w:pStyle w:val="BodyText1"/>
      </w:pPr>
      <w:r>
        <w:t>The farm-to-export price spread peaked twice</w:t>
      </w:r>
      <w:r w:rsidRPr="005600D9">
        <w:t xml:space="preserve"> </w:t>
      </w:r>
      <w:r>
        <w:t>over this period, first</w:t>
      </w:r>
      <w:r w:rsidRPr="005600D9">
        <w:t xml:space="preserve"> </w:t>
      </w:r>
      <w:r>
        <w:t xml:space="preserve">in 2000–01, and again </w:t>
      </w:r>
      <w:r w:rsidR="00E62541">
        <w:t>in</w:t>
      </w:r>
      <w:r>
        <w:t xml:space="preserve"> 2010–11. </w:t>
      </w:r>
      <w:r w:rsidR="00C712C6">
        <w:t xml:space="preserve">Real local unit values </w:t>
      </w:r>
      <w:r w:rsidR="00E62541">
        <w:t>for cane fell in both years while export unit values were relatively high. It</w:t>
      </w:r>
      <w:r>
        <w:t xml:space="preserve"> is likely that extreme weather contributed to the widening in spread</w:t>
      </w:r>
      <w:r w:rsidR="00EF7C1C">
        <w:t xml:space="preserve"> in these years</w:t>
      </w:r>
      <w:r>
        <w:t xml:space="preserve">. </w:t>
      </w:r>
    </w:p>
    <w:p w14:paraId="01873608" w14:textId="77777777" w:rsidR="00FB7EA6" w:rsidRPr="00FB7EA6" w:rsidRDefault="00FB7EA6" w:rsidP="001C0B54">
      <w:pPr>
        <w:pStyle w:val="Heading2"/>
      </w:pPr>
      <w:bookmarkStart w:id="126" w:name="_Toc459738682"/>
      <w:bookmarkStart w:id="127" w:name="_Toc487721256"/>
      <w:r>
        <w:t>Comments on price</w:t>
      </w:r>
      <w:r w:rsidRPr="00FB7EA6">
        <w:t xml:space="preserve"> spreads</w:t>
      </w:r>
      <w:bookmarkEnd w:id="126"/>
      <w:bookmarkEnd w:id="127"/>
    </w:p>
    <w:p w14:paraId="3B308176" w14:textId="291F8F0F" w:rsidR="00FB7EA6" w:rsidRDefault="00FB7EA6" w:rsidP="00FB7EA6">
      <w:pPr>
        <w:pStyle w:val="BodyText1"/>
      </w:pPr>
      <w:r>
        <w:t>Farm-to-retail and farm-to-export price spreads capture the cost of services beyond the farm gate needed to transform raw products into the saleable products (in this analysis raw sugar for export or refined sugar for retail sale), plus profit margins. For raw sugar, the price spread includes transport, milling, storage and export costs, while for refined sugar, refining and retailing costs are also included. Apart from imperfect competition,</w:t>
      </w:r>
      <w:r w:rsidRPr="00AC5FF5">
        <w:t xml:space="preserve"> </w:t>
      </w:r>
      <w:r>
        <w:t>an increase</w:t>
      </w:r>
      <w:r w:rsidRPr="00AC5FF5">
        <w:t xml:space="preserve"> in </w:t>
      </w:r>
      <w:r>
        <w:t>price spread may be a legitimate reflection of changes within the industry. For example, price spread may increase or decrease over time as the price and mix of inputs and services required to transform farm products into consumer products changes (Nguyen, Mobsby &amp; Goesch</w:t>
      </w:r>
      <w:r w:rsidR="00A032CD">
        <w:t xml:space="preserve"> </w:t>
      </w:r>
      <w:r>
        <w:t>2016).</w:t>
      </w:r>
    </w:p>
    <w:p w14:paraId="4EE35A51" w14:textId="3BE8F472" w:rsidR="00FB7EA6" w:rsidRDefault="00FB7EA6" w:rsidP="00FB7EA6">
      <w:pPr>
        <w:pStyle w:val="BodyText1"/>
      </w:pPr>
      <w:r>
        <w:t>Similar to movements in farm share, Figures 6 and 7 show significant short</w:t>
      </w:r>
      <w:r w:rsidR="00647DB8">
        <w:t>-</w:t>
      </w:r>
      <w:r>
        <w:t xml:space="preserve">term movements in farm-to-retail and farm-to-export price spreads for sugar. However, these figures do not indicate any persistent widening in price spreads over the past 25 to 30 years, with the overall trends appearing to be relatively flat, and to even decline slightly in the retail sector. </w:t>
      </w:r>
    </w:p>
    <w:p w14:paraId="030CC18D" w14:textId="77777777" w:rsidR="00FB7EA6" w:rsidRPr="00FB7EA6" w:rsidRDefault="00FB7EA6" w:rsidP="00880D25">
      <w:pPr>
        <w:pStyle w:val="Heading2"/>
      </w:pPr>
      <w:bookmarkStart w:id="128" w:name="_Toc459738683"/>
      <w:bookmarkStart w:id="129" w:name="_Toc487721257"/>
      <w:r>
        <w:t>Further research</w:t>
      </w:r>
      <w:bookmarkEnd w:id="128"/>
      <w:bookmarkEnd w:id="129"/>
    </w:p>
    <w:p w14:paraId="77E3B395" w14:textId="2ABFCCD4" w:rsidR="0066211A" w:rsidRDefault="00FB7EA6" w:rsidP="00FB7EA6">
      <w:r>
        <w:t xml:space="preserve">There are </w:t>
      </w:r>
      <w:r w:rsidR="00EA681B">
        <w:t>several</w:t>
      </w:r>
      <w:r w:rsidRPr="00FB7EA6">
        <w:t xml:space="preserve"> options that could improve the analysis undertaken in this study. To begin with, it may be possible to breakdown some of the costs beyond the farm gate through industry consultation. </w:t>
      </w:r>
      <w:r w:rsidR="006463D9">
        <w:t>However, much of this data is likely to be commercially sensitive.</w:t>
      </w:r>
      <w:r w:rsidRPr="00FB7EA6">
        <w:t xml:space="preserve"> This approach is also likely to be more expensive than the relatively simple high level analysis undertaken in this study. It may also be possible to improve the accuracy of farm share and price spread estimates </w:t>
      </w:r>
      <w:r w:rsidRPr="00FB7EA6">
        <w:lastRenderedPageBreak/>
        <w:t xml:space="preserve">through the use of retail scanner data from supermarkets or </w:t>
      </w:r>
      <w:proofErr w:type="spellStart"/>
      <w:r w:rsidRPr="00FB7EA6">
        <w:t>homescan</w:t>
      </w:r>
      <w:proofErr w:type="spellEnd"/>
      <w:r w:rsidRPr="00FB7EA6">
        <w:t xml:space="preserve"> data from market research companies given that the ABS no longer </w:t>
      </w:r>
      <w:r w:rsidR="00C31C20">
        <w:t>publish</w:t>
      </w:r>
      <w:r w:rsidRPr="00FB7EA6">
        <w:t xml:space="preserve"> data on retail prices for sugar</w:t>
      </w:r>
      <w:r w:rsidR="00360FE1">
        <w:t>. T</w:t>
      </w:r>
      <w:r w:rsidRPr="00FB7EA6">
        <w:t xml:space="preserve">he </w:t>
      </w:r>
      <w:r w:rsidR="00360FE1">
        <w:t xml:space="preserve">ABS 'Other food' subgroup price series used in this study as a proxy for retail sugar prices </w:t>
      </w:r>
      <w:r w:rsidR="004136FB">
        <w:t>since</w:t>
      </w:r>
      <w:r w:rsidRPr="00FB7EA6">
        <w:t xml:space="preserve"> </w:t>
      </w:r>
      <w:r w:rsidR="00CB0563">
        <w:t>September</w:t>
      </w:r>
      <w:r w:rsidRPr="00FB7EA6">
        <w:t xml:space="preserve"> 2011 </w:t>
      </w:r>
      <w:r w:rsidR="00C31C20">
        <w:t>includes a range of foods</w:t>
      </w:r>
      <w:r w:rsidR="0066211A">
        <w:t>. While this subgroup includes sugar and a number of</w:t>
      </w:r>
      <w:r w:rsidR="00C31C20">
        <w:t xml:space="preserve"> </w:t>
      </w:r>
      <w:r w:rsidR="0066211A">
        <w:t>food items that</w:t>
      </w:r>
      <w:r w:rsidR="00C31C20">
        <w:t xml:space="preserve"> are likely to </w:t>
      </w:r>
      <w:r w:rsidR="002F5E77">
        <w:t>have a high sugar content</w:t>
      </w:r>
      <w:r w:rsidR="0066211A">
        <w:t xml:space="preserve">, it also includes foods that contain little or no refined sugar. </w:t>
      </w:r>
      <w:r w:rsidRPr="00FB7EA6">
        <w:t xml:space="preserve">It is worth noting that </w:t>
      </w:r>
      <w:r w:rsidR="00210454" w:rsidRPr="00210454">
        <w:t xml:space="preserve">companies supplying </w:t>
      </w:r>
      <w:r w:rsidR="0066211A">
        <w:t xml:space="preserve">retail scanner or </w:t>
      </w:r>
      <w:proofErr w:type="spellStart"/>
      <w:r w:rsidR="0066211A">
        <w:t>homescan</w:t>
      </w:r>
      <w:proofErr w:type="spellEnd"/>
      <w:r w:rsidRPr="00FB7EA6">
        <w:t xml:space="preserve"> data </w:t>
      </w:r>
      <w:r w:rsidR="00210454">
        <w:t>may</w:t>
      </w:r>
      <w:r w:rsidRPr="00FB7EA6">
        <w:t xml:space="preserve"> impose restrictions on its use given the proprietary nature of the data. </w:t>
      </w:r>
    </w:p>
    <w:p w14:paraId="4B084A97" w14:textId="77777777" w:rsidR="00FB7EA6" w:rsidRPr="00FB7EA6" w:rsidRDefault="00FB7EA6" w:rsidP="00FB7EA6"/>
    <w:p w14:paraId="18225069" w14:textId="77777777" w:rsidR="00FB7EA6" w:rsidRDefault="00FB7EA6" w:rsidP="00FB7EA6">
      <w:pPr>
        <w:pStyle w:val="BodyText1"/>
      </w:pPr>
    </w:p>
    <w:p w14:paraId="1CF9EC81" w14:textId="77777777" w:rsidR="00FB7EA6" w:rsidRDefault="00FB7EA6" w:rsidP="00FB7EA6">
      <w:pPr>
        <w:pStyle w:val="BodyText1"/>
      </w:pPr>
    </w:p>
    <w:p w14:paraId="3AF2C5FD" w14:textId="77777777" w:rsidR="00FB7EA6" w:rsidRDefault="00FB7EA6" w:rsidP="00FB7EA6">
      <w:pPr>
        <w:pStyle w:val="BodyText1"/>
      </w:pPr>
    </w:p>
    <w:p w14:paraId="0EA24C6F" w14:textId="77777777" w:rsidR="00FB7EA6" w:rsidRDefault="00FB7EA6" w:rsidP="00FB7EA6">
      <w:pPr>
        <w:pStyle w:val="BodyText1"/>
      </w:pPr>
    </w:p>
    <w:p w14:paraId="035B09C8" w14:textId="77777777" w:rsidR="00FB7EA6" w:rsidRDefault="00FB7EA6" w:rsidP="00FB7EA6">
      <w:pPr>
        <w:pStyle w:val="Heading1unnumberedchapter"/>
      </w:pPr>
      <w:bookmarkStart w:id="130" w:name="_Toc456786177"/>
      <w:bookmarkStart w:id="131" w:name="_Toc456786178"/>
      <w:bookmarkStart w:id="132" w:name="_Toc456786179"/>
      <w:bookmarkStart w:id="133" w:name="_Toc459738685"/>
      <w:bookmarkStart w:id="134" w:name="_Toc487721258"/>
      <w:bookmarkEnd w:id="130"/>
      <w:bookmarkEnd w:id="131"/>
      <w:bookmarkEnd w:id="132"/>
      <w:r>
        <w:lastRenderedPageBreak/>
        <w:t>References</w:t>
      </w:r>
      <w:bookmarkEnd w:id="133"/>
      <w:bookmarkEnd w:id="134"/>
    </w:p>
    <w:p w14:paraId="4BD3B4B5" w14:textId="2CA7AEF4" w:rsidR="00450A4C" w:rsidRDefault="00450A4C" w:rsidP="00FB7EA6">
      <w:pPr>
        <w:pStyle w:val="BodyText1"/>
      </w:pPr>
      <w:r>
        <w:t xml:space="preserve">ABARE 2007, </w:t>
      </w:r>
      <w:r>
        <w:rPr>
          <w:rStyle w:val="Italic"/>
        </w:rPr>
        <w:t xml:space="preserve">Australian commodities: March quarter 2007, </w:t>
      </w:r>
      <w:r>
        <w:t>Australian Bureau of Agricultural and Resource Economics,</w:t>
      </w:r>
      <w:r w:rsidRPr="00016914">
        <w:t xml:space="preserve"> </w:t>
      </w:r>
      <w:r>
        <w:t>Canberra, available at</w:t>
      </w:r>
      <w:r w:rsidR="00C513CC">
        <w:t xml:space="preserve"> </w:t>
      </w:r>
      <w:hyperlink r:id="rId27" w:history="1">
        <w:r w:rsidR="00C513CC" w:rsidRPr="00C513CC">
          <w:rPr>
            <w:rStyle w:val="Hyperlink"/>
          </w:rPr>
          <w:t>agriculture.gov.au/</w:t>
        </w:r>
        <w:proofErr w:type="spellStart"/>
        <w:r w:rsidR="00C513CC" w:rsidRPr="00C513CC">
          <w:rPr>
            <w:rStyle w:val="Hyperlink"/>
          </w:rPr>
          <w:t>abares</w:t>
        </w:r>
        <w:proofErr w:type="spellEnd"/>
        <w:r w:rsidR="00C513CC" w:rsidRPr="00C513CC">
          <w:rPr>
            <w:rStyle w:val="Hyperlink"/>
          </w:rPr>
          <w:t>/publications/</w:t>
        </w:r>
      </w:hyperlink>
      <w:r w:rsidRPr="003F223C">
        <w:t>.</w:t>
      </w:r>
    </w:p>
    <w:p w14:paraId="7B375D7C" w14:textId="75541C8A" w:rsidR="00FB7EA6" w:rsidRDefault="00FB7EA6" w:rsidP="00FB7EA6">
      <w:pPr>
        <w:pStyle w:val="BodyText1"/>
      </w:pPr>
      <w:r>
        <w:t xml:space="preserve">—— 2006, </w:t>
      </w:r>
      <w:r>
        <w:rPr>
          <w:rStyle w:val="Italic"/>
        </w:rPr>
        <w:t xml:space="preserve">Australian commodities: March quarter 2006, </w:t>
      </w:r>
      <w:r>
        <w:t>Australian Bureau of Agricultural and Resource Economics,</w:t>
      </w:r>
      <w:r w:rsidRPr="00016914">
        <w:t xml:space="preserve"> </w:t>
      </w:r>
      <w:r>
        <w:t xml:space="preserve">Canberra, available at </w:t>
      </w:r>
      <w:hyperlink r:id="rId28" w:history="1">
        <w:r w:rsidR="00C513CC" w:rsidRPr="00C513CC">
          <w:rPr>
            <w:rStyle w:val="Hyperlink"/>
          </w:rPr>
          <w:t>agriculture.gov.au/</w:t>
        </w:r>
        <w:proofErr w:type="spellStart"/>
        <w:r w:rsidR="00C513CC" w:rsidRPr="00C513CC">
          <w:rPr>
            <w:rStyle w:val="Hyperlink"/>
          </w:rPr>
          <w:t>abares</w:t>
        </w:r>
        <w:proofErr w:type="spellEnd"/>
        <w:r w:rsidR="00C513CC" w:rsidRPr="00C513CC">
          <w:rPr>
            <w:rStyle w:val="Hyperlink"/>
          </w:rPr>
          <w:t>/publications/</w:t>
        </w:r>
      </w:hyperlink>
      <w:r w:rsidRPr="003F223C">
        <w:t>.</w:t>
      </w:r>
    </w:p>
    <w:p w14:paraId="6C27F97E" w14:textId="1183EB21" w:rsidR="00450A4C" w:rsidRDefault="00450A4C" w:rsidP="00450A4C">
      <w:pPr>
        <w:pStyle w:val="BodyText1"/>
      </w:pPr>
      <w:r>
        <w:t xml:space="preserve">—— 2003, </w:t>
      </w:r>
      <w:r>
        <w:rPr>
          <w:rStyle w:val="Italic"/>
        </w:rPr>
        <w:t>Australian commodities statistics 2002</w:t>
      </w:r>
      <w:r w:rsidRPr="005717E7">
        <w:t>,</w:t>
      </w:r>
      <w:r>
        <w:t xml:space="preserve"> Australian Bureau of Agricultural and Resource Economics, Canberra, available at </w:t>
      </w:r>
      <w:hyperlink r:id="rId29" w:history="1">
        <w:r w:rsidR="00C513CC" w:rsidRPr="00C513CC">
          <w:rPr>
            <w:rStyle w:val="Hyperlink"/>
          </w:rPr>
          <w:t>agriculture.gov.au/</w:t>
        </w:r>
        <w:proofErr w:type="spellStart"/>
        <w:r w:rsidR="00C513CC" w:rsidRPr="00C513CC">
          <w:rPr>
            <w:rStyle w:val="Hyperlink"/>
          </w:rPr>
          <w:t>abares</w:t>
        </w:r>
        <w:proofErr w:type="spellEnd"/>
        <w:r w:rsidR="00C513CC" w:rsidRPr="00C513CC">
          <w:rPr>
            <w:rStyle w:val="Hyperlink"/>
          </w:rPr>
          <w:t>/publications/</w:t>
        </w:r>
      </w:hyperlink>
      <w:r w:rsidRPr="003F223C">
        <w:t>.</w:t>
      </w:r>
    </w:p>
    <w:p w14:paraId="3516023E" w14:textId="0C9612AF" w:rsidR="00F97E1E" w:rsidRDefault="00F97E1E" w:rsidP="00FB7EA6">
      <w:pPr>
        <w:pStyle w:val="BodyText1"/>
      </w:pPr>
      <w:r>
        <w:t xml:space="preserve">ABARES 2016, </w:t>
      </w:r>
      <w:r>
        <w:rPr>
          <w:rStyle w:val="Italic"/>
        </w:rPr>
        <w:t>Agricultural commodit</w:t>
      </w:r>
      <w:r w:rsidR="00F33B2B">
        <w:rPr>
          <w:rStyle w:val="Italic"/>
        </w:rPr>
        <w:t>ies: September quarter</w:t>
      </w:r>
      <w:r>
        <w:rPr>
          <w:rStyle w:val="Italic"/>
        </w:rPr>
        <w:t xml:space="preserve"> 201</w:t>
      </w:r>
      <w:r w:rsidR="00F33B2B">
        <w:rPr>
          <w:rStyle w:val="Italic"/>
        </w:rPr>
        <w:t>6</w:t>
      </w:r>
      <w:r w:rsidRPr="005717E7">
        <w:t>,</w:t>
      </w:r>
      <w:r>
        <w:t xml:space="preserve"> Australian Bureau of Agricultural and Resource Economics and Sciences, Canberra, available at </w:t>
      </w:r>
      <w:hyperlink r:id="rId30" w:history="1">
        <w:r w:rsidR="00C513CC" w:rsidRPr="00C513CC">
          <w:rPr>
            <w:rStyle w:val="Hyperlink"/>
          </w:rPr>
          <w:t>agriculture.gov.au/</w:t>
        </w:r>
        <w:proofErr w:type="spellStart"/>
        <w:r w:rsidR="00C513CC" w:rsidRPr="00C513CC">
          <w:rPr>
            <w:rStyle w:val="Hyperlink"/>
          </w:rPr>
          <w:t>abares</w:t>
        </w:r>
        <w:proofErr w:type="spellEnd"/>
        <w:r w:rsidR="00C513CC" w:rsidRPr="00C513CC">
          <w:rPr>
            <w:rStyle w:val="Hyperlink"/>
          </w:rPr>
          <w:t>/publications/</w:t>
        </w:r>
      </w:hyperlink>
      <w:r w:rsidRPr="003F223C">
        <w:t>.</w:t>
      </w:r>
    </w:p>
    <w:p w14:paraId="2849FDED" w14:textId="5DD4B8FC" w:rsidR="00FB7EA6" w:rsidRDefault="00F97E1E" w:rsidP="00FB7EA6">
      <w:pPr>
        <w:pStyle w:val="BodyText1"/>
      </w:pPr>
      <w:r>
        <w:t xml:space="preserve">—— </w:t>
      </w:r>
      <w:r w:rsidR="00FB7EA6">
        <w:t xml:space="preserve">2015, </w:t>
      </w:r>
      <w:r w:rsidR="00FB7EA6">
        <w:rPr>
          <w:rStyle w:val="Italic"/>
        </w:rPr>
        <w:t>Agricultural commodity statistics 2015</w:t>
      </w:r>
      <w:r w:rsidR="00FB7EA6" w:rsidRPr="005717E7">
        <w:t>,</w:t>
      </w:r>
      <w:r w:rsidR="00FB7EA6">
        <w:t xml:space="preserve"> Australian Bureau of Agricultural and Resource Economics and Sciences, Canberra, available at </w:t>
      </w:r>
      <w:hyperlink r:id="rId31" w:history="1">
        <w:r w:rsidR="00C513CC" w:rsidRPr="00C513CC">
          <w:rPr>
            <w:rStyle w:val="Hyperlink"/>
          </w:rPr>
          <w:t>agriculture.gov.au/</w:t>
        </w:r>
        <w:proofErr w:type="spellStart"/>
        <w:r w:rsidR="00C513CC" w:rsidRPr="00C513CC">
          <w:rPr>
            <w:rStyle w:val="Hyperlink"/>
          </w:rPr>
          <w:t>abares</w:t>
        </w:r>
        <w:proofErr w:type="spellEnd"/>
        <w:r w:rsidR="00C513CC" w:rsidRPr="00C513CC">
          <w:rPr>
            <w:rStyle w:val="Hyperlink"/>
          </w:rPr>
          <w:t>/publications/</w:t>
        </w:r>
      </w:hyperlink>
      <w:r w:rsidR="00FB7EA6" w:rsidRPr="003F223C">
        <w:t>.</w:t>
      </w:r>
    </w:p>
    <w:p w14:paraId="4D0DCD4F" w14:textId="188A7DB1" w:rsidR="00450A4C" w:rsidRDefault="00450A4C" w:rsidP="00450A4C">
      <w:pPr>
        <w:pStyle w:val="BodyText1"/>
      </w:pPr>
      <w:r>
        <w:t>ABS 2015</w:t>
      </w:r>
      <w:r w:rsidRPr="0037639D">
        <w:t xml:space="preserve">, </w:t>
      </w:r>
      <w:r w:rsidRPr="0037639D">
        <w:rPr>
          <w:rStyle w:val="Italic"/>
        </w:rPr>
        <w:t>International Trade, Australia</w:t>
      </w:r>
      <w:r w:rsidRPr="0037639D">
        <w:t xml:space="preserve">, cat. </w:t>
      </w:r>
      <w:proofErr w:type="gramStart"/>
      <w:r w:rsidRPr="0037639D">
        <w:t>no</w:t>
      </w:r>
      <w:proofErr w:type="gramEnd"/>
      <w:r w:rsidRPr="0037639D">
        <w:t>. 5465.0, Australian Bureau of Statistics, Canberra, available at</w:t>
      </w:r>
      <w:r w:rsidR="00C12086">
        <w:t xml:space="preserve"> </w:t>
      </w:r>
      <w:hyperlink r:id="rId32" w:history="1">
        <w:r w:rsidR="002F2E58" w:rsidRPr="00A13F74">
          <w:rPr>
            <w:rStyle w:val="Hyperlink"/>
          </w:rPr>
          <w:t>abs.gov.au/AUSSTATS/abs@.nsf/productsbyCatalogue/E0E5015B73608361CA25756D0013AF9F?OpenDocument</w:t>
        </w:r>
      </w:hyperlink>
      <w:r w:rsidRPr="0037639D">
        <w:t>.</w:t>
      </w:r>
    </w:p>
    <w:p w14:paraId="399F4690" w14:textId="531F3110" w:rsidR="00FB7EA6" w:rsidRDefault="00450A4C" w:rsidP="00FB7EA6">
      <w:pPr>
        <w:pStyle w:val="BodyText1"/>
      </w:pPr>
      <w:r>
        <w:t xml:space="preserve">—— </w:t>
      </w:r>
      <w:r w:rsidR="00FB7EA6">
        <w:t>2011</w:t>
      </w:r>
      <w:r w:rsidR="00032788">
        <w:t>a</w:t>
      </w:r>
      <w:r w:rsidR="00FB7EA6">
        <w:t xml:space="preserve">, </w:t>
      </w:r>
      <w:r w:rsidR="00FB7EA6">
        <w:rPr>
          <w:rStyle w:val="Italic"/>
        </w:rPr>
        <w:t>Average R</w:t>
      </w:r>
      <w:r w:rsidR="00FB7EA6" w:rsidRPr="00D6193D">
        <w:rPr>
          <w:rStyle w:val="Italic"/>
        </w:rPr>
        <w:t>etail Prices of Selected Items, Eight Capital Cities</w:t>
      </w:r>
      <w:r w:rsidR="00FB7EA6">
        <w:t xml:space="preserve">, </w:t>
      </w:r>
      <w:proofErr w:type="gramStart"/>
      <w:r w:rsidR="00FB7EA6" w:rsidRPr="0037639D">
        <w:t>cat</w:t>
      </w:r>
      <w:proofErr w:type="gramEnd"/>
      <w:r w:rsidR="00FB7EA6" w:rsidRPr="0037639D">
        <w:t xml:space="preserve">. </w:t>
      </w:r>
      <w:proofErr w:type="gramStart"/>
      <w:r w:rsidR="00FB7EA6" w:rsidRPr="0037639D">
        <w:t>no</w:t>
      </w:r>
      <w:proofErr w:type="gramEnd"/>
      <w:r w:rsidR="00FB7EA6" w:rsidRPr="0037639D">
        <w:t xml:space="preserve">. </w:t>
      </w:r>
      <w:r w:rsidR="00FB7EA6">
        <w:t xml:space="preserve">6403.0 and 6403.0.55.001, </w:t>
      </w:r>
      <w:r w:rsidR="00FB7EA6" w:rsidRPr="00D6193D">
        <w:t>Australian Bureau of Statistics, Canberra, available at</w:t>
      </w:r>
      <w:r w:rsidR="00FB7EA6">
        <w:t xml:space="preserve"> </w:t>
      </w:r>
      <w:hyperlink r:id="rId33" w:history="1">
        <w:r w:rsidR="00B15A8A" w:rsidRPr="007D5FA2">
          <w:rPr>
            <w:rStyle w:val="Hyperlink"/>
          </w:rPr>
          <w:t>abs.gov.au/ausstats/abs@.nsf/mf/6403.0.55.001</w:t>
        </w:r>
      </w:hyperlink>
      <w:r w:rsidR="00FB7EA6">
        <w:t>.</w:t>
      </w:r>
    </w:p>
    <w:p w14:paraId="2E62D782" w14:textId="26C017F5" w:rsidR="00FB7EA6" w:rsidRDefault="00FB7EA6" w:rsidP="00FB7EA6">
      <w:pPr>
        <w:pStyle w:val="BodyText1"/>
      </w:pPr>
      <w:r>
        <w:t>—— 2011</w:t>
      </w:r>
      <w:r w:rsidR="00032788">
        <w:t>b</w:t>
      </w:r>
      <w:r>
        <w:t xml:space="preserve">, </w:t>
      </w:r>
      <w:r w:rsidRPr="008B6C86">
        <w:rPr>
          <w:rStyle w:val="Italic"/>
        </w:rPr>
        <w:t>Consumer Price Index: Concepts, Sources and Methods, 2011</w:t>
      </w:r>
      <w:r>
        <w:t xml:space="preserve">, cat. </w:t>
      </w:r>
      <w:proofErr w:type="gramStart"/>
      <w:r>
        <w:t>no</w:t>
      </w:r>
      <w:proofErr w:type="gramEnd"/>
      <w:r>
        <w:t xml:space="preserve">. 6461.0, </w:t>
      </w:r>
      <w:hyperlink r:id="rId34" w:history="1">
        <w:r w:rsidR="00B15A8A" w:rsidRPr="007D5FA2">
          <w:rPr>
            <w:rStyle w:val="Hyperlink"/>
          </w:rPr>
          <w:t>abs.gov.au/AUSSTATS/abs@.nsf/Lookup/6461.0Appendix12011</w:t>
        </w:r>
      </w:hyperlink>
      <w:r>
        <w:t xml:space="preserve">. </w:t>
      </w:r>
    </w:p>
    <w:p w14:paraId="0D078D47" w14:textId="264EA7AD" w:rsidR="00FB7EA6" w:rsidRPr="00FB7EA6" w:rsidRDefault="00FB7EA6" w:rsidP="00B5355F">
      <w:pPr>
        <w:pStyle w:val="BodyText1"/>
        <w:rPr>
          <w:rStyle w:val="Italic"/>
        </w:rPr>
      </w:pPr>
      <w:r>
        <w:t>Albertson</w:t>
      </w:r>
      <w:r w:rsidR="003202F4">
        <w:t>, P</w:t>
      </w:r>
      <w:r>
        <w:t xml:space="preserve"> &amp; </w:t>
      </w:r>
      <w:proofErr w:type="spellStart"/>
      <w:r>
        <w:t>Grof</w:t>
      </w:r>
      <w:proofErr w:type="spellEnd"/>
      <w:r w:rsidR="003202F4">
        <w:t>, C</w:t>
      </w:r>
      <w:r>
        <w:t xml:space="preserve"> 2004, ‘The Effect of Hexose upon pol, brix and calculated CCS in sugar cane: A potential for negative pol bias in juice from actively growing cane’, </w:t>
      </w:r>
      <w:r>
        <w:rPr>
          <w:rStyle w:val="Italic"/>
        </w:rPr>
        <w:t>Journal American Society Sugar Cane Technologists</w:t>
      </w:r>
      <w:r w:rsidRPr="00F11FFD">
        <w:t>,</w:t>
      </w:r>
      <w:r>
        <w:t xml:space="preserve"> vol. 24, pp. 185-198, available at </w:t>
      </w:r>
      <w:hyperlink r:id="rId35" w:history="1">
        <w:r w:rsidRPr="005A00E8">
          <w:rPr>
            <w:rStyle w:val="Hyperlink"/>
          </w:rPr>
          <w:t>assct.org/journal/</w:t>
        </w:r>
        <w:r w:rsidRPr="00B15A8A">
          <w:rPr>
            <w:rStyle w:val="Hyperlink"/>
          </w:rPr>
          <w:t>JASSCT</w:t>
        </w:r>
        <w:r w:rsidRPr="005A00E8">
          <w:rPr>
            <w:rStyle w:val="Hyperlink"/>
          </w:rPr>
          <w:t>%20PDF%20Files/volume%2024/M03-03%20Albertson%20final.pdf</w:t>
        </w:r>
      </w:hyperlink>
      <w:r w:rsidR="00B5355F">
        <w:rPr>
          <w:rStyle w:val="Hyperlink"/>
        </w:rPr>
        <w:t xml:space="preserve"> </w:t>
      </w:r>
      <w:r w:rsidR="00B5355F" w:rsidRPr="00B5355F">
        <w:rPr>
          <w:rStyle w:val="Hyperlink"/>
          <w:color w:val="000000" w:themeColor="text1"/>
          <w:u w:val="none"/>
        </w:rPr>
        <w:t>(pdf 377.1kb)</w:t>
      </w:r>
      <w:r w:rsidRPr="00B5355F">
        <w:t>.</w:t>
      </w:r>
    </w:p>
    <w:p w14:paraId="1CC14478" w14:textId="25C7F514" w:rsidR="00DB293E" w:rsidRDefault="00DB293E" w:rsidP="00D64C01">
      <w:pPr>
        <w:pStyle w:val="BodyText1"/>
      </w:pPr>
      <w:r>
        <w:t xml:space="preserve">ASMC 2015a, </w:t>
      </w:r>
      <w:r w:rsidR="00541B30" w:rsidRPr="00541B30">
        <w:t>Submission to the Queensland Parliament Agriculture and Environment Committee</w:t>
      </w:r>
      <w:r w:rsidR="00216760">
        <w:t>'s examination of the</w:t>
      </w:r>
      <w:r w:rsidR="00541B30" w:rsidRPr="00541B30">
        <w:rPr>
          <w:rStyle w:val="Italic"/>
        </w:rPr>
        <w:t xml:space="preserve"> </w:t>
      </w:r>
      <w:r w:rsidR="00D44BE8" w:rsidRPr="0060351B">
        <w:rPr>
          <w:rStyle w:val="Italic"/>
        </w:rPr>
        <w:t>Sugar Industry (Real Choice in Marketing) Amendment Bill 2015</w:t>
      </w:r>
      <w:r w:rsidR="00D44BE8">
        <w:t xml:space="preserve">, </w:t>
      </w:r>
      <w:r w:rsidR="003631F6">
        <w:t xml:space="preserve">Australian Sugar Milling Council, July, </w:t>
      </w:r>
      <w:r>
        <w:t>available at</w:t>
      </w:r>
      <w:r w:rsidR="00D64C01">
        <w:t xml:space="preserve"> </w:t>
      </w:r>
      <w:hyperlink r:id="rId36" w:history="1">
        <w:r w:rsidR="00D64C01" w:rsidRPr="00D64C01">
          <w:rPr>
            <w:rStyle w:val="Hyperlink"/>
          </w:rPr>
          <w:t>asmc.com.au/wp-content/uploads/2013/08/AEC-Combined-Submission.pdf</w:t>
        </w:r>
      </w:hyperlink>
      <w:r w:rsidR="00D64C01">
        <w:t xml:space="preserve"> (pdf 1.67mb)</w:t>
      </w:r>
      <w:r>
        <w:t>.</w:t>
      </w:r>
      <w:r w:rsidR="00D44BE8">
        <w:t xml:space="preserve"> </w:t>
      </w:r>
    </w:p>
    <w:p w14:paraId="2B998E6D" w14:textId="2F74C39C" w:rsidR="00FB7EA6" w:rsidRDefault="00FB7EA6" w:rsidP="00FB7EA6">
      <w:pPr>
        <w:pStyle w:val="BodyText1"/>
      </w:pPr>
      <w:r>
        <w:t xml:space="preserve">—— </w:t>
      </w:r>
      <w:r w:rsidR="003631F6">
        <w:t>2015</w:t>
      </w:r>
      <w:r w:rsidR="00DB293E">
        <w:t>b</w:t>
      </w:r>
      <w:r w:rsidRPr="00F727C9">
        <w:t>, ‘Australian Sugar</w:t>
      </w:r>
      <w:r w:rsidR="00F40219">
        <w:t>cane</w:t>
      </w:r>
      <w:r w:rsidRPr="00F727C9">
        <w:t xml:space="preserve"> Industry Overview’, Australian Sugar Milling Council, available at </w:t>
      </w:r>
      <w:hyperlink r:id="rId37" w:history="1">
        <w:r w:rsidRPr="00C12086">
          <w:rPr>
            <w:rStyle w:val="Hyperlink"/>
          </w:rPr>
          <w:t>asmc.com.au/industry-overview/</w:t>
        </w:r>
      </w:hyperlink>
      <w:r w:rsidRPr="00F727C9">
        <w:t>.</w:t>
      </w:r>
    </w:p>
    <w:p w14:paraId="3CF9AE22" w14:textId="52C39514" w:rsidR="00FB7EA6" w:rsidRDefault="00FB7EA6" w:rsidP="00FB7EA6">
      <w:pPr>
        <w:pStyle w:val="BodyText1"/>
      </w:pPr>
      <w:r>
        <w:t xml:space="preserve">—— </w:t>
      </w:r>
      <w:r w:rsidR="003631F6">
        <w:t>2015</w:t>
      </w:r>
      <w:r w:rsidR="00DB293E">
        <w:t>c</w:t>
      </w:r>
      <w:r>
        <w:t xml:space="preserve">, </w:t>
      </w:r>
      <w:r w:rsidRPr="00D43A07">
        <w:rPr>
          <w:rStyle w:val="Italic"/>
        </w:rPr>
        <w:t>Cane railways in the Sugar Industry</w:t>
      </w:r>
      <w:r>
        <w:t xml:space="preserve">, Australian Sugar Milling Council, available at </w:t>
      </w:r>
      <w:hyperlink r:id="rId38" w:history="1">
        <w:r w:rsidRPr="00C12086">
          <w:rPr>
            <w:rStyle w:val="Hyperlink"/>
          </w:rPr>
          <w:t>asmc.com.au/industry-overview/fact-sheets/</w:t>
        </w:r>
      </w:hyperlink>
      <w:r>
        <w:t>.</w:t>
      </w:r>
    </w:p>
    <w:p w14:paraId="5A76E6ED" w14:textId="240116F9" w:rsidR="00DB293E" w:rsidRDefault="00DB293E" w:rsidP="00843290">
      <w:pPr>
        <w:pStyle w:val="BodyText1"/>
      </w:pPr>
      <w:r>
        <w:t>——</w:t>
      </w:r>
      <w:r w:rsidRPr="004633DE">
        <w:t xml:space="preserve"> 2015</w:t>
      </w:r>
      <w:r>
        <w:t xml:space="preserve">d, </w:t>
      </w:r>
      <w:r w:rsidR="001162FA" w:rsidRPr="001162FA">
        <w:t>Submission to the Queensland Productivity Commission</w:t>
      </w:r>
      <w:r w:rsidR="001162FA">
        <w:t xml:space="preserve">'s regulatory impact assessment of the </w:t>
      </w:r>
      <w:r w:rsidR="00D44BE8" w:rsidRPr="0060351B">
        <w:rPr>
          <w:rStyle w:val="Italic"/>
        </w:rPr>
        <w:t>Sugar Industry (Real Choice in Marketing) Amendment Bill 2015</w:t>
      </w:r>
      <w:r w:rsidR="00D44BE8">
        <w:t xml:space="preserve">, </w:t>
      </w:r>
      <w:r w:rsidR="003631F6">
        <w:t xml:space="preserve">Australian Sugar Milling Council, </w:t>
      </w:r>
      <w:proofErr w:type="gramStart"/>
      <w:r w:rsidR="003631F6">
        <w:t>October, available at</w:t>
      </w:r>
      <w:r w:rsidR="008F62D7">
        <w:t xml:space="preserve"> </w:t>
      </w:r>
      <w:hyperlink r:id="rId39" w:history="1">
        <w:r w:rsidR="008F62D7" w:rsidRPr="008F62D7">
          <w:rPr>
            <w:rStyle w:val="Hyperlink"/>
          </w:rPr>
          <w:t>qpc.qld.gov.au/files/uploads/2015/10/Australian-Sugar-Milling-Council-Submission.pdf</w:t>
        </w:r>
      </w:hyperlink>
      <w:proofErr w:type="gramEnd"/>
      <w:r w:rsidR="008F62D7">
        <w:t xml:space="preserve"> (pdf 552.3kb)</w:t>
      </w:r>
      <w:r w:rsidR="00D44BE8" w:rsidRPr="00843290">
        <w:t>.</w:t>
      </w:r>
      <w:r w:rsidR="00D44BE8">
        <w:t xml:space="preserve"> </w:t>
      </w:r>
    </w:p>
    <w:p w14:paraId="35B3E1DC" w14:textId="1C301B56" w:rsidR="00DB293E" w:rsidRDefault="00DB293E" w:rsidP="00DB293E">
      <w:pPr>
        <w:pStyle w:val="BodyText1"/>
      </w:pPr>
      <w:r>
        <w:lastRenderedPageBreak/>
        <w:t xml:space="preserve">—— </w:t>
      </w:r>
      <w:r w:rsidR="0053573D">
        <w:t>2014</w:t>
      </w:r>
      <w:r>
        <w:t xml:space="preserve">, </w:t>
      </w:r>
      <w:r w:rsidR="00222FF7" w:rsidRPr="007F4FBD">
        <w:t xml:space="preserve">Submission to </w:t>
      </w:r>
      <w:r w:rsidR="00222FF7">
        <w:t>the Senate Standing Committee on Rural and Regional Affairs and Transport Inquir</w:t>
      </w:r>
      <w:r w:rsidR="00C53EF5">
        <w:t>y into</w:t>
      </w:r>
      <w:r w:rsidR="00222FF7" w:rsidRPr="007F4FBD">
        <w:rPr>
          <w:rStyle w:val="Italic"/>
        </w:rPr>
        <w:t xml:space="preserve"> </w:t>
      </w:r>
      <w:r w:rsidRPr="007F4FBD">
        <w:rPr>
          <w:rStyle w:val="Italic"/>
        </w:rPr>
        <w:t>Current and future arrangements for the marketing of Australian sugar</w:t>
      </w:r>
      <w:r w:rsidRPr="007F4FBD">
        <w:t>,</w:t>
      </w:r>
      <w:r>
        <w:t xml:space="preserve"> Australian Sugar Milling Council, </w:t>
      </w:r>
      <w:r w:rsidR="00C53EF5">
        <w:t xml:space="preserve">October, </w:t>
      </w:r>
      <w:r>
        <w:t xml:space="preserve">available at </w:t>
      </w:r>
      <w:hyperlink r:id="rId40" w:history="1">
        <w:r w:rsidR="00785C9B">
          <w:rPr>
            <w:rStyle w:val="Hyperlink"/>
          </w:rPr>
          <w:t>aph.gov.au/Parliamentary_Business/Committees/Senate/Rural_and_Regional_Affairs_and_Transport/Sugar/Submissions</w:t>
        </w:r>
      </w:hyperlink>
      <w:r>
        <w:t>.</w:t>
      </w:r>
    </w:p>
    <w:p w14:paraId="519A3394" w14:textId="63BEB972" w:rsidR="00FB7EA6" w:rsidRDefault="00FB7EA6" w:rsidP="00FB7EA6">
      <w:pPr>
        <w:pStyle w:val="BodyText1"/>
      </w:pPr>
      <w:r>
        <w:t xml:space="preserve">BITRE 2015, </w:t>
      </w:r>
      <w:proofErr w:type="spellStart"/>
      <w:r w:rsidRPr="00961421">
        <w:rPr>
          <w:rStyle w:val="Italic"/>
        </w:rPr>
        <w:t>Freightline</w:t>
      </w:r>
      <w:proofErr w:type="spellEnd"/>
      <w:r w:rsidRPr="00961421">
        <w:rPr>
          <w:rStyle w:val="Italic"/>
        </w:rPr>
        <w:t xml:space="preserve"> 3 </w:t>
      </w:r>
      <w:r w:rsidR="00AD330B">
        <w:rPr>
          <w:rStyle w:val="Italic"/>
        </w:rPr>
        <w:t>-</w:t>
      </w:r>
      <w:r w:rsidRPr="00961421">
        <w:rPr>
          <w:rStyle w:val="Italic"/>
        </w:rPr>
        <w:t xml:space="preserve"> Australian sugar freight transport</w:t>
      </w:r>
      <w:r>
        <w:t xml:space="preserve">, Bureau of Infrastructure, Transport and Regional Economics, Canberra, available at </w:t>
      </w:r>
      <w:hyperlink r:id="rId41" w:history="1">
        <w:r w:rsidRPr="00785C9B">
          <w:rPr>
            <w:rStyle w:val="Hyperlink"/>
          </w:rPr>
          <w:t>bitre.gov.au/publications/index.aspx</w:t>
        </w:r>
      </w:hyperlink>
      <w:r>
        <w:t xml:space="preserve">. </w:t>
      </w:r>
    </w:p>
    <w:p w14:paraId="23B99DD1" w14:textId="695833A6" w:rsidR="00FB7EA6" w:rsidRDefault="00FB7EA6" w:rsidP="00343AD3">
      <w:pPr>
        <w:pStyle w:val="BodyText1"/>
      </w:pPr>
      <w:proofErr w:type="spellStart"/>
      <w:r>
        <w:t>Breguet</w:t>
      </w:r>
      <w:proofErr w:type="spellEnd"/>
      <w:r w:rsidR="003202F4">
        <w:t>,</w:t>
      </w:r>
      <w:r>
        <w:t xml:space="preserve"> P 2011, ‘Assessing the future of the Australian sugar industry’, Queensland Sugar Limited, available at </w:t>
      </w:r>
      <w:hyperlink r:id="rId42" w:history="1">
        <w:r w:rsidRPr="00080C88">
          <w:rPr>
            <w:rStyle w:val="Hyperlink"/>
          </w:rPr>
          <w:t>qsl.com.au/sites/default/files/QSL%20FO%20Licht%20presentation%20China%20Sept%202011.pdf</w:t>
        </w:r>
      </w:hyperlink>
      <w:r w:rsidR="00754951">
        <w:rPr>
          <w:rStyle w:val="Hyperlink"/>
        </w:rPr>
        <w:t xml:space="preserve"> </w:t>
      </w:r>
      <w:r w:rsidR="00754951" w:rsidRPr="00343AD3">
        <w:rPr>
          <w:rStyle w:val="Hyperlink"/>
          <w:color w:val="000000" w:themeColor="text1"/>
          <w:u w:val="none"/>
        </w:rPr>
        <w:t>(1.62</w:t>
      </w:r>
      <w:r w:rsidR="00343AD3" w:rsidRPr="00343AD3">
        <w:rPr>
          <w:rStyle w:val="Hyperlink"/>
          <w:color w:val="000000" w:themeColor="text1"/>
          <w:u w:val="none"/>
        </w:rPr>
        <w:t>mb</w:t>
      </w:r>
      <w:r w:rsidR="00754951" w:rsidRPr="00343AD3">
        <w:rPr>
          <w:rStyle w:val="Hyperlink"/>
          <w:color w:val="000000" w:themeColor="text1"/>
          <w:u w:val="none"/>
        </w:rPr>
        <w:t>)</w:t>
      </w:r>
      <w:r w:rsidRPr="00343AD3">
        <w:t xml:space="preserve">. </w:t>
      </w:r>
    </w:p>
    <w:p w14:paraId="22E827BB" w14:textId="3C3F2774" w:rsidR="00FB7EA6" w:rsidRDefault="00FB7EA6" w:rsidP="00FB7EA6">
      <w:pPr>
        <w:pStyle w:val="BodyText1"/>
      </w:pPr>
      <w:r w:rsidRPr="004F2D37">
        <w:t xml:space="preserve">Butcher, K 2012, </w:t>
      </w:r>
      <w:r w:rsidRPr="004F2D37">
        <w:rPr>
          <w:rStyle w:val="Italic"/>
        </w:rPr>
        <w:t>Futures made Simple: The essential guide to trading futures, without all the fuss</w:t>
      </w:r>
      <w:r w:rsidRPr="004F2D37">
        <w:t xml:space="preserve">, John Wiley &amp; Sons, New Jersey. </w:t>
      </w:r>
    </w:p>
    <w:p w14:paraId="6B7AB5C9" w14:textId="5368F2DD" w:rsidR="00FB7EA6" w:rsidRDefault="00A333C9" w:rsidP="00FB7EA6">
      <w:pPr>
        <w:pStyle w:val="BodyText1"/>
      </w:pPr>
      <w:r w:rsidRPr="00A333C9">
        <w:t>Canegrowers</w:t>
      </w:r>
      <w:r w:rsidR="00FB7EA6">
        <w:t xml:space="preserve"> 2010, ‘Statistics facts &amp; figures’, Canegrowers, available at </w:t>
      </w:r>
      <w:hyperlink r:id="rId43" w:history="1">
        <w:r w:rsidR="00FB7EA6" w:rsidRPr="00080C88">
          <w:rPr>
            <w:rStyle w:val="Hyperlink"/>
          </w:rPr>
          <w:t>canegrowers.com.au/page/Industry_Centre/About_Us/statistics-facts-figures/</w:t>
        </w:r>
      </w:hyperlink>
      <w:r w:rsidR="00FB7EA6">
        <w:t xml:space="preserve">. </w:t>
      </w:r>
    </w:p>
    <w:p w14:paraId="6B05A906" w14:textId="042256AC" w:rsidR="00B3208A" w:rsidRDefault="00B3208A" w:rsidP="00FB7EA6">
      <w:pPr>
        <w:pStyle w:val="BodyText1"/>
      </w:pPr>
      <w:r>
        <w:t xml:space="preserve">Canegrowers &amp; </w:t>
      </w:r>
      <w:r w:rsidR="00230EEA">
        <w:t>ACFA</w:t>
      </w:r>
      <w:r>
        <w:t xml:space="preserve"> 2015, </w:t>
      </w:r>
      <w:r w:rsidR="00230EEA" w:rsidRPr="001162FA">
        <w:t>Submission to the Queensland Productivity Commission</w:t>
      </w:r>
      <w:r w:rsidR="00230EEA">
        <w:t xml:space="preserve">'s regulatory impact assessment of the </w:t>
      </w:r>
      <w:r w:rsidR="00230EEA" w:rsidRPr="0060351B">
        <w:rPr>
          <w:rStyle w:val="Italic"/>
        </w:rPr>
        <w:t>Sugar Industry (Real Choice in Marketing) Amendment Bill 2015</w:t>
      </w:r>
      <w:r w:rsidR="00230EEA">
        <w:t>,</w:t>
      </w:r>
      <w:r w:rsidR="00230EEA" w:rsidRPr="00230EEA">
        <w:t xml:space="preserve"> </w:t>
      </w:r>
      <w:r w:rsidR="00230EEA">
        <w:t>Canegrowers &amp; Australian Cane Farmers Association, October, available at</w:t>
      </w:r>
      <w:r w:rsidR="00D674F8">
        <w:t xml:space="preserve"> </w:t>
      </w:r>
      <w:hyperlink r:id="rId44" w:history="1">
        <w:r w:rsidR="00D674F8" w:rsidRPr="00D674F8">
          <w:rPr>
            <w:rStyle w:val="Hyperlink"/>
          </w:rPr>
          <w:t>qpc.qld.gov.au/files/uploads/2015/10/Canegrowers-and-Australian-Cane-Farmers-Association-Joint-Submission.pdf</w:t>
        </w:r>
      </w:hyperlink>
      <w:r w:rsidR="00D674F8">
        <w:t xml:space="preserve"> (pdf 2.2mb)</w:t>
      </w:r>
      <w:r w:rsidR="00230EEA">
        <w:t>.</w:t>
      </w:r>
    </w:p>
    <w:p w14:paraId="4A63448C" w14:textId="37AED390" w:rsidR="00474A47" w:rsidRDefault="00474A47" w:rsidP="00FB7EA6">
      <w:pPr>
        <w:pStyle w:val="BodyText1"/>
      </w:pPr>
      <w:r>
        <w:t xml:space="preserve">Goesch, T, Lawson, K, Green, R </w:t>
      </w:r>
      <w:r w:rsidR="003202F4">
        <w:t>&amp;</w:t>
      </w:r>
      <w:r>
        <w:t xml:space="preserve"> Morey, K 2015, </w:t>
      </w:r>
      <w:r>
        <w:rPr>
          <w:rStyle w:val="Emphasis"/>
        </w:rPr>
        <w:t>Australia’s beef supply chains: infrastructure issues and implications</w:t>
      </w:r>
      <w:r>
        <w:t>, ABARES research report 15.7, Canberra, October</w:t>
      </w:r>
      <w:r w:rsidR="00B15A8A">
        <w:t>.</w:t>
      </w:r>
    </w:p>
    <w:p w14:paraId="5D9CE025" w14:textId="3CD89298" w:rsidR="00FB7EA6" w:rsidRDefault="00FB7EA6" w:rsidP="00FB7EA6">
      <w:pPr>
        <w:pStyle w:val="BodyText1"/>
      </w:pPr>
      <w:r>
        <w:t>Hannah</w:t>
      </w:r>
      <w:r w:rsidR="00230EEA">
        <w:t>,</w:t>
      </w:r>
      <w:r>
        <w:t xml:space="preserve"> A &amp; Spence</w:t>
      </w:r>
      <w:r w:rsidR="00230EEA">
        <w:t>,</w:t>
      </w:r>
      <w:r>
        <w:t xml:space="preserve"> D 1997, </w:t>
      </w:r>
      <w:proofErr w:type="gramStart"/>
      <w:r w:rsidRPr="00EA35EE">
        <w:rPr>
          <w:rStyle w:val="Italic"/>
        </w:rPr>
        <w:t>The</w:t>
      </w:r>
      <w:proofErr w:type="gramEnd"/>
      <w:r w:rsidRPr="00EA35EE">
        <w:rPr>
          <w:rStyle w:val="Italic"/>
        </w:rPr>
        <w:t xml:space="preserve"> International Sugar Trade</w:t>
      </w:r>
      <w:r>
        <w:t xml:space="preserve">, John Wiley &amp; Sons Inc., New York. </w:t>
      </w:r>
    </w:p>
    <w:p w14:paraId="664FDCA8" w14:textId="47FAB4A3" w:rsidR="00FB7EA6" w:rsidRPr="00814601" w:rsidRDefault="00FB7EA6" w:rsidP="00FB7EA6">
      <w:pPr>
        <w:pStyle w:val="BodyText1"/>
      </w:pPr>
      <w:r w:rsidRPr="00814601">
        <w:t xml:space="preserve">ICE Futures U.S. 2012, </w:t>
      </w:r>
      <w:r w:rsidRPr="00814601">
        <w:rPr>
          <w:rStyle w:val="Italic"/>
        </w:rPr>
        <w:t>Sugar No. 11 and Sugar No. 16</w:t>
      </w:r>
      <w:r>
        <w:t>, Intercontinental Exchange</w:t>
      </w:r>
      <w:r w:rsidRPr="00814601">
        <w:t xml:space="preserve"> Inc., US, </w:t>
      </w:r>
      <w:r>
        <w:t>available at</w:t>
      </w:r>
      <w:r w:rsidR="00D674F8">
        <w:t xml:space="preserve"> </w:t>
      </w:r>
      <w:hyperlink r:id="rId45" w:history="1">
        <w:r w:rsidR="00D674F8" w:rsidRPr="00D674F8">
          <w:rPr>
            <w:rStyle w:val="Hyperlink"/>
          </w:rPr>
          <w:t>theice.com/</w:t>
        </w:r>
        <w:proofErr w:type="spellStart"/>
        <w:r w:rsidR="00D674F8" w:rsidRPr="00D674F8">
          <w:rPr>
            <w:rStyle w:val="Hyperlink"/>
          </w:rPr>
          <w:t>publicdocs</w:t>
        </w:r>
        <w:proofErr w:type="spellEnd"/>
        <w:r w:rsidR="00D674F8" w:rsidRPr="00D674F8">
          <w:rPr>
            <w:rStyle w:val="Hyperlink"/>
          </w:rPr>
          <w:t>/ICE_Sugar_Brochure.pdf</w:t>
        </w:r>
      </w:hyperlink>
      <w:r w:rsidR="00D674F8">
        <w:t xml:space="preserve"> (pdf 1.18mb)</w:t>
      </w:r>
      <w:r w:rsidRPr="00814601">
        <w:t>.</w:t>
      </w:r>
    </w:p>
    <w:p w14:paraId="20D1047B" w14:textId="67BA93EC" w:rsidR="00FB7EA6" w:rsidRPr="004B7948" w:rsidRDefault="00FB7EA6" w:rsidP="00FB7EA6">
      <w:pPr>
        <w:pStyle w:val="BodyText1"/>
      </w:pPr>
      <w:r w:rsidRPr="004B7948">
        <w:t xml:space="preserve">Industry Commission 1992, </w:t>
      </w:r>
      <w:r w:rsidRPr="00FB7EA6">
        <w:t>The Australian Sugar Industry: Report No. 19</w:t>
      </w:r>
      <w:r w:rsidRPr="004B7948">
        <w:t xml:space="preserve">, Commonwealth of Australia, Canberra, </w:t>
      </w:r>
      <w:r>
        <w:t>available at</w:t>
      </w:r>
      <w:hyperlink r:id="rId46" w:history="1">
        <w:r w:rsidR="002A6011">
          <w:t xml:space="preserve"> </w:t>
        </w:r>
        <w:r w:rsidR="002A6011" w:rsidRPr="002A6011">
          <w:rPr>
            <w:rStyle w:val="Hyperlink"/>
          </w:rPr>
          <w:t>pc.gov.au/inquiries/completed/sugar/19sugar.pdf</w:t>
        </w:r>
      </w:hyperlink>
      <w:r w:rsidR="002A6011">
        <w:t xml:space="preserve"> (pdf 1.43mb)</w:t>
      </w:r>
      <w:r w:rsidRPr="004B7948">
        <w:t xml:space="preserve">. </w:t>
      </w:r>
    </w:p>
    <w:p w14:paraId="60DAD19B" w14:textId="01BD7EEA" w:rsidR="00FB7EA6" w:rsidRDefault="00FB7EA6" w:rsidP="00FB7EA6">
      <w:pPr>
        <w:pStyle w:val="BodyText1"/>
      </w:pPr>
      <w:r w:rsidRPr="007401A4">
        <w:t xml:space="preserve">New York Board of Trade 2006, </w:t>
      </w:r>
      <w:r w:rsidRPr="007401A4">
        <w:rPr>
          <w:rStyle w:val="Italic"/>
        </w:rPr>
        <w:t>Sugar: Futures &amp; Options</w:t>
      </w:r>
      <w:r w:rsidRPr="007401A4">
        <w:t xml:space="preserve">, New York Board of Trade, New York, </w:t>
      </w:r>
      <w:r>
        <w:t>available at</w:t>
      </w:r>
      <w:r w:rsidR="00E56E57">
        <w:t xml:space="preserve"> </w:t>
      </w:r>
      <w:hyperlink r:id="rId47" w:history="1">
        <w:r w:rsidR="00E56E57" w:rsidRPr="00E56E57">
          <w:rPr>
            <w:rStyle w:val="Hyperlink"/>
          </w:rPr>
          <w:t>gofutures.com/pdfs/sugar-futures-options.pdf</w:t>
        </w:r>
      </w:hyperlink>
      <w:r w:rsidR="00E56E57">
        <w:t xml:space="preserve"> (pdf 4.59mb)</w:t>
      </w:r>
      <w:r w:rsidRPr="007401A4">
        <w:t>.</w:t>
      </w:r>
    </w:p>
    <w:p w14:paraId="45A80378" w14:textId="425CA726" w:rsidR="00FB7EA6" w:rsidRDefault="00FB7EA6" w:rsidP="00FB7EA6">
      <w:pPr>
        <w:pStyle w:val="BodyText1"/>
      </w:pPr>
      <w:r>
        <w:t>Nguyen, N</w:t>
      </w:r>
      <w:r w:rsidR="00FF0BE8">
        <w:t>,</w:t>
      </w:r>
      <w:r>
        <w:t xml:space="preserve"> Mobsby, D</w:t>
      </w:r>
      <w:r w:rsidR="00FF0BE8" w:rsidRPr="00FF0BE8">
        <w:t xml:space="preserve"> </w:t>
      </w:r>
      <w:r w:rsidR="00FF0BE8">
        <w:t>&amp; Goesch, T</w:t>
      </w:r>
      <w:r>
        <w:t xml:space="preserve"> 2016, </w:t>
      </w:r>
      <w:r w:rsidRPr="00D81A8E">
        <w:rPr>
          <w:rStyle w:val="Italic"/>
        </w:rPr>
        <w:t>Farm share and price spread in food supply chains: background paper</w:t>
      </w:r>
      <w:r>
        <w:t>, Australian Bureau of Agricultural and Resource Economics and Sciences, Canberra.</w:t>
      </w:r>
    </w:p>
    <w:p w14:paraId="6A45FD30" w14:textId="689AFF15" w:rsidR="008E27A7" w:rsidRDefault="008E27A7" w:rsidP="00FB7EA6">
      <w:pPr>
        <w:pStyle w:val="BodyText1"/>
      </w:pPr>
      <w:r>
        <w:t xml:space="preserve">Productivity Commission 2016, </w:t>
      </w:r>
      <w:r w:rsidRPr="008E27A7">
        <w:rPr>
          <w:rStyle w:val="Italic"/>
        </w:rPr>
        <w:t>Regulation of Australian Agriculture</w:t>
      </w:r>
      <w:r>
        <w:t xml:space="preserve">, Report No. 79, Canberra, November, available at </w:t>
      </w:r>
      <w:hyperlink r:id="rId48" w:history="1">
        <w:r w:rsidRPr="008E27A7">
          <w:rPr>
            <w:rStyle w:val="Hyperlink"/>
          </w:rPr>
          <w:t>pc.gov.au/inquiries/completed/agriculture/report/agriculture.pdf</w:t>
        </w:r>
      </w:hyperlink>
      <w:r>
        <w:t xml:space="preserve"> (pdf </w:t>
      </w:r>
      <w:r w:rsidR="006318C7">
        <w:t>6.85mb).</w:t>
      </w:r>
    </w:p>
    <w:p w14:paraId="3FAB7BD9" w14:textId="31D931A4" w:rsidR="001047F8" w:rsidRDefault="001047F8" w:rsidP="00FB7EA6">
      <w:pPr>
        <w:pStyle w:val="BodyText1"/>
      </w:pPr>
      <w:r>
        <w:t xml:space="preserve">Queensland Productivity Commission 2015, </w:t>
      </w:r>
      <w:r w:rsidRPr="001047F8">
        <w:rPr>
          <w:rStyle w:val="Italic"/>
        </w:rPr>
        <w:t xml:space="preserve">Decision </w:t>
      </w:r>
      <w:r w:rsidR="00B3361F">
        <w:rPr>
          <w:rStyle w:val="Italic"/>
        </w:rPr>
        <w:t>R</w:t>
      </w:r>
      <w:r w:rsidRPr="001047F8">
        <w:rPr>
          <w:rStyle w:val="Italic"/>
        </w:rPr>
        <w:t xml:space="preserve">egulatory </w:t>
      </w:r>
      <w:r w:rsidR="00B3361F">
        <w:rPr>
          <w:rStyle w:val="Italic"/>
        </w:rPr>
        <w:t>I</w:t>
      </w:r>
      <w:r w:rsidRPr="001047F8">
        <w:rPr>
          <w:rStyle w:val="Italic"/>
        </w:rPr>
        <w:t xml:space="preserve">mpact </w:t>
      </w:r>
      <w:r w:rsidR="00B3361F">
        <w:rPr>
          <w:rStyle w:val="Italic"/>
        </w:rPr>
        <w:t>S</w:t>
      </w:r>
      <w:r w:rsidRPr="001047F8">
        <w:rPr>
          <w:rStyle w:val="Italic"/>
        </w:rPr>
        <w:t xml:space="preserve">tatement: </w:t>
      </w:r>
      <w:r w:rsidR="00B3361F">
        <w:rPr>
          <w:rStyle w:val="Italic"/>
        </w:rPr>
        <w:t>S</w:t>
      </w:r>
      <w:r w:rsidRPr="001047F8">
        <w:rPr>
          <w:rStyle w:val="Italic"/>
        </w:rPr>
        <w:t xml:space="preserve">ugar </w:t>
      </w:r>
      <w:r w:rsidR="00B3361F">
        <w:rPr>
          <w:rStyle w:val="Italic"/>
        </w:rPr>
        <w:t>I</w:t>
      </w:r>
      <w:r w:rsidRPr="001047F8">
        <w:rPr>
          <w:rStyle w:val="Italic"/>
        </w:rPr>
        <w:t>ndustry (</w:t>
      </w:r>
      <w:r w:rsidR="00B3361F">
        <w:rPr>
          <w:rStyle w:val="Italic"/>
        </w:rPr>
        <w:t>R</w:t>
      </w:r>
      <w:r w:rsidRPr="001047F8">
        <w:rPr>
          <w:rStyle w:val="Italic"/>
        </w:rPr>
        <w:t xml:space="preserve">eal </w:t>
      </w:r>
      <w:r w:rsidR="00B3361F">
        <w:rPr>
          <w:rStyle w:val="Italic"/>
        </w:rPr>
        <w:t>C</w:t>
      </w:r>
      <w:r w:rsidRPr="001047F8">
        <w:rPr>
          <w:rStyle w:val="Italic"/>
        </w:rPr>
        <w:t xml:space="preserve">hoice in </w:t>
      </w:r>
      <w:r w:rsidR="00B3361F">
        <w:rPr>
          <w:rStyle w:val="Italic"/>
        </w:rPr>
        <w:t>M</w:t>
      </w:r>
      <w:r w:rsidRPr="001047F8">
        <w:rPr>
          <w:rStyle w:val="Italic"/>
        </w:rPr>
        <w:t xml:space="preserve">arketing) </w:t>
      </w:r>
      <w:r w:rsidR="00B3361F">
        <w:rPr>
          <w:rStyle w:val="Italic"/>
        </w:rPr>
        <w:t>A</w:t>
      </w:r>
      <w:r w:rsidRPr="001047F8">
        <w:rPr>
          <w:rStyle w:val="Italic"/>
        </w:rPr>
        <w:t xml:space="preserve">mendment </w:t>
      </w:r>
      <w:r w:rsidR="00B3361F">
        <w:rPr>
          <w:rStyle w:val="Italic"/>
        </w:rPr>
        <w:t>B</w:t>
      </w:r>
      <w:r w:rsidRPr="001047F8">
        <w:rPr>
          <w:rStyle w:val="Italic"/>
        </w:rPr>
        <w:t>ill 2015</w:t>
      </w:r>
      <w:r>
        <w:t>, November, available at</w:t>
      </w:r>
      <w:r w:rsidR="001F43A6">
        <w:t xml:space="preserve"> </w:t>
      </w:r>
      <w:hyperlink r:id="rId49" w:history="1">
        <w:r w:rsidR="001F43A6" w:rsidRPr="001F43A6">
          <w:rPr>
            <w:rStyle w:val="Hyperlink"/>
          </w:rPr>
          <w:t>qpc.qld.gov.au/files/uploads/2015/11/Sugar-RIS-FINAL.pdf</w:t>
        </w:r>
      </w:hyperlink>
      <w:r w:rsidR="001F43A6">
        <w:t xml:space="preserve"> (pdf 2.88mb)</w:t>
      </w:r>
      <w:r>
        <w:t>.</w:t>
      </w:r>
    </w:p>
    <w:p w14:paraId="03775453" w14:textId="502D0C0D" w:rsidR="00FB7EA6" w:rsidRDefault="003969CC" w:rsidP="00485A45">
      <w:pPr>
        <w:pStyle w:val="BodyText1"/>
      </w:pPr>
      <w:r>
        <w:lastRenderedPageBreak/>
        <w:t>QSL 2016</w:t>
      </w:r>
      <w:r w:rsidR="00485A45">
        <w:t xml:space="preserve">, </w:t>
      </w:r>
      <w:r w:rsidR="00485A45" w:rsidRPr="00D85C80">
        <w:rPr>
          <w:rStyle w:val="Italic"/>
        </w:rPr>
        <w:t>QSL RSSA Marke</w:t>
      </w:r>
      <w:r w:rsidR="00485A45">
        <w:rPr>
          <w:rStyle w:val="Italic"/>
        </w:rPr>
        <w:t>ting Guide: 2016 Season Edition</w:t>
      </w:r>
      <w:r w:rsidR="00485A45">
        <w:t xml:space="preserve">, Queensland Sugar Limited, Brisbane. </w:t>
      </w:r>
    </w:p>
    <w:p w14:paraId="2C2D9D29" w14:textId="3405AB3A" w:rsidR="00FB7EA6" w:rsidRDefault="00FB7EA6" w:rsidP="00FB7EA6">
      <w:pPr>
        <w:pStyle w:val="BodyText1"/>
      </w:pPr>
      <w:r>
        <w:t>—— 2015</w:t>
      </w:r>
      <w:r w:rsidR="00D869B9">
        <w:t>a</w:t>
      </w:r>
      <w:r>
        <w:t xml:space="preserve">, </w:t>
      </w:r>
      <w:r w:rsidRPr="008170C7">
        <w:rPr>
          <w:rStyle w:val="Italic"/>
        </w:rPr>
        <w:t>QSL: Working for YOU: Annual Report 2014/15</w:t>
      </w:r>
      <w:r>
        <w:t xml:space="preserve">, Queensland Sugar Limited, Brisbane, available at </w:t>
      </w:r>
      <w:hyperlink r:id="rId50" w:history="1">
        <w:r w:rsidRPr="00785C9B">
          <w:rPr>
            <w:rStyle w:val="Hyperlink"/>
          </w:rPr>
          <w:t>qsl.com.au/media-publications/annual-reports</w:t>
        </w:r>
      </w:hyperlink>
      <w:r>
        <w:t xml:space="preserve">. </w:t>
      </w:r>
    </w:p>
    <w:p w14:paraId="1A78DA8A" w14:textId="3D759CD4" w:rsidR="00643C41" w:rsidRPr="00F727C9" w:rsidRDefault="00643C41" w:rsidP="00FB7EA6">
      <w:pPr>
        <w:pStyle w:val="BodyText1"/>
      </w:pPr>
      <w:r>
        <w:t>—— 2015</w:t>
      </w:r>
      <w:r w:rsidR="00D869B9">
        <w:t>b</w:t>
      </w:r>
      <w:r>
        <w:t xml:space="preserve">, </w:t>
      </w:r>
      <w:r w:rsidRPr="00643C41">
        <w:rPr>
          <w:rStyle w:val="Italic"/>
        </w:rPr>
        <w:t>QSL Shared Pool: An Overview - 2016 Season</w:t>
      </w:r>
      <w:r>
        <w:t xml:space="preserve">, </w:t>
      </w:r>
      <w:r w:rsidR="00D869B9">
        <w:t xml:space="preserve">Queensland Sugar Limited, Brisbane, </w:t>
      </w:r>
      <w:r>
        <w:t>available at</w:t>
      </w:r>
      <w:r w:rsidR="00E52EFB">
        <w:t xml:space="preserve"> </w:t>
      </w:r>
      <w:hyperlink r:id="rId51" w:history="1">
        <w:r w:rsidR="00E52EFB" w:rsidRPr="00E52EFB">
          <w:rPr>
            <w:rStyle w:val="Hyperlink"/>
          </w:rPr>
          <w:t>qsl.com.au/sites/default/files/2016%20Shared%20Pool.pdf</w:t>
        </w:r>
      </w:hyperlink>
      <w:r w:rsidR="00E52EFB">
        <w:t xml:space="preserve"> (pdf 54.4kb)</w:t>
      </w:r>
      <w:r>
        <w:t xml:space="preserve">. </w:t>
      </w:r>
    </w:p>
    <w:p w14:paraId="27CDD89F" w14:textId="34D5FEBD" w:rsidR="00D869B9" w:rsidRDefault="00D869B9" w:rsidP="00C61740">
      <w:pPr>
        <w:pStyle w:val="BodyText1"/>
      </w:pPr>
      <w:r>
        <w:t xml:space="preserve">—— 2013, </w:t>
      </w:r>
      <w:r w:rsidRPr="00D85C80">
        <w:rPr>
          <w:rStyle w:val="Italic"/>
        </w:rPr>
        <w:t>QSL RSSA Marketing Guide: 2013 Season Edition</w:t>
      </w:r>
      <w:r>
        <w:t xml:space="preserve">, Queensland Sugar Limited, Brisbane, available at </w:t>
      </w:r>
      <w:hyperlink r:id="rId52" w:history="1">
        <w:r w:rsidRPr="005A00E8">
          <w:rPr>
            <w:rStyle w:val="Hyperlink"/>
          </w:rPr>
          <w:t>qsl.com.au/sites/default/files/QSL%20RSSA%20Marketing%20Guide.pdf</w:t>
        </w:r>
      </w:hyperlink>
      <w:r w:rsidR="00E52EFB">
        <w:rPr>
          <w:rStyle w:val="Hyperlink"/>
        </w:rPr>
        <w:t xml:space="preserve"> </w:t>
      </w:r>
      <w:r w:rsidR="00E52EFB" w:rsidRPr="00C61740">
        <w:rPr>
          <w:rStyle w:val="Hyperlink"/>
          <w:color w:val="000000" w:themeColor="text1"/>
          <w:u w:val="none"/>
        </w:rPr>
        <w:t xml:space="preserve">(pdf </w:t>
      </w:r>
      <w:r w:rsidR="00C61740" w:rsidRPr="00C61740">
        <w:rPr>
          <w:rStyle w:val="Hyperlink"/>
          <w:color w:val="000000" w:themeColor="text1"/>
          <w:u w:val="none"/>
        </w:rPr>
        <w:t>713.3kb)</w:t>
      </w:r>
      <w:r>
        <w:t>.</w:t>
      </w:r>
    </w:p>
    <w:p w14:paraId="426B49BF" w14:textId="3D6CDEC7" w:rsidR="00FB7EA6" w:rsidRDefault="00FB7EA6" w:rsidP="00FB7EA6">
      <w:pPr>
        <w:pStyle w:val="BodyText1"/>
      </w:pPr>
      <w:r>
        <w:t xml:space="preserve">Queensland Transport and Logistics Council 2014, </w:t>
      </w:r>
      <w:r w:rsidRPr="00973519">
        <w:rPr>
          <w:rStyle w:val="Italic"/>
        </w:rPr>
        <w:t>Supply Chain Perspectives: Sugar</w:t>
      </w:r>
      <w:r>
        <w:t xml:space="preserve">, Queensland Transport and Logistics Council, available at </w:t>
      </w:r>
      <w:hyperlink r:id="rId53" w:history="1">
        <w:r w:rsidRPr="00785C9B">
          <w:rPr>
            <w:rStyle w:val="Hyperlink"/>
          </w:rPr>
          <w:t>qtlc.com.au/</w:t>
        </w:r>
      </w:hyperlink>
      <w:r>
        <w:t xml:space="preserve">. </w:t>
      </w:r>
    </w:p>
    <w:p w14:paraId="7121610E" w14:textId="021730FF" w:rsidR="00FB7EA6" w:rsidRPr="005717E7" w:rsidRDefault="00FB7EA6" w:rsidP="00FB7EA6">
      <w:pPr>
        <w:pStyle w:val="BodyText1"/>
      </w:pPr>
      <w:r>
        <w:t xml:space="preserve">Sunshine Sugar 2015, </w:t>
      </w:r>
      <w:r w:rsidRPr="002265FF">
        <w:rPr>
          <w:rStyle w:val="Italic"/>
        </w:rPr>
        <w:t>Manildra Harwood Sugars</w:t>
      </w:r>
      <w:r>
        <w:t xml:space="preserve">, Sunshine Sugar, available at </w:t>
      </w:r>
      <w:hyperlink r:id="rId54" w:history="1">
        <w:r w:rsidRPr="00785C9B">
          <w:rPr>
            <w:rStyle w:val="Hyperlink"/>
          </w:rPr>
          <w:t>nswsugar.com.au/</w:t>
        </w:r>
      </w:hyperlink>
      <w:r>
        <w:t>.</w:t>
      </w:r>
    </w:p>
    <w:p w14:paraId="289536F8" w14:textId="77777777" w:rsidR="00FB7EA6" w:rsidRDefault="00FB7EA6" w:rsidP="00FB7EA6">
      <w:pPr>
        <w:pStyle w:val="BodyText1"/>
      </w:pPr>
      <w:r>
        <w:t xml:space="preserve">Spencer, S 2004, </w:t>
      </w:r>
      <w:r w:rsidRPr="00FC1DF6">
        <w:rPr>
          <w:rStyle w:val="Italic"/>
        </w:rPr>
        <w:t>Price Determination in the Australian Food Industry, A report</w:t>
      </w:r>
      <w:r>
        <w:t xml:space="preserve">, Australian Government Department of Agriculture, Fisheries and Forestry, Canberra. </w:t>
      </w:r>
    </w:p>
    <w:p w14:paraId="7F6A9CAF" w14:textId="376FE660" w:rsidR="00FB7EA6" w:rsidRDefault="00FB7EA6" w:rsidP="00FB7EA6">
      <w:pPr>
        <w:pStyle w:val="BodyText1"/>
      </w:pPr>
      <w:r>
        <w:t xml:space="preserve">Trade &amp; Investment Queensland Australia 2015, </w:t>
      </w:r>
      <w:r w:rsidRPr="00615287">
        <w:rPr>
          <w:rStyle w:val="Italic"/>
        </w:rPr>
        <w:t>Korea-Australia Free Trade Agreement</w:t>
      </w:r>
      <w:r w:rsidRPr="00615287">
        <w:t xml:space="preserve">, Queensland Government, </w:t>
      </w:r>
      <w:r>
        <w:t>available at</w:t>
      </w:r>
      <w:r w:rsidR="00A17BF3">
        <w:t xml:space="preserve"> </w:t>
      </w:r>
      <w:hyperlink r:id="rId55" w:history="1">
        <w:r w:rsidR="00A17BF3" w:rsidRPr="00A17BF3">
          <w:rPr>
            <w:rStyle w:val="Hyperlink"/>
          </w:rPr>
          <w:t>tiq.qld.gov.au/wp-content/uploads/2015/08/TIQ-782-14-KAFTA-flyer-EndOpps.pdf</w:t>
        </w:r>
      </w:hyperlink>
      <w:r w:rsidR="00A17BF3">
        <w:t xml:space="preserve"> (pdf 443.4kb)</w:t>
      </w:r>
      <w:r>
        <w:t xml:space="preserve">. </w:t>
      </w:r>
    </w:p>
    <w:p w14:paraId="4B5AADD2" w14:textId="6F874195" w:rsidR="00450A4C" w:rsidRDefault="00450A4C" w:rsidP="00450A4C">
      <w:pPr>
        <w:pStyle w:val="BodyText1"/>
      </w:pPr>
      <w:r>
        <w:t xml:space="preserve">USDA </w:t>
      </w:r>
      <w:r w:rsidR="0010021A">
        <w:t xml:space="preserve">ERS </w:t>
      </w:r>
      <w:r>
        <w:t>2016</w:t>
      </w:r>
      <w:r w:rsidR="001E010B">
        <w:t>a</w:t>
      </w:r>
      <w:r>
        <w:t xml:space="preserve">, ‘Sugar and Sweeteners Yearbook Tables’, United States Department of Agriculture Economic Research Service, available at </w:t>
      </w:r>
      <w:hyperlink r:id="rId56" w:history="1">
        <w:r w:rsidRPr="005A00E8">
          <w:rPr>
            <w:rStyle w:val="Hyperlink"/>
          </w:rPr>
          <w:t>ers.usda.gov/data-products/sugar-and-sweeteners-yearbook-tables.aspx</w:t>
        </w:r>
      </w:hyperlink>
    </w:p>
    <w:p w14:paraId="3809E88D" w14:textId="6E48AF4C" w:rsidR="00FB7EA6" w:rsidRDefault="00450A4C" w:rsidP="00FB7EA6">
      <w:pPr>
        <w:pStyle w:val="BodyText1"/>
      </w:pPr>
      <w:r>
        <w:t>——</w:t>
      </w:r>
      <w:r w:rsidR="0010021A">
        <w:t xml:space="preserve"> </w:t>
      </w:r>
      <w:r w:rsidR="00FB7EA6">
        <w:t>201</w:t>
      </w:r>
      <w:r w:rsidR="001E010B">
        <w:t>6b</w:t>
      </w:r>
      <w:r w:rsidR="00FB7EA6">
        <w:t xml:space="preserve">, </w:t>
      </w:r>
      <w:r w:rsidR="00FB7EA6" w:rsidRPr="00600138">
        <w:rPr>
          <w:rStyle w:val="Italic"/>
        </w:rPr>
        <w:t>Price</w:t>
      </w:r>
      <w:r w:rsidR="00FB7EA6">
        <w:rPr>
          <w:rStyle w:val="Italic"/>
        </w:rPr>
        <w:t xml:space="preserve"> s</w:t>
      </w:r>
      <w:r w:rsidR="00FB7EA6" w:rsidRPr="00600138">
        <w:rPr>
          <w:rStyle w:val="Italic"/>
        </w:rPr>
        <w:t xml:space="preserve">preads from </w:t>
      </w:r>
      <w:r w:rsidR="00FB7EA6">
        <w:rPr>
          <w:rStyle w:val="Italic"/>
        </w:rPr>
        <w:t>f</w:t>
      </w:r>
      <w:r w:rsidR="00FB7EA6" w:rsidRPr="00600138">
        <w:rPr>
          <w:rStyle w:val="Italic"/>
        </w:rPr>
        <w:t xml:space="preserve">arm to </w:t>
      </w:r>
      <w:r w:rsidR="00FB7EA6">
        <w:rPr>
          <w:rStyle w:val="Italic"/>
        </w:rPr>
        <w:t>c</w:t>
      </w:r>
      <w:r w:rsidR="00FB7EA6" w:rsidRPr="00600138">
        <w:rPr>
          <w:rStyle w:val="Italic"/>
        </w:rPr>
        <w:t>onsumer</w:t>
      </w:r>
      <w:r w:rsidR="00FB7EA6">
        <w:t xml:space="preserve">, United States Department of Agriculture Economic Research Service, available at </w:t>
      </w:r>
      <w:hyperlink r:id="rId57" w:history="1">
        <w:r w:rsidR="00FB7EA6" w:rsidRPr="00785C9B">
          <w:rPr>
            <w:rStyle w:val="Hyperlink"/>
          </w:rPr>
          <w:t>ers.usda.gov/data-products/price-spreads-from-farm-to-consumer.aspx</w:t>
        </w:r>
      </w:hyperlink>
      <w:r w:rsidR="00FB7EA6">
        <w:t xml:space="preserve">. </w:t>
      </w:r>
    </w:p>
    <w:p w14:paraId="249BB981" w14:textId="3A002CF7" w:rsidR="00490323" w:rsidRDefault="00490323" w:rsidP="00FB7EA6">
      <w:pPr>
        <w:pStyle w:val="BodyText1"/>
      </w:pPr>
      <w:r>
        <w:t xml:space="preserve">—— 2015, Documentation: How ERS Calculates Farm Share for Individual Foods, United States Department of Agriculture Economic Research Service, available at </w:t>
      </w:r>
      <w:hyperlink r:id="rId58" w:anchor="Conversion" w:history="1">
        <w:r w:rsidRPr="00785C9B">
          <w:rPr>
            <w:rStyle w:val="Hyperlink"/>
          </w:rPr>
          <w:t>ers.usda.gov/data-products/price-spreads-from-farm-to-consumer/documentation/#Conversion</w:t>
        </w:r>
      </w:hyperlink>
      <w:r>
        <w:t xml:space="preserve">. </w:t>
      </w:r>
    </w:p>
    <w:p w14:paraId="66E42F13" w14:textId="46C552EE" w:rsidR="00FB7EA6" w:rsidRDefault="00FB7EA6" w:rsidP="00FB7EA6">
      <w:pPr>
        <w:pStyle w:val="BodyText1"/>
      </w:pPr>
      <w:r>
        <w:t>Valle</w:t>
      </w:r>
      <w:r w:rsidR="003202F4">
        <w:t>,</w:t>
      </w:r>
      <w:r>
        <w:t xml:space="preserve"> H </w:t>
      </w:r>
      <w:r w:rsidR="003202F4">
        <w:t>&amp;</w:t>
      </w:r>
      <w:r>
        <w:t xml:space="preserve"> Martin</w:t>
      </w:r>
      <w:r w:rsidR="003202F4">
        <w:t>,</w:t>
      </w:r>
      <w:r>
        <w:t xml:space="preserve"> P 2015, </w:t>
      </w:r>
      <w:r w:rsidRPr="007F44B6">
        <w:rPr>
          <w:rStyle w:val="Italic"/>
        </w:rPr>
        <w:t>Australian sugar cane farm businesses: Financial performance, 2013–14</w:t>
      </w:r>
      <w:r>
        <w:t>, Australian Bureau of Agricultural and Resource Economics and Sciences, Canberra.</w:t>
      </w:r>
    </w:p>
    <w:p w14:paraId="56B893B9" w14:textId="3D9A2C73" w:rsidR="003517F5" w:rsidRDefault="00773539" w:rsidP="00FB7EA6">
      <w:r>
        <w:t>Wilmar Sugar</w:t>
      </w:r>
      <w:r w:rsidR="00450A4C">
        <w:t xml:space="preserve"> </w:t>
      </w:r>
      <w:r w:rsidR="00FB7EA6" w:rsidRPr="001E6611">
        <w:t xml:space="preserve">2014, </w:t>
      </w:r>
      <w:r w:rsidR="003517F5" w:rsidRPr="007F4FBD">
        <w:t xml:space="preserve">Submission to </w:t>
      </w:r>
      <w:r w:rsidR="003517F5">
        <w:t>the Senate Standing Committee on Rural and Regional Affairs and Transport Inquiry into</w:t>
      </w:r>
      <w:r w:rsidR="003517F5" w:rsidRPr="007F4FBD">
        <w:rPr>
          <w:rStyle w:val="Italic"/>
        </w:rPr>
        <w:t xml:space="preserve"> Current and future arrangements for the marketing of Australian sugar</w:t>
      </w:r>
      <w:r w:rsidR="00FB7EA6" w:rsidRPr="001E6611">
        <w:t xml:space="preserve">, Wilmar Sugar Australia Limited, </w:t>
      </w:r>
      <w:r w:rsidR="003517F5">
        <w:t>October</w:t>
      </w:r>
      <w:r w:rsidR="00FB7EA6" w:rsidRPr="001E6611">
        <w:t xml:space="preserve">, </w:t>
      </w:r>
      <w:r w:rsidR="00FB7EA6">
        <w:t xml:space="preserve">available at </w:t>
      </w:r>
      <w:hyperlink r:id="rId59" w:history="1">
        <w:r w:rsidR="00FB7EA6" w:rsidRPr="00785C9B">
          <w:rPr>
            <w:rStyle w:val="Hyperlink"/>
          </w:rPr>
          <w:t>aph.gov.au/Parliamentary_Business/Committees/Senate/Rural_and_Regional_Affairs_and_Transport/Sugar/Submissions</w:t>
        </w:r>
      </w:hyperlink>
      <w:r w:rsidR="00B15A8A">
        <w:t>.</w:t>
      </w:r>
    </w:p>
    <w:p w14:paraId="74778ECC" w14:textId="37BD74F5" w:rsidR="00FB7EA6" w:rsidRDefault="00FB7EA6" w:rsidP="00FB7EA6">
      <w:pPr>
        <w:pStyle w:val="BodyText1"/>
      </w:pPr>
    </w:p>
    <w:p w14:paraId="29AE1CA0" w14:textId="77777777" w:rsidR="00FB7EA6" w:rsidRDefault="00FB7EA6" w:rsidP="00FB7EA6">
      <w:pPr>
        <w:pStyle w:val="BodyText1"/>
      </w:pPr>
    </w:p>
    <w:p w14:paraId="178CEAFD" w14:textId="77777777" w:rsidR="00FB7EA6" w:rsidRPr="005717E7" w:rsidRDefault="00FB7EA6" w:rsidP="00FB7EA6">
      <w:pPr>
        <w:pStyle w:val="BodyText1"/>
      </w:pPr>
    </w:p>
    <w:sectPr w:rsidR="00FB7EA6" w:rsidRPr="005717E7" w:rsidSect="00526A4F">
      <w:headerReference w:type="even" r:id="rId60"/>
      <w:headerReference w:type="default" r:id="rId61"/>
      <w:footerReference w:type="even" r:id="rId62"/>
      <w:footerReference w:type="default" r:id="rId63"/>
      <w:headerReference w:type="first" r:id="rId64"/>
      <w:footerReference w:type="first" r:id="rId65"/>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468C3D" w14:textId="77777777" w:rsidR="00011FF0" w:rsidRPr="00F77DD5" w:rsidRDefault="00011FF0" w:rsidP="00AA73EC">
      <w:r>
        <w:separator/>
      </w:r>
    </w:p>
    <w:p w14:paraId="517EF366" w14:textId="77777777" w:rsidR="00011FF0" w:rsidRDefault="00011FF0"/>
    <w:p w14:paraId="0E4C77FC" w14:textId="77777777" w:rsidR="00011FF0" w:rsidRDefault="00011FF0"/>
  </w:endnote>
  <w:endnote w:type="continuationSeparator" w:id="0">
    <w:p w14:paraId="7092861E" w14:textId="77777777" w:rsidR="00011FF0" w:rsidRPr="00F77DD5" w:rsidRDefault="00011FF0" w:rsidP="00AA73EC">
      <w:r>
        <w:continuationSeparator/>
      </w:r>
    </w:p>
    <w:p w14:paraId="40301B31" w14:textId="77777777" w:rsidR="00011FF0" w:rsidRDefault="00011FF0"/>
    <w:p w14:paraId="10900F07" w14:textId="77777777" w:rsidR="00011FF0" w:rsidRDefault="00011FF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48493E" w14:textId="77777777" w:rsidR="00011FF0" w:rsidRDefault="00011FF0" w:rsidP="00AA73EC">
    <w:pPr>
      <w:jc w:val="center"/>
    </w:pPr>
    <w:r>
      <w:fldChar w:fldCharType="begin"/>
    </w:r>
    <w:r>
      <w:instrText xml:space="preserve"> PAGE \* roman </w:instrText>
    </w:r>
    <w:r>
      <w:fldChar w:fldCharType="separate"/>
    </w:r>
    <w:r w:rsidR="00623A3F">
      <w:rPr>
        <w:noProof/>
      </w:rPr>
      <w:t>iv</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516A0B" w14:textId="77777777" w:rsidR="00011FF0" w:rsidRDefault="00011FF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5664228"/>
      <w:docPartObj>
        <w:docPartGallery w:val="Page Numbers (Bottom of Page)"/>
        <w:docPartUnique/>
      </w:docPartObj>
    </w:sdtPr>
    <w:sdtEndPr>
      <w:rPr>
        <w:noProof/>
      </w:rPr>
    </w:sdtEndPr>
    <w:sdtContent>
      <w:p w14:paraId="0CEF9DA5" w14:textId="77777777" w:rsidR="00011FF0" w:rsidRDefault="00011FF0">
        <w:pPr>
          <w:pStyle w:val="Footer"/>
          <w:jc w:val="center"/>
        </w:pPr>
        <w:r>
          <w:fldChar w:fldCharType="begin"/>
        </w:r>
        <w:r>
          <w:instrText xml:space="preserve"> PAGE   \* MERGEFORMAT </w:instrText>
        </w:r>
        <w:r>
          <w:fldChar w:fldCharType="separate"/>
        </w:r>
        <w:r w:rsidR="00623A3F">
          <w:rPr>
            <w:noProof/>
          </w:rPr>
          <w:t>17</w:t>
        </w:r>
        <w:r>
          <w:rPr>
            <w:noProof/>
          </w:rPr>
          <w:fldChar w:fldCharType="end"/>
        </w:r>
      </w:p>
    </w:sdtContent>
  </w:sdt>
  <w:p w14:paraId="5F7F809B" w14:textId="77777777" w:rsidR="00011FF0" w:rsidRDefault="00011FF0">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5B733C" w14:textId="77777777" w:rsidR="00011FF0" w:rsidRDefault="00011FF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080CB1" w14:textId="77777777" w:rsidR="00011FF0" w:rsidRPr="00F77DD5" w:rsidRDefault="00011FF0" w:rsidP="00AA73EC">
      <w:r>
        <w:separator/>
      </w:r>
    </w:p>
    <w:p w14:paraId="4CDBAEA7" w14:textId="77777777" w:rsidR="00011FF0" w:rsidRDefault="00011FF0"/>
    <w:p w14:paraId="22C81A08" w14:textId="77777777" w:rsidR="00011FF0" w:rsidRDefault="00011FF0"/>
  </w:footnote>
  <w:footnote w:type="continuationSeparator" w:id="0">
    <w:p w14:paraId="7177A3CD" w14:textId="77777777" w:rsidR="00011FF0" w:rsidRPr="00F77DD5" w:rsidRDefault="00011FF0" w:rsidP="00AA73EC">
      <w:r>
        <w:continuationSeparator/>
      </w:r>
    </w:p>
    <w:p w14:paraId="15D3F5AC" w14:textId="77777777" w:rsidR="00011FF0" w:rsidRDefault="00011FF0"/>
    <w:p w14:paraId="7F84873F" w14:textId="77777777" w:rsidR="00011FF0" w:rsidRDefault="00011FF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58F5C3" w14:textId="64C00E67" w:rsidR="00011FF0" w:rsidRDefault="00011FF0" w:rsidP="00134FEA">
    <w:pPr>
      <w:pStyle w:val="BodyText1"/>
    </w:pPr>
    <w:r>
      <w:rPr>
        <w:rStyle w:val="Italic"/>
      </w:rPr>
      <w:t>Farm share and price spread in Australia's sugar supply chain</w:t>
    </w:r>
    <w:r>
      <w:tab/>
    </w:r>
    <w:r>
      <w:tab/>
    </w:r>
    <w:r>
      <w:tab/>
    </w:r>
    <w:r>
      <w:tab/>
    </w:r>
    <w:r w:rsidRPr="003C413C">
      <w:t>ABARES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C4FD8" w14:textId="77777777" w:rsidR="00011FF0" w:rsidRDefault="00011FF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353CBB" w14:textId="77777777" w:rsidR="00011FF0" w:rsidRDefault="00011FF0" w:rsidP="00134FEA">
    <w:pPr>
      <w:pStyle w:val="BodyText1"/>
    </w:pPr>
    <w:r>
      <w:rPr>
        <w:rStyle w:val="Italic"/>
      </w:rPr>
      <w:t>Farm share and price spread in Australia's sugar supply chain</w:t>
    </w:r>
    <w:r>
      <w:tab/>
    </w:r>
    <w:r>
      <w:tab/>
    </w:r>
    <w:r>
      <w:tab/>
    </w:r>
    <w:r>
      <w:tab/>
    </w:r>
    <w:r w:rsidRPr="003C413C">
      <w:t>ABARES</w:t>
    </w:r>
  </w:p>
  <w:p w14:paraId="58A9F188" w14:textId="77777777" w:rsidR="00011FF0" w:rsidRDefault="00011FF0">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2C703" w14:textId="77777777" w:rsidR="00011FF0" w:rsidRDefault="00011FF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3C9C9F2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EB769FDC"/>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A1EC5EA4"/>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4DDEB7B4"/>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FE1AEC4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BE6702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F4C2AB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8C0F60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9"/>
    <w:multiLevelType w:val="singleLevel"/>
    <w:tmpl w:val="4A6681BA"/>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F1D7B3C"/>
    <w:multiLevelType w:val="multilevel"/>
    <w:tmpl w:val="E7647912"/>
    <w:numStyleLink w:val="ABARESnumberedlist2"/>
  </w:abstractNum>
  <w:abstractNum w:abstractNumId="10" w15:restartNumberingAfterBreak="0">
    <w:nsid w:val="12AA2DE2"/>
    <w:multiLevelType w:val="multilevel"/>
    <w:tmpl w:val="E7647912"/>
    <w:numStyleLink w:val="ABARESnumberedlist2"/>
  </w:abstractNum>
  <w:abstractNum w:abstractNumId="11" w15:restartNumberingAfterBreak="0">
    <w:nsid w:val="1AE463F3"/>
    <w:multiLevelType w:val="hybridMultilevel"/>
    <w:tmpl w:val="8314092E"/>
    <w:lvl w:ilvl="0" w:tplc="CC205F80">
      <w:start w:val="1"/>
      <w:numFmt w:val="bullet"/>
      <w:pStyle w:val="Tablebulletpoint"/>
      <w:lvlText w:val=""/>
      <w:lvlJc w:val="left"/>
      <w:pPr>
        <w:ind w:left="709" w:hanging="360"/>
      </w:pPr>
      <w:rPr>
        <w:rFonts w:ascii="Symbol" w:hAnsi="Symbol" w:hint="default"/>
      </w:rPr>
    </w:lvl>
    <w:lvl w:ilvl="1" w:tplc="4476E53E" w:tentative="1">
      <w:start w:val="1"/>
      <w:numFmt w:val="bullet"/>
      <w:lvlText w:val="o"/>
      <w:lvlJc w:val="left"/>
      <w:pPr>
        <w:ind w:left="1429" w:hanging="360"/>
      </w:pPr>
      <w:rPr>
        <w:rFonts w:ascii="Courier New" w:hAnsi="Courier New" w:cs="Courier New" w:hint="default"/>
      </w:rPr>
    </w:lvl>
    <w:lvl w:ilvl="2" w:tplc="2224207C" w:tentative="1">
      <w:start w:val="1"/>
      <w:numFmt w:val="bullet"/>
      <w:lvlText w:val=""/>
      <w:lvlJc w:val="left"/>
      <w:pPr>
        <w:ind w:left="2149" w:hanging="360"/>
      </w:pPr>
      <w:rPr>
        <w:rFonts w:ascii="Wingdings" w:hAnsi="Wingdings" w:hint="default"/>
      </w:rPr>
    </w:lvl>
    <w:lvl w:ilvl="3" w:tplc="8656056C" w:tentative="1">
      <w:start w:val="1"/>
      <w:numFmt w:val="bullet"/>
      <w:lvlText w:val=""/>
      <w:lvlJc w:val="left"/>
      <w:pPr>
        <w:ind w:left="2869" w:hanging="360"/>
      </w:pPr>
      <w:rPr>
        <w:rFonts w:ascii="Symbol" w:hAnsi="Symbol" w:hint="default"/>
      </w:rPr>
    </w:lvl>
    <w:lvl w:ilvl="4" w:tplc="534E5680" w:tentative="1">
      <w:start w:val="1"/>
      <w:numFmt w:val="bullet"/>
      <w:lvlText w:val="o"/>
      <w:lvlJc w:val="left"/>
      <w:pPr>
        <w:ind w:left="3589" w:hanging="360"/>
      </w:pPr>
      <w:rPr>
        <w:rFonts w:ascii="Courier New" w:hAnsi="Courier New" w:cs="Courier New" w:hint="default"/>
      </w:rPr>
    </w:lvl>
    <w:lvl w:ilvl="5" w:tplc="BDBA11DA" w:tentative="1">
      <w:start w:val="1"/>
      <w:numFmt w:val="bullet"/>
      <w:lvlText w:val=""/>
      <w:lvlJc w:val="left"/>
      <w:pPr>
        <w:ind w:left="4309" w:hanging="360"/>
      </w:pPr>
      <w:rPr>
        <w:rFonts w:ascii="Wingdings" w:hAnsi="Wingdings" w:hint="default"/>
      </w:rPr>
    </w:lvl>
    <w:lvl w:ilvl="6" w:tplc="4E6CFE50" w:tentative="1">
      <w:start w:val="1"/>
      <w:numFmt w:val="bullet"/>
      <w:lvlText w:val=""/>
      <w:lvlJc w:val="left"/>
      <w:pPr>
        <w:ind w:left="5029" w:hanging="360"/>
      </w:pPr>
      <w:rPr>
        <w:rFonts w:ascii="Symbol" w:hAnsi="Symbol" w:hint="default"/>
      </w:rPr>
    </w:lvl>
    <w:lvl w:ilvl="7" w:tplc="F6B4238A" w:tentative="1">
      <w:start w:val="1"/>
      <w:numFmt w:val="bullet"/>
      <w:lvlText w:val="o"/>
      <w:lvlJc w:val="left"/>
      <w:pPr>
        <w:ind w:left="5749" w:hanging="360"/>
      </w:pPr>
      <w:rPr>
        <w:rFonts w:ascii="Courier New" w:hAnsi="Courier New" w:cs="Courier New" w:hint="default"/>
      </w:rPr>
    </w:lvl>
    <w:lvl w:ilvl="8" w:tplc="BF36042A" w:tentative="1">
      <w:start w:val="1"/>
      <w:numFmt w:val="bullet"/>
      <w:lvlText w:val=""/>
      <w:lvlJc w:val="left"/>
      <w:pPr>
        <w:ind w:left="6469" w:hanging="360"/>
      </w:pPr>
      <w:rPr>
        <w:rFonts w:ascii="Wingdings" w:hAnsi="Wingdings" w:hint="default"/>
      </w:rPr>
    </w:lvl>
  </w:abstractNum>
  <w:abstractNum w:abstractNumId="12" w15:restartNumberingAfterBreak="0">
    <w:nsid w:val="1C192584"/>
    <w:multiLevelType w:val="multilevel"/>
    <w:tmpl w:val="02AA8FA0"/>
    <w:lvl w:ilvl="0">
      <w:start w:val="1"/>
      <w:numFmt w:val="bullet"/>
      <w:lvlText w:val=""/>
      <w:lvlJc w:val="left"/>
      <w:pPr>
        <w:tabs>
          <w:tab w:val="num" w:pos="425"/>
        </w:tabs>
        <w:ind w:left="425" w:hanging="425"/>
      </w:pPr>
      <w:rPr>
        <w:rFonts w:ascii="Symbol" w:hAnsi="Symbol" w:hint="default"/>
        <w:color w:val="auto"/>
      </w:rPr>
    </w:lvl>
    <w:lvl w:ilvl="1">
      <w:start w:val="1"/>
      <w:numFmt w:val="bullet"/>
      <w:lvlText w:val=""/>
      <w:lvlJc w:val="left"/>
      <w:pPr>
        <w:ind w:left="794" w:hanging="369"/>
      </w:pPr>
      <w:rPr>
        <w:rFonts w:ascii="Symbol" w:hAnsi="Symbol" w:hint="default"/>
      </w:rPr>
    </w:lvl>
    <w:lvl w:ilvl="2">
      <w:start w:val="1"/>
      <w:numFmt w:val="bullet"/>
      <w:lvlText w:val=""/>
      <w:lvlJc w:val="left"/>
      <w:pPr>
        <w:tabs>
          <w:tab w:val="num" w:pos="794"/>
        </w:tabs>
        <w:ind w:left="1219" w:hanging="425"/>
      </w:pPr>
      <w:rPr>
        <w:rFonts w:ascii="Wingdings" w:hAnsi="Wingdings" w:hint="default"/>
      </w:rPr>
    </w:lvl>
    <w:lvl w:ilvl="3">
      <w:start w:val="1"/>
      <w:numFmt w:val="bullet"/>
      <w:lvlText w:val=""/>
      <w:lvlJc w:val="left"/>
      <w:pPr>
        <w:tabs>
          <w:tab w:val="num" w:pos="425"/>
        </w:tabs>
        <w:ind w:left="425" w:hanging="425"/>
      </w:pPr>
      <w:rPr>
        <w:rFonts w:ascii="Symbol" w:hAnsi="Symbol" w:hint="default"/>
      </w:rPr>
    </w:lvl>
    <w:lvl w:ilvl="4">
      <w:start w:val="1"/>
      <w:numFmt w:val="bullet"/>
      <w:lvlText w:val="o"/>
      <w:lvlJc w:val="left"/>
      <w:pPr>
        <w:tabs>
          <w:tab w:val="num" w:pos="425"/>
        </w:tabs>
        <w:ind w:left="425" w:hanging="425"/>
      </w:pPr>
      <w:rPr>
        <w:rFonts w:ascii="Courier New" w:hAnsi="Courier New" w:cs="Courier New" w:hint="default"/>
      </w:rPr>
    </w:lvl>
    <w:lvl w:ilvl="5">
      <w:start w:val="1"/>
      <w:numFmt w:val="bullet"/>
      <w:lvlText w:val=""/>
      <w:lvlJc w:val="left"/>
      <w:pPr>
        <w:tabs>
          <w:tab w:val="num" w:pos="425"/>
        </w:tabs>
        <w:ind w:left="425" w:hanging="425"/>
      </w:pPr>
      <w:rPr>
        <w:rFonts w:ascii="Wingdings" w:hAnsi="Wingdings" w:hint="default"/>
      </w:rPr>
    </w:lvl>
    <w:lvl w:ilvl="6">
      <w:start w:val="1"/>
      <w:numFmt w:val="bullet"/>
      <w:lvlText w:val=""/>
      <w:lvlJc w:val="left"/>
      <w:pPr>
        <w:tabs>
          <w:tab w:val="num" w:pos="425"/>
        </w:tabs>
        <w:ind w:left="425" w:hanging="425"/>
      </w:pPr>
      <w:rPr>
        <w:rFonts w:ascii="Symbol" w:hAnsi="Symbol" w:hint="default"/>
      </w:rPr>
    </w:lvl>
    <w:lvl w:ilvl="7">
      <w:start w:val="1"/>
      <w:numFmt w:val="bullet"/>
      <w:lvlText w:val="o"/>
      <w:lvlJc w:val="left"/>
      <w:pPr>
        <w:tabs>
          <w:tab w:val="num" w:pos="425"/>
        </w:tabs>
        <w:ind w:left="425" w:hanging="425"/>
      </w:pPr>
      <w:rPr>
        <w:rFonts w:ascii="Courier New" w:hAnsi="Courier New" w:cs="Courier New" w:hint="default"/>
      </w:rPr>
    </w:lvl>
    <w:lvl w:ilvl="8">
      <w:start w:val="1"/>
      <w:numFmt w:val="bullet"/>
      <w:lvlText w:val=""/>
      <w:lvlJc w:val="left"/>
      <w:pPr>
        <w:tabs>
          <w:tab w:val="num" w:pos="425"/>
        </w:tabs>
        <w:ind w:left="425" w:hanging="425"/>
      </w:pPr>
      <w:rPr>
        <w:rFonts w:ascii="Wingdings" w:hAnsi="Wingdings" w:hint="default"/>
      </w:rPr>
    </w:lvl>
  </w:abstractNum>
  <w:abstractNum w:abstractNumId="13" w15:restartNumberingAfterBreak="0">
    <w:nsid w:val="1CD71580"/>
    <w:multiLevelType w:val="hybridMultilevel"/>
    <w:tmpl w:val="16AAE240"/>
    <w:lvl w:ilvl="0" w:tplc="8BB2C990">
      <w:start w:val="1"/>
      <w:numFmt w:val="bullet"/>
      <w:pStyle w:val="ListBullet"/>
      <w:lvlText w:val=""/>
      <w:lvlJc w:val="left"/>
      <w:pPr>
        <w:ind w:left="360" w:hanging="360"/>
      </w:pPr>
      <w:rPr>
        <w:rFonts w:ascii="Symbol" w:hAnsi="Symbol" w:hint="default"/>
        <w:color w:val="FF7900"/>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3A11417"/>
    <w:multiLevelType w:val="multilevel"/>
    <w:tmpl w:val="CBECD8D6"/>
    <w:styleLink w:val="bulletlist"/>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rPr>
    </w:lvl>
    <w:lvl w:ilvl="2">
      <w:start w:val="1"/>
      <w:numFmt w:val="none"/>
      <w:lvlText w:val=""/>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5" w15:restartNumberingAfterBreak="0">
    <w:nsid w:val="2A472E2D"/>
    <w:multiLevelType w:val="multilevel"/>
    <w:tmpl w:val="E7647912"/>
    <w:styleLink w:val="ABARESnumberedlist2"/>
    <w:lvl w:ilvl="0">
      <w:start w:val="1"/>
      <w:numFmt w:val="decimal"/>
      <w:pStyle w:val="Numberedlist-level1"/>
      <w:lvlText w:val="%1)"/>
      <w:lvlJc w:val="left"/>
      <w:pPr>
        <w:ind w:left="360" w:hanging="360"/>
      </w:pPr>
      <w:rPr>
        <w:rFonts w:hint="default"/>
        <w:color w:val="FF7900"/>
      </w:rPr>
    </w:lvl>
    <w:lvl w:ilvl="1">
      <w:start w:val="1"/>
      <w:numFmt w:val="lowerLetter"/>
      <w:pStyle w:val="Numberedlist-level2"/>
      <w:lvlText w:val="%2)"/>
      <w:lvlJc w:val="left"/>
      <w:pPr>
        <w:ind w:left="720" w:hanging="380"/>
      </w:pPr>
      <w:rPr>
        <w:rFonts w:hint="default"/>
      </w:rPr>
    </w:lvl>
    <w:lvl w:ilvl="2">
      <w:start w:val="1"/>
      <w:numFmt w:val="lowerRoman"/>
      <w:pStyle w:val="Numberedlist-level3"/>
      <w:lvlText w:val="%3)"/>
      <w:lvlJc w:val="left"/>
      <w:pPr>
        <w:ind w:left="1077" w:hanging="357"/>
      </w:pPr>
      <w:rPr>
        <w:rFonts w:hint="default"/>
      </w:rPr>
    </w:lvl>
    <w:lvl w:ilvl="3">
      <w:start w:val="1"/>
      <w:numFmt w:val="none"/>
      <w:lvlText w:val=""/>
      <w:lvlJc w:val="left"/>
      <w:pPr>
        <w:ind w:left="2520" w:hanging="360"/>
      </w:pPr>
      <w:rPr>
        <w:rFonts w:hint="default"/>
      </w:rPr>
    </w:lvl>
    <w:lvl w:ilvl="4">
      <w:start w:val="1"/>
      <w:numFmt w:val="none"/>
      <w:lvlText w:val=""/>
      <w:lvlJc w:val="left"/>
      <w:pPr>
        <w:ind w:left="3240" w:hanging="360"/>
      </w:pPr>
      <w:rPr>
        <w:rFonts w:hint="default"/>
      </w:rPr>
    </w:lvl>
    <w:lvl w:ilvl="5">
      <w:start w:val="1"/>
      <w:numFmt w:val="none"/>
      <w:lvlText w:val=""/>
      <w:lvlJc w:val="right"/>
      <w:pPr>
        <w:ind w:left="3960" w:hanging="180"/>
      </w:pPr>
      <w:rPr>
        <w:rFonts w:hint="default"/>
      </w:rPr>
    </w:lvl>
    <w:lvl w:ilvl="6">
      <w:start w:val="1"/>
      <w:numFmt w:val="none"/>
      <w:lvlText w:val=""/>
      <w:lvlJc w:val="left"/>
      <w:pPr>
        <w:ind w:left="4680" w:hanging="360"/>
      </w:pPr>
      <w:rPr>
        <w:rFonts w:hint="default"/>
      </w:rPr>
    </w:lvl>
    <w:lvl w:ilvl="7">
      <w:start w:val="1"/>
      <w:numFmt w:val="none"/>
      <w:lvlText w:val=""/>
      <w:lvlJc w:val="left"/>
      <w:pPr>
        <w:ind w:left="5400" w:hanging="360"/>
      </w:pPr>
      <w:rPr>
        <w:rFonts w:hint="default"/>
      </w:rPr>
    </w:lvl>
    <w:lvl w:ilvl="8">
      <w:start w:val="1"/>
      <w:numFmt w:val="none"/>
      <w:lvlText w:val=""/>
      <w:lvlJc w:val="right"/>
      <w:pPr>
        <w:ind w:left="6120" w:hanging="180"/>
      </w:pPr>
      <w:rPr>
        <w:rFonts w:hint="default"/>
      </w:rPr>
    </w:lvl>
  </w:abstractNum>
  <w:abstractNum w:abstractNumId="16" w15:restartNumberingAfterBreak="0">
    <w:nsid w:val="2A913599"/>
    <w:multiLevelType w:val="multilevel"/>
    <w:tmpl w:val="02AA8FA0"/>
    <w:lvl w:ilvl="0">
      <w:start w:val="1"/>
      <w:numFmt w:val="bullet"/>
      <w:lvlText w:val=""/>
      <w:lvlJc w:val="left"/>
      <w:pPr>
        <w:tabs>
          <w:tab w:val="num" w:pos="425"/>
        </w:tabs>
        <w:ind w:left="425" w:hanging="425"/>
      </w:pPr>
      <w:rPr>
        <w:rFonts w:ascii="Symbol" w:hAnsi="Symbol" w:hint="default"/>
        <w:color w:val="auto"/>
      </w:rPr>
    </w:lvl>
    <w:lvl w:ilvl="1">
      <w:start w:val="1"/>
      <w:numFmt w:val="bullet"/>
      <w:lvlText w:val=""/>
      <w:lvlJc w:val="left"/>
      <w:pPr>
        <w:ind w:left="794" w:hanging="369"/>
      </w:pPr>
      <w:rPr>
        <w:rFonts w:ascii="Symbol" w:hAnsi="Symbol" w:hint="default"/>
      </w:rPr>
    </w:lvl>
    <w:lvl w:ilvl="2">
      <w:start w:val="1"/>
      <w:numFmt w:val="bullet"/>
      <w:lvlText w:val=""/>
      <w:lvlJc w:val="left"/>
      <w:pPr>
        <w:tabs>
          <w:tab w:val="num" w:pos="794"/>
        </w:tabs>
        <w:ind w:left="1219" w:hanging="425"/>
      </w:pPr>
      <w:rPr>
        <w:rFonts w:ascii="Wingdings" w:hAnsi="Wingdings" w:hint="default"/>
      </w:rPr>
    </w:lvl>
    <w:lvl w:ilvl="3">
      <w:start w:val="1"/>
      <w:numFmt w:val="bullet"/>
      <w:lvlText w:val=""/>
      <w:lvlJc w:val="left"/>
      <w:pPr>
        <w:tabs>
          <w:tab w:val="num" w:pos="425"/>
        </w:tabs>
        <w:ind w:left="425" w:hanging="425"/>
      </w:pPr>
      <w:rPr>
        <w:rFonts w:ascii="Symbol" w:hAnsi="Symbol" w:hint="default"/>
      </w:rPr>
    </w:lvl>
    <w:lvl w:ilvl="4">
      <w:start w:val="1"/>
      <w:numFmt w:val="bullet"/>
      <w:lvlText w:val="o"/>
      <w:lvlJc w:val="left"/>
      <w:pPr>
        <w:tabs>
          <w:tab w:val="num" w:pos="425"/>
        </w:tabs>
        <w:ind w:left="425" w:hanging="425"/>
      </w:pPr>
      <w:rPr>
        <w:rFonts w:ascii="Courier New" w:hAnsi="Courier New" w:cs="Courier New" w:hint="default"/>
      </w:rPr>
    </w:lvl>
    <w:lvl w:ilvl="5">
      <w:start w:val="1"/>
      <w:numFmt w:val="bullet"/>
      <w:lvlText w:val=""/>
      <w:lvlJc w:val="left"/>
      <w:pPr>
        <w:tabs>
          <w:tab w:val="num" w:pos="425"/>
        </w:tabs>
        <w:ind w:left="425" w:hanging="425"/>
      </w:pPr>
      <w:rPr>
        <w:rFonts w:ascii="Wingdings" w:hAnsi="Wingdings" w:hint="default"/>
      </w:rPr>
    </w:lvl>
    <w:lvl w:ilvl="6">
      <w:start w:val="1"/>
      <w:numFmt w:val="bullet"/>
      <w:lvlText w:val=""/>
      <w:lvlJc w:val="left"/>
      <w:pPr>
        <w:tabs>
          <w:tab w:val="num" w:pos="425"/>
        </w:tabs>
        <w:ind w:left="425" w:hanging="425"/>
      </w:pPr>
      <w:rPr>
        <w:rFonts w:ascii="Symbol" w:hAnsi="Symbol" w:hint="default"/>
      </w:rPr>
    </w:lvl>
    <w:lvl w:ilvl="7">
      <w:start w:val="1"/>
      <w:numFmt w:val="bullet"/>
      <w:lvlText w:val="o"/>
      <w:lvlJc w:val="left"/>
      <w:pPr>
        <w:tabs>
          <w:tab w:val="num" w:pos="425"/>
        </w:tabs>
        <w:ind w:left="425" w:hanging="425"/>
      </w:pPr>
      <w:rPr>
        <w:rFonts w:ascii="Courier New" w:hAnsi="Courier New" w:cs="Courier New" w:hint="default"/>
      </w:rPr>
    </w:lvl>
    <w:lvl w:ilvl="8">
      <w:start w:val="1"/>
      <w:numFmt w:val="bullet"/>
      <w:lvlText w:val=""/>
      <w:lvlJc w:val="left"/>
      <w:pPr>
        <w:tabs>
          <w:tab w:val="num" w:pos="425"/>
        </w:tabs>
        <w:ind w:left="425" w:hanging="425"/>
      </w:pPr>
      <w:rPr>
        <w:rFonts w:ascii="Wingdings" w:hAnsi="Wingdings" w:hint="default"/>
      </w:rPr>
    </w:lvl>
  </w:abstractNum>
  <w:abstractNum w:abstractNumId="17" w15:restartNumberingAfterBreak="0">
    <w:nsid w:val="2DBD653E"/>
    <w:multiLevelType w:val="multilevel"/>
    <w:tmpl w:val="E7647912"/>
    <w:numStyleLink w:val="ABARESnumberedlist2"/>
  </w:abstractNum>
  <w:abstractNum w:abstractNumId="18" w15:restartNumberingAfterBreak="0">
    <w:nsid w:val="2F2425AB"/>
    <w:multiLevelType w:val="multilevel"/>
    <w:tmpl w:val="BC8603C0"/>
    <w:lvl w:ilvl="0">
      <w:start w:val="1"/>
      <w:numFmt w:val="decimal"/>
      <w:lvlText w:val="%1)"/>
      <w:lvlJc w:val="left"/>
      <w:pPr>
        <w:ind w:left="425" w:hanging="425"/>
      </w:pPr>
      <w:rPr>
        <w:rFonts w:hint="default"/>
        <w:color w:val="auto"/>
      </w:rPr>
    </w:lvl>
    <w:lvl w:ilvl="1">
      <w:start w:val="1"/>
      <w:numFmt w:val="lowerLetter"/>
      <w:lvlText w:val="%2)"/>
      <w:lvlJc w:val="left"/>
      <w:pPr>
        <w:ind w:left="794" w:hanging="369"/>
      </w:pPr>
      <w:rPr>
        <w:rFonts w:hint="default"/>
      </w:rPr>
    </w:lvl>
    <w:lvl w:ilvl="2">
      <w:start w:val="1"/>
      <w:numFmt w:val="lowerRoman"/>
      <w:lvlText w:val="%3)"/>
      <w:lvlJc w:val="right"/>
      <w:pPr>
        <w:ind w:left="1077" w:hanging="17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4C547036"/>
    <w:multiLevelType w:val="multilevel"/>
    <w:tmpl w:val="E8CC7262"/>
    <w:styleLink w:val="ABARESbulletedlist"/>
    <w:lvl w:ilvl="0">
      <w:start w:val="1"/>
      <w:numFmt w:val="bullet"/>
      <w:pStyle w:val="Bulletlist-level1"/>
      <w:lvlText w:val=""/>
      <w:lvlJc w:val="left"/>
      <w:pPr>
        <w:ind w:left="567" w:hanging="567"/>
      </w:pPr>
      <w:rPr>
        <w:rFonts w:ascii="Symbol" w:hAnsi="Symbol" w:hint="default"/>
        <w:color w:val="FF7900"/>
      </w:rPr>
    </w:lvl>
    <w:lvl w:ilvl="1">
      <w:start w:val="1"/>
      <w:numFmt w:val="bullet"/>
      <w:pStyle w:val="Bulletlist-level2"/>
      <w:lvlText w:val="-"/>
      <w:lvlJc w:val="left"/>
      <w:pPr>
        <w:ind w:left="720" w:hanging="363"/>
      </w:pPr>
      <w:rPr>
        <w:rFonts w:ascii="Calibri" w:hAnsi="Calibri" w:hint="default"/>
      </w:rPr>
    </w:lvl>
    <w:lvl w:ilvl="2">
      <w:start w:val="1"/>
      <w:numFmt w:val="none"/>
      <w:lvlText w:val=""/>
      <w:lvlJc w:val="left"/>
      <w:pPr>
        <w:ind w:left="2157" w:hanging="360"/>
      </w:pPr>
      <w:rPr>
        <w:rFonts w:hint="default"/>
      </w:rPr>
    </w:lvl>
    <w:lvl w:ilvl="3">
      <w:start w:val="1"/>
      <w:numFmt w:val="none"/>
      <w:lvlText w:val=""/>
      <w:lvlJc w:val="left"/>
      <w:pPr>
        <w:ind w:left="2517" w:hanging="360"/>
      </w:pPr>
      <w:rPr>
        <w:rFonts w:hint="default"/>
        <w:color w:val="auto"/>
      </w:rPr>
    </w:lvl>
    <w:lvl w:ilvl="4">
      <w:start w:val="1"/>
      <w:numFmt w:val="none"/>
      <w:lvlText w:val=""/>
      <w:lvlJc w:val="left"/>
      <w:pPr>
        <w:ind w:left="2877" w:hanging="360"/>
      </w:pPr>
      <w:rPr>
        <w:rFonts w:hint="default"/>
      </w:rPr>
    </w:lvl>
    <w:lvl w:ilvl="5">
      <w:start w:val="1"/>
      <w:numFmt w:val="none"/>
      <w:lvlText w:val=""/>
      <w:lvlJc w:val="left"/>
      <w:pPr>
        <w:ind w:left="3237" w:hanging="360"/>
      </w:pPr>
      <w:rPr>
        <w:rFonts w:hint="default"/>
      </w:rPr>
    </w:lvl>
    <w:lvl w:ilvl="6">
      <w:start w:val="1"/>
      <w:numFmt w:val="none"/>
      <w:lvlText w:val=""/>
      <w:lvlJc w:val="left"/>
      <w:pPr>
        <w:ind w:left="3597" w:hanging="360"/>
      </w:pPr>
      <w:rPr>
        <w:rFonts w:hint="default"/>
        <w:color w:val="auto"/>
      </w:rPr>
    </w:lvl>
    <w:lvl w:ilvl="7">
      <w:start w:val="1"/>
      <w:numFmt w:val="none"/>
      <w:lvlText w:val="%8"/>
      <w:lvlJc w:val="left"/>
      <w:pPr>
        <w:ind w:left="3957" w:hanging="360"/>
      </w:pPr>
      <w:rPr>
        <w:rFonts w:hint="default"/>
      </w:rPr>
    </w:lvl>
    <w:lvl w:ilvl="8">
      <w:start w:val="1"/>
      <w:numFmt w:val="none"/>
      <w:lvlText w:val=""/>
      <w:lvlJc w:val="left"/>
      <w:pPr>
        <w:ind w:left="4317" w:hanging="360"/>
      </w:pPr>
      <w:rPr>
        <w:rFonts w:hint="default"/>
      </w:rPr>
    </w:lvl>
  </w:abstractNum>
  <w:abstractNum w:abstractNumId="20" w15:restartNumberingAfterBreak="0">
    <w:nsid w:val="55364439"/>
    <w:multiLevelType w:val="multilevel"/>
    <w:tmpl w:val="427E4520"/>
    <w:styleLink w:val="ABARESnumberedlist"/>
    <w:lvl w:ilvl="0">
      <w:start w:val="1"/>
      <w:numFmt w:val="decimal"/>
      <w:lvlText w:val="%1)"/>
      <w:lvlJc w:val="left"/>
      <w:pPr>
        <w:ind w:left="360" w:hanging="360"/>
      </w:pPr>
      <w:rPr>
        <w:rFonts w:hint="default"/>
        <w:color w:val="FF7900"/>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1" w15:restartNumberingAfterBreak="0">
    <w:nsid w:val="5654208F"/>
    <w:multiLevelType w:val="multilevel"/>
    <w:tmpl w:val="E8CC7262"/>
    <w:numStyleLink w:val="ABARESbulletedlist"/>
  </w:abstractNum>
  <w:abstractNum w:abstractNumId="22" w15:restartNumberingAfterBreak="0">
    <w:nsid w:val="56787837"/>
    <w:multiLevelType w:val="hybridMultilevel"/>
    <w:tmpl w:val="2EB40060"/>
    <w:lvl w:ilvl="0" w:tplc="0C090001">
      <w:start w:val="1"/>
      <w:numFmt w:val="bullet"/>
      <w:lvlText w:val=""/>
      <w:lvlJc w:val="left"/>
      <w:pPr>
        <w:ind w:left="1080" w:hanging="360"/>
      </w:pPr>
      <w:rPr>
        <w:rFonts w:ascii="Symbol" w:hAnsi="Symbol" w:hint="default"/>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3" w15:restartNumberingAfterBreak="0">
    <w:nsid w:val="5770342E"/>
    <w:multiLevelType w:val="multilevel"/>
    <w:tmpl w:val="F75C17F0"/>
    <w:lvl w:ilvl="0">
      <w:start w:val="1"/>
      <w:numFmt w:val="decimal"/>
      <w:pStyle w:val="Tablenumberedlist"/>
      <w:lvlText w:val="%1)"/>
      <w:lvlJc w:val="left"/>
      <w:pPr>
        <w:ind w:left="745" w:hanging="360"/>
      </w:pPr>
    </w:lvl>
    <w:lvl w:ilvl="1" w:tentative="1">
      <w:start w:val="1"/>
      <w:numFmt w:val="lowerLetter"/>
      <w:lvlText w:val="%2."/>
      <w:lvlJc w:val="left"/>
      <w:pPr>
        <w:ind w:left="1465" w:hanging="360"/>
      </w:pPr>
    </w:lvl>
    <w:lvl w:ilvl="2" w:tentative="1">
      <w:start w:val="1"/>
      <w:numFmt w:val="lowerRoman"/>
      <w:lvlText w:val="%3."/>
      <w:lvlJc w:val="right"/>
      <w:pPr>
        <w:ind w:left="2185" w:hanging="180"/>
      </w:pPr>
    </w:lvl>
    <w:lvl w:ilvl="3" w:tentative="1">
      <w:start w:val="1"/>
      <w:numFmt w:val="decimal"/>
      <w:lvlText w:val="%4."/>
      <w:lvlJc w:val="left"/>
      <w:pPr>
        <w:ind w:left="2905" w:hanging="360"/>
      </w:pPr>
    </w:lvl>
    <w:lvl w:ilvl="4" w:tentative="1">
      <w:start w:val="1"/>
      <w:numFmt w:val="lowerLetter"/>
      <w:lvlText w:val="%5."/>
      <w:lvlJc w:val="left"/>
      <w:pPr>
        <w:ind w:left="3625" w:hanging="360"/>
      </w:pPr>
    </w:lvl>
    <w:lvl w:ilvl="5" w:tentative="1">
      <w:start w:val="1"/>
      <w:numFmt w:val="lowerRoman"/>
      <w:lvlText w:val="%6."/>
      <w:lvlJc w:val="right"/>
      <w:pPr>
        <w:ind w:left="4345" w:hanging="180"/>
      </w:pPr>
    </w:lvl>
    <w:lvl w:ilvl="6" w:tentative="1">
      <w:start w:val="1"/>
      <w:numFmt w:val="decimal"/>
      <w:lvlText w:val="%7."/>
      <w:lvlJc w:val="left"/>
      <w:pPr>
        <w:ind w:left="5065" w:hanging="360"/>
      </w:pPr>
    </w:lvl>
    <w:lvl w:ilvl="7" w:tentative="1">
      <w:start w:val="1"/>
      <w:numFmt w:val="lowerLetter"/>
      <w:lvlText w:val="%8."/>
      <w:lvlJc w:val="left"/>
      <w:pPr>
        <w:ind w:left="5785" w:hanging="360"/>
      </w:pPr>
    </w:lvl>
    <w:lvl w:ilvl="8" w:tentative="1">
      <w:start w:val="1"/>
      <w:numFmt w:val="lowerRoman"/>
      <w:lvlText w:val="%9."/>
      <w:lvlJc w:val="right"/>
      <w:pPr>
        <w:ind w:left="6505" w:hanging="180"/>
      </w:pPr>
    </w:lvl>
  </w:abstractNum>
  <w:abstractNum w:abstractNumId="24" w15:restartNumberingAfterBreak="0">
    <w:nsid w:val="58D64110"/>
    <w:multiLevelType w:val="multilevel"/>
    <w:tmpl w:val="E7647912"/>
    <w:numStyleLink w:val="ABARESnumberedlist2"/>
  </w:abstractNum>
  <w:abstractNum w:abstractNumId="25" w15:restartNumberingAfterBreak="0">
    <w:nsid w:val="590609C1"/>
    <w:multiLevelType w:val="multilevel"/>
    <w:tmpl w:val="E8CC7262"/>
    <w:numStyleLink w:val="ABARESbulletedlist"/>
  </w:abstractNum>
  <w:abstractNum w:abstractNumId="26" w15:restartNumberingAfterBreak="0">
    <w:nsid w:val="5AA12966"/>
    <w:multiLevelType w:val="multilevel"/>
    <w:tmpl w:val="DA322B0E"/>
    <w:lvl w:ilvl="0">
      <w:start w:val="1"/>
      <w:numFmt w:val="bullet"/>
      <w:lvlText w:val=""/>
      <w:lvlJc w:val="left"/>
      <w:pPr>
        <w:ind w:left="765" w:hanging="360"/>
      </w:pPr>
      <w:rPr>
        <w:rFonts w:ascii="Symbol" w:hAnsi="Symbol" w:cs="Times New Roman" w:hint="default"/>
        <w:color w:val="auto"/>
      </w:rPr>
    </w:lvl>
    <w:lvl w:ilvl="1">
      <w:start w:val="1"/>
      <w:numFmt w:val="bullet"/>
      <w:lvlText w:val="o"/>
      <w:lvlJc w:val="left"/>
      <w:pPr>
        <w:ind w:left="1485" w:hanging="360"/>
      </w:pPr>
      <w:rPr>
        <w:rFonts w:ascii="Courier New" w:hAnsi="Courier New" w:cs="Courier New" w:hint="default"/>
      </w:rPr>
    </w:lvl>
    <w:lvl w:ilvl="2">
      <w:start w:val="1"/>
      <w:numFmt w:val="bullet"/>
      <w:lvlText w:val=""/>
      <w:lvlJc w:val="left"/>
      <w:pPr>
        <w:ind w:left="2205" w:hanging="360"/>
      </w:pPr>
      <w:rPr>
        <w:rFonts w:ascii="Wingdings" w:hAnsi="Wingdings" w:hint="default"/>
      </w:rPr>
    </w:lvl>
    <w:lvl w:ilvl="3">
      <w:start w:val="1"/>
      <w:numFmt w:val="bullet"/>
      <w:lvlText w:val=""/>
      <w:lvlJc w:val="left"/>
      <w:pPr>
        <w:ind w:left="2925" w:hanging="360"/>
      </w:pPr>
      <w:rPr>
        <w:rFonts w:ascii="Symbol" w:hAnsi="Symbol" w:hint="default"/>
      </w:rPr>
    </w:lvl>
    <w:lvl w:ilvl="4">
      <w:start w:val="1"/>
      <w:numFmt w:val="bullet"/>
      <w:lvlText w:val="o"/>
      <w:lvlJc w:val="left"/>
      <w:pPr>
        <w:ind w:left="3645" w:hanging="360"/>
      </w:pPr>
      <w:rPr>
        <w:rFonts w:ascii="Courier New" w:hAnsi="Courier New" w:cs="Courier New" w:hint="default"/>
      </w:rPr>
    </w:lvl>
    <w:lvl w:ilvl="5">
      <w:start w:val="1"/>
      <w:numFmt w:val="bullet"/>
      <w:lvlText w:val=""/>
      <w:lvlJc w:val="left"/>
      <w:pPr>
        <w:ind w:left="4365" w:hanging="360"/>
      </w:pPr>
      <w:rPr>
        <w:rFonts w:ascii="Wingdings" w:hAnsi="Wingdings" w:hint="default"/>
      </w:rPr>
    </w:lvl>
    <w:lvl w:ilvl="6">
      <w:start w:val="1"/>
      <w:numFmt w:val="bullet"/>
      <w:lvlText w:val=""/>
      <w:lvlJc w:val="left"/>
      <w:pPr>
        <w:ind w:left="5085" w:hanging="360"/>
      </w:pPr>
      <w:rPr>
        <w:rFonts w:ascii="Symbol" w:hAnsi="Symbol" w:hint="default"/>
      </w:rPr>
    </w:lvl>
    <w:lvl w:ilvl="7">
      <w:start w:val="1"/>
      <w:numFmt w:val="bullet"/>
      <w:lvlText w:val="o"/>
      <w:lvlJc w:val="left"/>
      <w:pPr>
        <w:ind w:left="5805" w:hanging="360"/>
      </w:pPr>
      <w:rPr>
        <w:rFonts w:ascii="Courier New" w:hAnsi="Courier New" w:cs="Courier New" w:hint="default"/>
      </w:rPr>
    </w:lvl>
    <w:lvl w:ilvl="8">
      <w:start w:val="1"/>
      <w:numFmt w:val="bullet"/>
      <w:lvlText w:val=""/>
      <w:lvlJc w:val="left"/>
      <w:pPr>
        <w:ind w:left="6525" w:hanging="360"/>
      </w:pPr>
      <w:rPr>
        <w:rFonts w:ascii="Wingdings" w:hAnsi="Wingdings" w:hint="default"/>
      </w:rPr>
    </w:lvl>
  </w:abstractNum>
  <w:abstractNum w:abstractNumId="27" w15:restartNumberingAfterBreak="0">
    <w:nsid w:val="5AC33B48"/>
    <w:multiLevelType w:val="hybridMultilevel"/>
    <w:tmpl w:val="17FC66E2"/>
    <w:lvl w:ilvl="0" w:tplc="583ECAB6">
      <w:start w:val="1"/>
      <w:numFmt w:val="decimal"/>
      <w:pStyle w:val="Heading1"/>
      <w:lvlText w:val="%1"/>
      <w:lvlJc w:val="left"/>
      <w:pPr>
        <w:ind w:left="4897" w:hanging="360"/>
      </w:pPr>
      <w:rPr>
        <w:rFonts w:hint="default"/>
      </w:rPr>
    </w:lvl>
    <w:lvl w:ilvl="1" w:tplc="609EF51A" w:tentative="1">
      <w:start w:val="1"/>
      <w:numFmt w:val="lowerLetter"/>
      <w:lvlText w:val="%2."/>
      <w:lvlJc w:val="left"/>
      <w:pPr>
        <w:ind w:left="1920" w:hanging="360"/>
      </w:pPr>
    </w:lvl>
    <w:lvl w:ilvl="2" w:tplc="923CA714" w:tentative="1">
      <w:start w:val="1"/>
      <w:numFmt w:val="lowerRoman"/>
      <w:lvlText w:val="%3."/>
      <w:lvlJc w:val="right"/>
      <w:pPr>
        <w:ind w:left="2640" w:hanging="180"/>
      </w:pPr>
    </w:lvl>
    <w:lvl w:ilvl="3" w:tplc="3E98C9C2" w:tentative="1">
      <w:start w:val="1"/>
      <w:numFmt w:val="decimal"/>
      <w:lvlText w:val="%4."/>
      <w:lvlJc w:val="left"/>
      <w:pPr>
        <w:ind w:left="3360" w:hanging="360"/>
      </w:pPr>
    </w:lvl>
    <w:lvl w:ilvl="4" w:tplc="947244D2" w:tentative="1">
      <w:start w:val="1"/>
      <w:numFmt w:val="lowerLetter"/>
      <w:lvlText w:val="%5."/>
      <w:lvlJc w:val="left"/>
      <w:pPr>
        <w:ind w:left="4080" w:hanging="360"/>
      </w:pPr>
    </w:lvl>
    <w:lvl w:ilvl="5" w:tplc="9EA0D2F6" w:tentative="1">
      <w:start w:val="1"/>
      <w:numFmt w:val="lowerRoman"/>
      <w:lvlText w:val="%6."/>
      <w:lvlJc w:val="right"/>
      <w:pPr>
        <w:ind w:left="4800" w:hanging="180"/>
      </w:pPr>
    </w:lvl>
    <w:lvl w:ilvl="6" w:tplc="CC86B1BA" w:tentative="1">
      <w:start w:val="1"/>
      <w:numFmt w:val="decimal"/>
      <w:lvlText w:val="%7."/>
      <w:lvlJc w:val="left"/>
      <w:pPr>
        <w:ind w:left="5520" w:hanging="360"/>
      </w:pPr>
    </w:lvl>
    <w:lvl w:ilvl="7" w:tplc="C4BE511A" w:tentative="1">
      <w:start w:val="1"/>
      <w:numFmt w:val="lowerLetter"/>
      <w:lvlText w:val="%8."/>
      <w:lvlJc w:val="left"/>
      <w:pPr>
        <w:ind w:left="6240" w:hanging="360"/>
      </w:pPr>
    </w:lvl>
    <w:lvl w:ilvl="8" w:tplc="C95696BA" w:tentative="1">
      <w:start w:val="1"/>
      <w:numFmt w:val="lowerRoman"/>
      <w:lvlText w:val="%9."/>
      <w:lvlJc w:val="right"/>
      <w:pPr>
        <w:ind w:left="6960" w:hanging="180"/>
      </w:pPr>
    </w:lvl>
  </w:abstractNum>
  <w:abstractNum w:abstractNumId="28" w15:restartNumberingAfterBreak="0">
    <w:nsid w:val="5BF51EC7"/>
    <w:multiLevelType w:val="multilevel"/>
    <w:tmpl w:val="23E2163A"/>
    <w:lvl w:ilvl="0">
      <w:start w:val="1"/>
      <w:numFmt w:val="decimal"/>
      <w:lvlText w:val="%1"/>
      <w:lvlJc w:val="left"/>
      <w:pPr>
        <w:ind w:left="567" w:hanging="567"/>
      </w:pPr>
      <w:rPr>
        <w:rFonts w:hint="default"/>
      </w:rPr>
    </w:lvl>
    <w:lvl w:ilvl="1">
      <w:start w:val="1"/>
      <w:numFmt w:val="decimal"/>
      <w:lvlText w:val="%1.%2"/>
      <w:lvlJc w:val="left"/>
      <w:pPr>
        <w:ind w:left="567" w:hanging="567"/>
      </w:pPr>
      <w:rPr>
        <w:rFonts w:hint="default"/>
      </w:rPr>
    </w:lvl>
    <w:lvl w:ilvl="2">
      <w:start w:val="1"/>
      <w:numFmt w:val="lowerRoman"/>
      <w:lvlText w:val="%3)"/>
      <w:lvlJc w:val="left"/>
      <w:pPr>
        <w:ind w:left="567" w:hanging="567"/>
      </w:pPr>
      <w:rPr>
        <w:rFonts w:hint="default"/>
      </w:rPr>
    </w:lvl>
    <w:lvl w:ilvl="3">
      <w:start w:val="1"/>
      <w:numFmt w:val="decimal"/>
      <w:lvlText w:val="(%4)"/>
      <w:lvlJc w:val="left"/>
      <w:pPr>
        <w:ind w:left="567" w:hanging="567"/>
      </w:pPr>
      <w:rPr>
        <w:rFonts w:hint="default"/>
      </w:rPr>
    </w:lvl>
    <w:lvl w:ilvl="4">
      <w:start w:val="1"/>
      <w:numFmt w:val="lowerLetter"/>
      <w:lvlText w:val="(%5)"/>
      <w:lvlJc w:val="left"/>
      <w:pPr>
        <w:ind w:left="567" w:hanging="567"/>
      </w:pPr>
      <w:rPr>
        <w:rFonts w:hint="default"/>
      </w:rPr>
    </w:lvl>
    <w:lvl w:ilvl="5">
      <w:start w:val="1"/>
      <w:numFmt w:val="lowerRoman"/>
      <w:lvlText w:val="(%6)"/>
      <w:lvlJc w:val="left"/>
      <w:pPr>
        <w:ind w:left="567" w:hanging="567"/>
      </w:pPr>
      <w:rPr>
        <w:rFonts w:hint="default"/>
      </w:rPr>
    </w:lvl>
    <w:lvl w:ilvl="6">
      <w:start w:val="1"/>
      <w:numFmt w:val="decimal"/>
      <w:lvlText w:val="%7."/>
      <w:lvlJc w:val="left"/>
      <w:pPr>
        <w:ind w:left="567" w:hanging="567"/>
      </w:pPr>
      <w:rPr>
        <w:rFonts w:hint="default"/>
      </w:rPr>
    </w:lvl>
    <w:lvl w:ilvl="7">
      <w:start w:val="1"/>
      <w:numFmt w:val="lowerLetter"/>
      <w:lvlText w:val="%8."/>
      <w:lvlJc w:val="left"/>
      <w:pPr>
        <w:ind w:left="567" w:hanging="567"/>
      </w:pPr>
      <w:rPr>
        <w:rFonts w:hint="default"/>
      </w:rPr>
    </w:lvl>
    <w:lvl w:ilvl="8">
      <w:start w:val="1"/>
      <w:numFmt w:val="lowerRoman"/>
      <w:lvlText w:val="%9."/>
      <w:lvlJc w:val="left"/>
      <w:pPr>
        <w:ind w:left="567" w:hanging="567"/>
      </w:pPr>
      <w:rPr>
        <w:rFonts w:hint="default"/>
      </w:rPr>
    </w:lvl>
  </w:abstractNum>
  <w:abstractNum w:abstractNumId="29" w15:restartNumberingAfterBreak="0">
    <w:nsid w:val="5D722183"/>
    <w:multiLevelType w:val="hybridMultilevel"/>
    <w:tmpl w:val="882EC5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60DB0160"/>
    <w:multiLevelType w:val="hybridMultilevel"/>
    <w:tmpl w:val="EE9EE0F6"/>
    <w:lvl w:ilvl="0" w:tplc="B8C6FAA4">
      <w:numFmt w:val="bullet"/>
      <w:lvlText w:val="-"/>
      <w:lvlJc w:val="left"/>
      <w:pPr>
        <w:ind w:left="720" w:hanging="360"/>
      </w:pPr>
      <w:rPr>
        <w:rFonts w:ascii="Cambria" w:eastAsia="Calibri" w:hAnsi="Cambria"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66616A4C"/>
    <w:multiLevelType w:val="hybridMultilevel"/>
    <w:tmpl w:val="08CCF39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69884D74"/>
    <w:multiLevelType w:val="multilevel"/>
    <w:tmpl w:val="E7647912"/>
    <w:numStyleLink w:val="ABARESnumberedlist2"/>
  </w:abstractNum>
  <w:abstractNum w:abstractNumId="33" w15:restartNumberingAfterBreak="0">
    <w:nsid w:val="6B7540AF"/>
    <w:multiLevelType w:val="multilevel"/>
    <w:tmpl w:val="E7647912"/>
    <w:numStyleLink w:val="ABARESnumberedlist2"/>
  </w:abstractNum>
  <w:abstractNum w:abstractNumId="34" w15:restartNumberingAfterBreak="0">
    <w:nsid w:val="6EC122A0"/>
    <w:multiLevelType w:val="multilevel"/>
    <w:tmpl w:val="BC8603C0"/>
    <w:lvl w:ilvl="0">
      <w:start w:val="1"/>
      <w:numFmt w:val="decimal"/>
      <w:lvlText w:val="%1)"/>
      <w:lvlJc w:val="left"/>
      <w:pPr>
        <w:ind w:left="425" w:hanging="425"/>
      </w:pPr>
      <w:rPr>
        <w:rFonts w:hint="default"/>
        <w:color w:val="auto"/>
      </w:rPr>
    </w:lvl>
    <w:lvl w:ilvl="1">
      <w:start w:val="1"/>
      <w:numFmt w:val="lowerLetter"/>
      <w:lvlText w:val="%2)"/>
      <w:lvlJc w:val="left"/>
      <w:pPr>
        <w:ind w:left="794" w:hanging="369"/>
      </w:pPr>
      <w:rPr>
        <w:rFonts w:hint="default"/>
      </w:rPr>
    </w:lvl>
    <w:lvl w:ilvl="2">
      <w:start w:val="1"/>
      <w:numFmt w:val="lowerRoman"/>
      <w:lvlText w:val="%3)"/>
      <w:lvlJc w:val="right"/>
      <w:pPr>
        <w:ind w:left="1077" w:hanging="17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5" w15:restartNumberingAfterBreak="0">
    <w:nsid w:val="6F4F7C92"/>
    <w:multiLevelType w:val="hybridMultilevel"/>
    <w:tmpl w:val="DC3A274C"/>
    <w:lvl w:ilvl="0" w:tplc="9F5C29E0">
      <w:start w:val="1"/>
      <w:numFmt w:val="bullet"/>
      <w:lvlText w:val="-"/>
      <w:lvlJc w:val="left"/>
      <w:pPr>
        <w:ind w:left="720" w:hanging="360"/>
      </w:pPr>
      <w:rPr>
        <w:rFonts w:ascii="Cambria" w:eastAsia="Calibri" w:hAnsi="Cambria"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7C9940FF"/>
    <w:multiLevelType w:val="hybridMultilevel"/>
    <w:tmpl w:val="C9846804"/>
    <w:lvl w:ilvl="0" w:tplc="77126EDE">
      <w:start w:val="1"/>
      <w:numFmt w:val="upperLetter"/>
      <w:pStyle w:val="Appendixheading"/>
      <w:lvlText w:val="Appendix %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7"/>
  </w:num>
  <w:num w:numId="2">
    <w:abstractNumId w:val="9"/>
  </w:num>
  <w:num w:numId="3">
    <w:abstractNumId w:val="19"/>
  </w:num>
  <w:num w:numId="4">
    <w:abstractNumId w:val="20"/>
  </w:num>
  <w:num w:numId="5">
    <w:abstractNumId w:val="14"/>
  </w:num>
  <w:num w:numId="6">
    <w:abstractNumId w:val="13"/>
  </w:num>
  <w:num w:numId="7">
    <w:abstractNumId w:val="15"/>
  </w:num>
  <w:num w:numId="8">
    <w:abstractNumId w:val="11"/>
  </w:num>
  <w:num w:numId="9">
    <w:abstractNumId w:val="23"/>
  </w:num>
  <w:num w:numId="10">
    <w:abstractNumId w:val="36"/>
  </w:num>
  <w:num w:numId="11">
    <w:abstractNumId w:val="21"/>
  </w:num>
  <w:num w:numId="12">
    <w:abstractNumId w:val="7"/>
  </w:num>
  <w:num w:numId="13">
    <w:abstractNumId w:val="6"/>
  </w:num>
  <w:num w:numId="14">
    <w:abstractNumId w:val="5"/>
  </w:num>
  <w:num w:numId="15">
    <w:abstractNumId w:val="4"/>
  </w:num>
  <w:num w:numId="16">
    <w:abstractNumId w:val="3"/>
  </w:num>
  <w:num w:numId="17">
    <w:abstractNumId w:val="2"/>
  </w:num>
  <w:num w:numId="18">
    <w:abstractNumId w:val="1"/>
  </w:num>
  <w:num w:numId="19">
    <w:abstractNumId w:val="0"/>
  </w:num>
  <w:num w:numId="2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5"/>
  </w:num>
  <w:num w:numId="2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num>
  <w:num w:numId="24">
    <w:abstractNumId w:val="17"/>
  </w:num>
  <w:num w:numId="25">
    <w:abstractNumId w:val="32"/>
  </w:num>
  <w:num w:numId="26">
    <w:abstractNumId w:val="10"/>
  </w:num>
  <w:num w:numId="27">
    <w:abstractNumId w:val="24"/>
  </w:num>
  <w:num w:numId="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5"/>
  </w:num>
  <w:num w:numId="31">
    <w:abstractNumId w:val="31"/>
  </w:num>
  <w:num w:numId="32">
    <w:abstractNumId w:val="22"/>
  </w:num>
  <w:num w:numId="33">
    <w:abstractNumId w:val="26"/>
  </w:num>
  <w:num w:numId="34">
    <w:abstractNumId w:val="19"/>
  </w:num>
  <w:num w:numId="35">
    <w:abstractNumId w:val="11"/>
  </w:num>
  <w:num w:numId="36">
    <w:abstractNumId w:val="12"/>
  </w:num>
  <w:num w:numId="37">
    <w:abstractNumId w:val="16"/>
  </w:num>
  <w:num w:numId="38">
    <w:abstractNumId w:val="34"/>
  </w:num>
  <w:num w:numId="39">
    <w:abstractNumId w:val="18"/>
  </w:num>
  <w:num w:numId="40">
    <w:abstractNumId w:val="28"/>
  </w:num>
  <w:num w:numId="41">
    <w:abstractNumId w:val="15"/>
  </w:num>
  <w:num w:numId="4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9"/>
  </w:num>
  <w:num w:numId="44">
    <w:abstractNumId w:val="29"/>
  </w:num>
  <w:num w:numId="45">
    <w:abstractNumId w:val="8"/>
  </w:num>
  <w:num w:numId="46">
    <w:abstractNumId w:val="3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ocumentProtection w:formatting="1" w:enforcement="1" w:cryptProviderType="rsaFull" w:cryptAlgorithmClass="hash" w:cryptAlgorithmType="typeAny" w:cryptAlgorithmSid="4" w:cryptSpinCount="100000" w:hash="8+0cSEsyPp8M9iHis7dztDb2IsE=" w:salt="upY4cVawYiOPiyiGwiiBVQ=="/>
  <w:defaultTabStop w:val="720"/>
  <w:drawingGridHorizontalSpacing w:val="110"/>
  <w:displayHorizontalDrawingGridEvery w:val="2"/>
  <w:displayVerticalDrawingGridEvery w:val="2"/>
  <w:characterSpacingControl w:val="doNotCompress"/>
  <w:hdrShapeDefaults>
    <o:shapedefaults v:ext="edit" spidmax="88065">
      <o:colormru v:ext="edit" colors="#d5d2ca"/>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7EA6"/>
    <w:rsid w:val="0000063F"/>
    <w:rsid w:val="00000F9E"/>
    <w:rsid w:val="00001640"/>
    <w:rsid w:val="00001B36"/>
    <w:rsid w:val="000021CE"/>
    <w:rsid w:val="00002F06"/>
    <w:rsid w:val="00003277"/>
    <w:rsid w:val="00004480"/>
    <w:rsid w:val="0000607A"/>
    <w:rsid w:val="00006320"/>
    <w:rsid w:val="00006601"/>
    <w:rsid w:val="00006DED"/>
    <w:rsid w:val="00006E1D"/>
    <w:rsid w:val="00007D24"/>
    <w:rsid w:val="00007EF6"/>
    <w:rsid w:val="00011FF0"/>
    <w:rsid w:val="000125DF"/>
    <w:rsid w:val="000128F6"/>
    <w:rsid w:val="000134B0"/>
    <w:rsid w:val="000154C2"/>
    <w:rsid w:val="000159B0"/>
    <w:rsid w:val="00015B9E"/>
    <w:rsid w:val="000165E9"/>
    <w:rsid w:val="00016FAA"/>
    <w:rsid w:val="00020B3A"/>
    <w:rsid w:val="00021614"/>
    <w:rsid w:val="00021ABD"/>
    <w:rsid w:val="000222BB"/>
    <w:rsid w:val="00022FD0"/>
    <w:rsid w:val="0002323A"/>
    <w:rsid w:val="000235A2"/>
    <w:rsid w:val="00024794"/>
    <w:rsid w:val="000269D5"/>
    <w:rsid w:val="00026D24"/>
    <w:rsid w:val="00026E79"/>
    <w:rsid w:val="00027014"/>
    <w:rsid w:val="00027263"/>
    <w:rsid w:val="00027679"/>
    <w:rsid w:val="000277DC"/>
    <w:rsid w:val="0003065E"/>
    <w:rsid w:val="00030745"/>
    <w:rsid w:val="00030B8A"/>
    <w:rsid w:val="00031D50"/>
    <w:rsid w:val="000321AF"/>
    <w:rsid w:val="00032788"/>
    <w:rsid w:val="00032B3E"/>
    <w:rsid w:val="00034773"/>
    <w:rsid w:val="00035206"/>
    <w:rsid w:val="000356F3"/>
    <w:rsid w:val="00035FC5"/>
    <w:rsid w:val="000400C2"/>
    <w:rsid w:val="000402D4"/>
    <w:rsid w:val="000429C0"/>
    <w:rsid w:val="00043036"/>
    <w:rsid w:val="000448DC"/>
    <w:rsid w:val="00044A8A"/>
    <w:rsid w:val="00045A5B"/>
    <w:rsid w:val="00046B55"/>
    <w:rsid w:val="0004728F"/>
    <w:rsid w:val="000478E1"/>
    <w:rsid w:val="000479FA"/>
    <w:rsid w:val="000501E0"/>
    <w:rsid w:val="00052509"/>
    <w:rsid w:val="00052B28"/>
    <w:rsid w:val="00052B83"/>
    <w:rsid w:val="0005303B"/>
    <w:rsid w:val="000533AF"/>
    <w:rsid w:val="00053535"/>
    <w:rsid w:val="00053D07"/>
    <w:rsid w:val="0005538E"/>
    <w:rsid w:val="0005617E"/>
    <w:rsid w:val="000565F3"/>
    <w:rsid w:val="000575A5"/>
    <w:rsid w:val="00057FCA"/>
    <w:rsid w:val="0006021F"/>
    <w:rsid w:val="0006029B"/>
    <w:rsid w:val="00060E2D"/>
    <w:rsid w:val="00061EE4"/>
    <w:rsid w:val="000632CD"/>
    <w:rsid w:val="00063915"/>
    <w:rsid w:val="00064C54"/>
    <w:rsid w:val="0006619B"/>
    <w:rsid w:val="0006642D"/>
    <w:rsid w:val="00066A87"/>
    <w:rsid w:val="00067EA3"/>
    <w:rsid w:val="000704B3"/>
    <w:rsid w:val="000712A8"/>
    <w:rsid w:val="00072737"/>
    <w:rsid w:val="0007303D"/>
    <w:rsid w:val="00073122"/>
    <w:rsid w:val="00073826"/>
    <w:rsid w:val="000741D5"/>
    <w:rsid w:val="000759EC"/>
    <w:rsid w:val="00076DB5"/>
    <w:rsid w:val="00080414"/>
    <w:rsid w:val="00080E8B"/>
    <w:rsid w:val="00081EC3"/>
    <w:rsid w:val="000827CB"/>
    <w:rsid w:val="000835F1"/>
    <w:rsid w:val="0008439B"/>
    <w:rsid w:val="00084DFB"/>
    <w:rsid w:val="00085124"/>
    <w:rsid w:val="00086538"/>
    <w:rsid w:val="00087BB2"/>
    <w:rsid w:val="00090090"/>
    <w:rsid w:val="0009156E"/>
    <w:rsid w:val="00091D6D"/>
    <w:rsid w:val="000921E6"/>
    <w:rsid w:val="0009221F"/>
    <w:rsid w:val="00093221"/>
    <w:rsid w:val="00093381"/>
    <w:rsid w:val="0009451D"/>
    <w:rsid w:val="00094DA5"/>
    <w:rsid w:val="0009628B"/>
    <w:rsid w:val="000966A6"/>
    <w:rsid w:val="00096AC1"/>
    <w:rsid w:val="0009793B"/>
    <w:rsid w:val="00097D7F"/>
    <w:rsid w:val="000A11B6"/>
    <w:rsid w:val="000A3B81"/>
    <w:rsid w:val="000A3C71"/>
    <w:rsid w:val="000A460A"/>
    <w:rsid w:val="000A4A66"/>
    <w:rsid w:val="000A4F18"/>
    <w:rsid w:val="000A5B22"/>
    <w:rsid w:val="000A6EC2"/>
    <w:rsid w:val="000A768A"/>
    <w:rsid w:val="000A7954"/>
    <w:rsid w:val="000A7BBE"/>
    <w:rsid w:val="000B0C14"/>
    <w:rsid w:val="000B1375"/>
    <w:rsid w:val="000B27F9"/>
    <w:rsid w:val="000B37DC"/>
    <w:rsid w:val="000B446C"/>
    <w:rsid w:val="000B4473"/>
    <w:rsid w:val="000B587A"/>
    <w:rsid w:val="000B59F3"/>
    <w:rsid w:val="000B5D75"/>
    <w:rsid w:val="000B65A1"/>
    <w:rsid w:val="000B6703"/>
    <w:rsid w:val="000B67E1"/>
    <w:rsid w:val="000B6D3A"/>
    <w:rsid w:val="000B6E21"/>
    <w:rsid w:val="000B787E"/>
    <w:rsid w:val="000B7C09"/>
    <w:rsid w:val="000B7EBB"/>
    <w:rsid w:val="000C1A13"/>
    <w:rsid w:val="000C1CCD"/>
    <w:rsid w:val="000C1EF2"/>
    <w:rsid w:val="000C3303"/>
    <w:rsid w:val="000C33A0"/>
    <w:rsid w:val="000C4D7D"/>
    <w:rsid w:val="000C4E37"/>
    <w:rsid w:val="000C6280"/>
    <w:rsid w:val="000D132E"/>
    <w:rsid w:val="000D2431"/>
    <w:rsid w:val="000D2A75"/>
    <w:rsid w:val="000D2C10"/>
    <w:rsid w:val="000D3246"/>
    <w:rsid w:val="000D4873"/>
    <w:rsid w:val="000D5D2B"/>
    <w:rsid w:val="000D757B"/>
    <w:rsid w:val="000D76CD"/>
    <w:rsid w:val="000E013D"/>
    <w:rsid w:val="000E0242"/>
    <w:rsid w:val="000E0821"/>
    <w:rsid w:val="000E0B6E"/>
    <w:rsid w:val="000E1EAA"/>
    <w:rsid w:val="000E2649"/>
    <w:rsid w:val="000E2F86"/>
    <w:rsid w:val="000E38C5"/>
    <w:rsid w:val="000E3FA2"/>
    <w:rsid w:val="000E441F"/>
    <w:rsid w:val="000E450A"/>
    <w:rsid w:val="000E4623"/>
    <w:rsid w:val="000E49E9"/>
    <w:rsid w:val="000E4F4D"/>
    <w:rsid w:val="000E5404"/>
    <w:rsid w:val="000E56DD"/>
    <w:rsid w:val="000E62BC"/>
    <w:rsid w:val="000E6A92"/>
    <w:rsid w:val="000E75EF"/>
    <w:rsid w:val="000E77E8"/>
    <w:rsid w:val="000E7932"/>
    <w:rsid w:val="000E7A61"/>
    <w:rsid w:val="000F01C4"/>
    <w:rsid w:val="000F1571"/>
    <w:rsid w:val="000F1AEB"/>
    <w:rsid w:val="000F2DB2"/>
    <w:rsid w:val="000F2F7C"/>
    <w:rsid w:val="000F3C4A"/>
    <w:rsid w:val="000F4027"/>
    <w:rsid w:val="000F4BCC"/>
    <w:rsid w:val="000F575B"/>
    <w:rsid w:val="000F57A6"/>
    <w:rsid w:val="000F5A15"/>
    <w:rsid w:val="000F5F3B"/>
    <w:rsid w:val="00100057"/>
    <w:rsid w:val="0010021A"/>
    <w:rsid w:val="00100B25"/>
    <w:rsid w:val="00100E8E"/>
    <w:rsid w:val="00101812"/>
    <w:rsid w:val="00102A23"/>
    <w:rsid w:val="00103439"/>
    <w:rsid w:val="001039CF"/>
    <w:rsid w:val="0010436C"/>
    <w:rsid w:val="001047F8"/>
    <w:rsid w:val="0010553B"/>
    <w:rsid w:val="00105D07"/>
    <w:rsid w:val="00106146"/>
    <w:rsid w:val="00107248"/>
    <w:rsid w:val="00107710"/>
    <w:rsid w:val="001077B8"/>
    <w:rsid w:val="0010796C"/>
    <w:rsid w:val="001111EB"/>
    <w:rsid w:val="00113159"/>
    <w:rsid w:val="00115CEA"/>
    <w:rsid w:val="00115E7E"/>
    <w:rsid w:val="001162FA"/>
    <w:rsid w:val="0011664B"/>
    <w:rsid w:val="001167F6"/>
    <w:rsid w:val="00116B63"/>
    <w:rsid w:val="00117166"/>
    <w:rsid w:val="00117B75"/>
    <w:rsid w:val="00117BCF"/>
    <w:rsid w:val="001200C5"/>
    <w:rsid w:val="0012169C"/>
    <w:rsid w:val="00121BE1"/>
    <w:rsid w:val="00122C1F"/>
    <w:rsid w:val="00123E78"/>
    <w:rsid w:val="001247C1"/>
    <w:rsid w:val="00124DAF"/>
    <w:rsid w:val="0012516D"/>
    <w:rsid w:val="0012607F"/>
    <w:rsid w:val="00126F8C"/>
    <w:rsid w:val="00127DEB"/>
    <w:rsid w:val="00127F55"/>
    <w:rsid w:val="001330CE"/>
    <w:rsid w:val="0013468A"/>
    <w:rsid w:val="00134A19"/>
    <w:rsid w:val="00134BD0"/>
    <w:rsid w:val="00134FEA"/>
    <w:rsid w:val="001357B6"/>
    <w:rsid w:val="00135C40"/>
    <w:rsid w:val="00137646"/>
    <w:rsid w:val="00137F7A"/>
    <w:rsid w:val="00140169"/>
    <w:rsid w:val="001402C8"/>
    <w:rsid w:val="00140A48"/>
    <w:rsid w:val="00140C08"/>
    <w:rsid w:val="00140DD7"/>
    <w:rsid w:val="0014127C"/>
    <w:rsid w:val="00142016"/>
    <w:rsid w:val="001421F4"/>
    <w:rsid w:val="00142650"/>
    <w:rsid w:val="00143289"/>
    <w:rsid w:val="0014343A"/>
    <w:rsid w:val="001438CD"/>
    <w:rsid w:val="00143945"/>
    <w:rsid w:val="0014399D"/>
    <w:rsid w:val="00144565"/>
    <w:rsid w:val="00144747"/>
    <w:rsid w:val="001450AD"/>
    <w:rsid w:val="00146339"/>
    <w:rsid w:val="00147586"/>
    <w:rsid w:val="00151406"/>
    <w:rsid w:val="001519F0"/>
    <w:rsid w:val="00151C6E"/>
    <w:rsid w:val="00152D51"/>
    <w:rsid w:val="001533F1"/>
    <w:rsid w:val="00153676"/>
    <w:rsid w:val="00154480"/>
    <w:rsid w:val="00154DFC"/>
    <w:rsid w:val="00155226"/>
    <w:rsid w:val="00156031"/>
    <w:rsid w:val="001561A6"/>
    <w:rsid w:val="001561E7"/>
    <w:rsid w:val="00156253"/>
    <w:rsid w:val="00157171"/>
    <w:rsid w:val="001573D0"/>
    <w:rsid w:val="001575A2"/>
    <w:rsid w:val="001577FC"/>
    <w:rsid w:val="00160820"/>
    <w:rsid w:val="0016091B"/>
    <w:rsid w:val="00160DE0"/>
    <w:rsid w:val="00161FEF"/>
    <w:rsid w:val="001625BA"/>
    <w:rsid w:val="001627D3"/>
    <w:rsid w:val="00162C5D"/>
    <w:rsid w:val="00163019"/>
    <w:rsid w:val="0016390D"/>
    <w:rsid w:val="00163C0B"/>
    <w:rsid w:val="00164DDB"/>
    <w:rsid w:val="001658BB"/>
    <w:rsid w:val="00165CFB"/>
    <w:rsid w:val="00165EAC"/>
    <w:rsid w:val="0016691D"/>
    <w:rsid w:val="00170766"/>
    <w:rsid w:val="001707C6"/>
    <w:rsid w:val="0017180D"/>
    <w:rsid w:val="00172A69"/>
    <w:rsid w:val="00172F0F"/>
    <w:rsid w:val="00173B0C"/>
    <w:rsid w:val="001750BC"/>
    <w:rsid w:val="0017560E"/>
    <w:rsid w:val="0017576D"/>
    <w:rsid w:val="00175BA3"/>
    <w:rsid w:val="00175D5D"/>
    <w:rsid w:val="00175F60"/>
    <w:rsid w:val="00176BF5"/>
    <w:rsid w:val="00176E74"/>
    <w:rsid w:val="00177527"/>
    <w:rsid w:val="001803E8"/>
    <w:rsid w:val="00180AF2"/>
    <w:rsid w:val="00181176"/>
    <w:rsid w:val="00181C29"/>
    <w:rsid w:val="001837C1"/>
    <w:rsid w:val="001844F7"/>
    <w:rsid w:val="00184FA6"/>
    <w:rsid w:val="00184FC0"/>
    <w:rsid w:val="00185F61"/>
    <w:rsid w:val="00187537"/>
    <w:rsid w:val="00187545"/>
    <w:rsid w:val="00187DA5"/>
    <w:rsid w:val="00190530"/>
    <w:rsid w:val="00190848"/>
    <w:rsid w:val="00190CA0"/>
    <w:rsid w:val="0019167F"/>
    <w:rsid w:val="0019200C"/>
    <w:rsid w:val="00194B61"/>
    <w:rsid w:val="00194EFB"/>
    <w:rsid w:val="001965C9"/>
    <w:rsid w:val="001968AA"/>
    <w:rsid w:val="00197105"/>
    <w:rsid w:val="001A0F21"/>
    <w:rsid w:val="001A5D76"/>
    <w:rsid w:val="001A5F12"/>
    <w:rsid w:val="001A66BC"/>
    <w:rsid w:val="001A694C"/>
    <w:rsid w:val="001A6D94"/>
    <w:rsid w:val="001B00D4"/>
    <w:rsid w:val="001B22EA"/>
    <w:rsid w:val="001B25C5"/>
    <w:rsid w:val="001B4244"/>
    <w:rsid w:val="001B450B"/>
    <w:rsid w:val="001B4AA3"/>
    <w:rsid w:val="001B51FC"/>
    <w:rsid w:val="001B5900"/>
    <w:rsid w:val="001B5ED4"/>
    <w:rsid w:val="001B62DE"/>
    <w:rsid w:val="001B64B3"/>
    <w:rsid w:val="001B7841"/>
    <w:rsid w:val="001B7F73"/>
    <w:rsid w:val="001C0259"/>
    <w:rsid w:val="001C041F"/>
    <w:rsid w:val="001C0689"/>
    <w:rsid w:val="001C0B54"/>
    <w:rsid w:val="001C0F85"/>
    <w:rsid w:val="001C1747"/>
    <w:rsid w:val="001C1B7E"/>
    <w:rsid w:val="001C2A59"/>
    <w:rsid w:val="001C2B6D"/>
    <w:rsid w:val="001C34C9"/>
    <w:rsid w:val="001C36B4"/>
    <w:rsid w:val="001C3D7D"/>
    <w:rsid w:val="001C3E9B"/>
    <w:rsid w:val="001C3EE4"/>
    <w:rsid w:val="001C4030"/>
    <w:rsid w:val="001C4124"/>
    <w:rsid w:val="001C4608"/>
    <w:rsid w:val="001C465B"/>
    <w:rsid w:val="001C47CE"/>
    <w:rsid w:val="001C48BB"/>
    <w:rsid w:val="001C4D7D"/>
    <w:rsid w:val="001C51F3"/>
    <w:rsid w:val="001C56A5"/>
    <w:rsid w:val="001C5F85"/>
    <w:rsid w:val="001C6F3D"/>
    <w:rsid w:val="001C796F"/>
    <w:rsid w:val="001C7E1F"/>
    <w:rsid w:val="001C7E72"/>
    <w:rsid w:val="001D2382"/>
    <w:rsid w:val="001D2CFB"/>
    <w:rsid w:val="001D3F08"/>
    <w:rsid w:val="001D4E75"/>
    <w:rsid w:val="001D5B2C"/>
    <w:rsid w:val="001D6909"/>
    <w:rsid w:val="001D69C2"/>
    <w:rsid w:val="001D6B4F"/>
    <w:rsid w:val="001E010B"/>
    <w:rsid w:val="001E1061"/>
    <w:rsid w:val="001E1A2D"/>
    <w:rsid w:val="001E27D2"/>
    <w:rsid w:val="001E38BC"/>
    <w:rsid w:val="001E3F81"/>
    <w:rsid w:val="001E59FE"/>
    <w:rsid w:val="001E6C57"/>
    <w:rsid w:val="001E7BD8"/>
    <w:rsid w:val="001E7EAA"/>
    <w:rsid w:val="001F00CC"/>
    <w:rsid w:val="001F0D67"/>
    <w:rsid w:val="001F0D69"/>
    <w:rsid w:val="001F1396"/>
    <w:rsid w:val="001F144E"/>
    <w:rsid w:val="001F24E7"/>
    <w:rsid w:val="001F2AB2"/>
    <w:rsid w:val="001F2CDA"/>
    <w:rsid w:val="001F3DAD"/>
    <w:rsid w:val="001F3E8D"/>
    <w:rsid w:val="001F43A6"/>
    <w:rsid w:val="001F5074"/>
    <w:rsid w:val="001F5ECB"/>
    <w:rsid w:val="001F65F6"/>
    <w:rsid w:val="001F6E06"/>
    <w:rsid w:val="0020020D"/>
    <w:rsid w:val="002004B7"/>
    <w:rsid w:val="00200688"/>
    <w:rsid w:val="002017D8"/>
    <w:rsid w:val="00203331"/>
    <w:rsid w:val="002034BA"/>
    <w:rsid w:val="002046F6"/>
    <w:rsid w:val="0020533C"/>
    <w:rsid w:val="00206A19"/>
    <w:rsid w:val="00207536"/>
    <w:rsid w:val="00210424"/>
    <w:rsid w:val="00210454"/>
    <w:rsid w:val="00210F03"/>
    <w:rsid w:val="00211151"/>
    <w:rsid w:val="002118E6"/>
    <w:rsid w:val="00211BC9"/>
    <w:rsid w:val="00212E59"/>
    <w:rsid w:val="002140D7"/>
    <w:rsid w:val="00216760"/>
    <w:rsid w:val="00216F89"/>
    <w:rsid w:val="002171BC"/>
    <w:rsid w:val="00220447"/>
    <w:rsid w:val="0022062E"/>
    <w:rsid w:val="002208E0"/>
    <w:rsid w:val="00222FF7"/>
    <w:rsid w:val="002246E7"/>
    <w:rsid w:val="00224EDB"/>
    <w:rsid w:val="002265EC"/>
    <w:rsid w:val="002270AF"/>
    <w:rsid w:val="00227609"/>
    <w:rsid w:val="00227AAF"/>
    <w:rsid w:val="00230EEA"/>
    <w:rsid w:val="00234957"/>
    <w:rsid w:val="00234CC7"/>
    <w:rsid w:val="00234D44"/>
    <w:rsid w:val="002354F1"/>
    <w:rsid w:val="00235A99"/>
    <w:rsid w:val="00235FB0"/>
    <w:rsid w:val="002362FB"/>
    <w:rsid w:val="0023676C"/>
    <w:rsid w:val="00237B02"/>
    <w:rsid w:val="00237B51"/>
    <w:rsid w:val="00240EEA"/>
    <w:rsid w:val="00240F13"/>
    <w:rsid w:val="002414C9"/>
    <w:rsid w:val="00241C3F"/>
    <w:rsid w:val="00242008"/>
    <w:rsid w:val="002434F3"/>
    <w:rsid w:val="00243854"/>
    <w:rsid w:val="00245695"/>
    <w:rsid w:val="00245783"/>
    <w:rsid w:val="0024725D"/>
    <w:rsid w:val="00247747"/>
    <w:rsid w:val="00250A35"/>
    <w:rsid w:val="00251B3F"/>
    <w:rsid w:val="00251D1C"/>
    <w:rsid w:val="002529C8"/>
    <w:rsid w:val="00252DC0"/>
    <w:rsid w:val="00252FA3"/>
    <w:rsid w:val="00254771"/>
    <w:rsid w:val="0025592C"/>
    <w:rsid w:val="00255D40"/>
    <w:rsid w:val="00255D9E"/>
    <w:rsid w:val="002571BE"/>
    <w:rsid w:val="00257C1E"/>
    <w:rsid w:val="00260152"/>
    <w:rsid w:val="00260F1D"/>
    <w:rsid w:val="00260F44"/>
    <w:rsid w:val="002613E9"/>
    <w:rsid w:val="002620ED"/>
    <w:rsid w:val="002625D2"/>
    <w:rsid w:val="00264141"/>
    <w:rsid w:val="00265774"/>
    <w:rsid w:val="002658E8"/>
    <w:rsid w:val="0026629F"/>
    <w:rsid w:val="002715F9"/>
    <w:rsid w:val="00271CE3"/>
    <w:rsid w:val="00271D35"/>
    <w:rsid w:val="00271E38"/>
    <w:rsid w:val="0027254B"/>
    <w:rsid w:val="002733C7"/>
    <w:rsid w:val="00275609"/>
    <w:rsid w:val="002777D3"/>
    <w:rsid w:val="00277D94"/>
    <w:rsid w:val="00281EA4"/>
    <w:rsid w:val="00283FE8"/>
    <w:rsid w:val="00284895"/>
    <w:rsid w:val="00284AA4"/>
    <w:rsid w:val="002864F6"/>
    <w:rsid w:val="002865DE"/>
    <w:rsid w:val="00286A96"/>
    <w:rsid w:val="00286B19"/>
    <w:rsid w:val="00286B39"/>
    <w:rsid w:val="00286C0F"/>
    <w:rsid w:val="00286C57"/>
    <w:rsid w:val="00286EDF"/>
    <w:rsid w:val="00290F05"/>
    <w:rsid w:val="00290FA2"/>
    <w:rsid w:val="002918E5"/>
    <w:rsid w:val="00291960"/>
    <w:rsid w:val="002931EF"/>
    <w:rsid w:val="00293F34"/>
    <w:rsid w:val="00295A9C"/>
    <w:rsid w:val="00295DC2"/>
    <w:rsid w:val="00296261"/>
    <w:rsid w:val="00296817"/>
    <w:rsid w:val="00296985"/>
    <w:rsid w:val="00297586"/>
    <w:rsid w:val="002A185D"/>
    <w:rsid w:val="002A18F6"/>
    <w:rsid w:val="002A2AF1"/>
    <w:rsid w:val="002A2F3C"/>
    <w:rsid w:val="002A2F84"/>
    <w:rsid w:val="002A38AB"/>
    <w:rsid w:val="002A44C5"/>
    <w:rsid w:val="002A59C7"/>
    <w:rsid w:val="002A6011"/>
    <w:rsid w:val="002B0974"/>
    <w:rsid w:val="002B0A63"/>
    <w:rsid w:val="002B0E6F"/>
    <w:rsid w:val="002B24EB"/>
    <w:rsid w:val="002B2729"/>
    <w:rsid w:val="002B27D2"/>
    <w:rsid w:val="002B2A7C"/>
    <w:rsid w:val="002B4205"/>
    <w:rsid w:val="002B46E6"/>
    <w:rsid w:val="002B4B5D"/>
    <w:rsid w:val="002B5E24"/>
    <w:rsid w:val="002B6132"/>
    <w:rsid w:val="002B698D"/>
    <w:rsid w:val="002B6B1F"/>
    <w:rsid w:val="002B6D2A"/>
    <w:rsid w:val="002C04E3"/>
    <w:rsid w:val="002C13FB"/>
    <w:rsid w:val="002C1C90"/>
    <w:rsid w:val="002C367E"/>
    <w:rsid w:val="002C4106"/>
    <w:rsid w:val="002C4E48"/>
    <w:rsid w:val="002C5150"/>
    <w:rsid w:val="002C7B53"/>
    <w:rsid w:val="002D3F6B"/>
    <w:rsid w:val="002D4269"/>
    <w:rsid w:val="002D452F"/>
    <w:rsid w:val="002D5CDE"/>
    <w:rsid w:val="002D61D3"/>
    <w:rsid w:val="002D6832"/>
    <w:rsid w:val="002D691C"/>
    <w:rsid w:val="002E07EE"/>
    <w:rsid w:val="002E215F"/>
    <w:rsid w:val="002E2C21"/>
    <w:rsid w:val="002E3472"/>
    <w:rsid w:val="002E4291"/>
    <w:rsid w:val="002E4825"/>
    <w:rsid w:val="002E4D82"/>
    <w:rsid w:val="002E5352"/>
    <w:rsid w:val="002E6124"/>
    <w:rsid w:val="002E758D"/>
    <w:rsid w:val="002F03A1"/>
    <w:rsid w:val="002F2B41"/>
    <w:rsid w:val="002F2D28"/>
    <w:rsid w:val="002F2E58"/>
    <w:rsid w:val="002F3403"/>
    <w:rsid w:val="002F4311"/>
    <w:rsid w:val="002F4360"/>
    <w:rsid w:val="002F4F57"/>
    <w:rsid w:val="002F5C0C"/>
    <w:rsid w:val="002F5E77"/>
    <w:rsid w:val="002F6E74"/>
    <w:rsid w:val="00300758"/>
    <w:rsid w:val="00300973"/>
    <w:rsid w:val="00300DCE"/>
    <w:rsid w:val="00301232"/>
    <w:rsid w:val="00303645"/>
    <w:rsid w:val="00305108"/>
    <w:rsid w:val="003079BB"/>
    <w:rsid w:val="00307DD0"/>
    <w:rsid w:val="00311132"/>
    <w:rsid w:val="00311619"/>
    <w:rsid w:val="0031476E"/>
    <w:rsid w:val="00314A6E"/>
    <w:rsid w:val="003155C6"/>
    <w:rsid w:val="00316087"/>
    <w:rsid w:val="00317FA7"/>
    <w:rsid w:val="003202F4"/>
    <w:rsid w:val="00320876"/>
    <w:rsid w:val="00323326"/>
    <w:rsid w:val="0032449F"/>
    <w:rsid w:val="003249E3"/>
    <w:rsid w:val="003266DD"/>
    <w:rsid w:val="003269FA"/>
    <w:rsid w:val="0032768D"/>
    <w:rsid w:val="0032790D"/>
    <w:rsid w:val="00330E7D"/>
    <w:rsid w:val="00331B74"/>
    <w:rsid w:val="003322CB"/>
    <w:rsid w:val="00332981"/>
    <w:rsid w:val="003330D8"/>
    <w:rsid w:val="00333E09"/>
    <w:rsid w:val="00333EB1"/>
    <w:rsid w:val="0033469D"/>
    <w:rsid w:val="0033473B"/>
    <w:rsid w:val="003366E6"/>
    <w:rsid w:val="00337E84"/>
    <w:rsid w:val="00340DDE"/>
    <w:rsid w:val="00341B43"/>
    <w:rsid w:val="00343AD3"/>
    <w:rsid w:val="0034518F"/>
    <w:rsid w:val="003457FA"/>
    <w:rsid w:val="003467A2"/>
    <w:rsid w:val="00346A5D"/>
    <w:rsid w:val="003470BA"/>
    <w:rsid w:val="0034744A"/>
    <w:rsid w:val="00347603"/>
    <w:rsid w:val="00347AAE"/>
    <w:rsid w:val="003502CE"/>
    <w:rsid w:val="00350B96"/>
    <w:rsid w:val="00351797"/>
    <w:rsid w:val="003517F5"/>
    <w:rsid w:val="00352436"/>
    <w:rsid w:val="00354627"/>
    <w:rsid w:val="00354739"/>
    <w:rsid w:val="00354A73"/>
    <w:rsid w:val="00354C9D"/>
    <w:rsid w:val="00355810"/>
    <w:rsid w:val="00355B29"/>
    <w:rsid w:val="003562C3"/>
    <w:rsid w:val="003570B1"/>
    <w:rsid w:val="00357BC8"/>
    <w:rsid w:val="00360E3E"/>
    <w:rsid w:val="00360FE1"/>
    <w:rsid w:val="003618C1"/>
    <w:rsid w:val="0036247F"/>
    <w:rsid w:val="00362485"/>
    <w:rsid w:val="003625DF"/>
    <w:rsid w:val="00362D45"/>
    <w:rsid w:val="00362FBB"/>
    <w:rsid w:val="00362FE3"/>
    <w:rsid w:val="003631F6"/>
    <w:rsid w:val="00366732"/>
    <w:rsid w:val="00366D6F"/>
    <w:rsid w:val="0036746C"/>
    <w:rsid w:val="00367AF5"/>
    <w:rsid w:val="003715CD"/>
    <w:rsid w:val="00371848"/>
    <w:rsid w:val="00373C4A"/>
    <w:rsid w:val="003746E6"/>
    <w:rsid w:val="00374736"/>
    <w:rsid w:val="00374891"/>
    <w:rsid w:val="00374B88"/>
    <w:rsid w:val="00374FEE"/>
    <w:rsid w:val="003752CA"/>
    <w:rsid w:val="00375AD2"/>
    <w:rsid w:val="00375EB4"/>
    <w:rsid w:val="003764CC"/>
    <w:rsid w:val="00376DC1"/>
    <w:rsid w:val="003771FE"/>
    <w:rsid w:val="00377A1A"/>
    <w:rsid w:val="00380751"/>
    <w:rsid w:val="0038098B"/>
    <w:rsid w:val="0038160E"/>
    <w:rsid w:val="00383078"/>
    <w:rsid w:val="00383692"/>
    <w:rsid w:val="00384950"/>
    <w:rsid w:val="00384DCD"/>
    <w:rsid w:val="00384FA7"/>
    <w:rsid w:val="0038503F"/>
    <w:rsid w:val="003850BA"/>
    <w:rsid w:val="003859A5"/>
    <w:rsid w:val="00386768"/>
    <w:rsid w:val="00386A04"/>
    <w:rsid w:val="00386FDF"/>
    <w:rsid w:val="00391D9B"/>
    <w:rsid w:val="00392EB7"/>
    <w:rsid w:val="00393A8F"/>
    <w:rsid w:val="00393B99"/>
    <w:rsid w:val="00394094"/>
    <w:rsid w:val="00395CFC"/>
    <w:rsid w:val="003969CC"/>
    <w:rsid w:val="00396DBB"/>
    <w:rsid w:val="0039726E"/>
    <w:rsid w:val="003979B3"/>
    <w:rsid w:val="003979CC"/>
    <w:rsid w:val="003A020C"/>
    <w:rsid w:val="003A06C3"/>
    <w:rsid w:val="003A2C23"/>
    <w:rsid w:val="003A3695"/>
    <w:rsid w:val="003A5395"/>
    <w:rsid w:val="003A55FE"/>
    <w:rsid w:val="003A59E9"/>
    <w:rsid w:val="003A6C63"/>
    <w:rsid w:val="003A6CC6"/>
    <w:rsid w:val="003A7DBF"/>
    <w:rsid w:val="003B0E10"/>
    <w:rsid w:val="003B213D"/>
    <w:rsid w:val="003B2EE4"/>
    <w:rsid w:val="003B3BD0"/>
    <w:rsid w:val="003B3D58"/>
    <w:rsid w:val="003B3E29"/>
    <w:rsid w:val="003B4505"/>
    <w:rsid w:val="003B712D"/>
    <w:rsid w:val="003C1262"/>
    <w:rsid w:val="003C16F2"/>
    <w:rsid w:val="003C3560"/>
    <w:rsid w:val="003C39C9"/>
    <w:rsid w:val="003C3CF4"/>
    <w:rsid w:val="003C413C"/>
    <w:rsid w:val="003C4B9D"/>
    <w:rsid w:val="003C4C7A"/>
    <w:rsid w:val="003C5CE4"/>
    <w:rsid w:val="003C5E1F"/>
    <w:rsid w:val="003C71AC"/>
    <w:rsid w:val="003D147F"/>
    <w:rsid w:val="003D1A2B"/>
    <w:rsid w:val="003D1F6A"/>
    <w:rsid w:val="003D22CC"/>
    <w:rsid w:val="003D2455"/>
    <w:rsid w:val="003D246A"/>
    <w:rsid w:val="003D3277"/>
    <w:rsid w:val="003D33E8"/>
    <w:rsid w:val="003D3540"/>
    <w:rsid w:val="003D3BCE"/>
    <w:rsid w:val="003D6790"/>
    <w:rsid w:val="003D71C6"/>
    <w:rsid w:val="003D73FA"/>
    <w:rsid w:val="003E00DC"/>
    <w:rsid w:val="003E0CE2"/>
    <w:rsid w:val="003E11E3"/>
    <w:rsid w:val="003E12CD"/>
    <w:rsid w:val="003E1427"/>
    <w:rsid w:val="003E488F"/>
    <w:rsid w:val="003E518E"/>
    <w:rsid w:val="003E567F"/>
    <w:rsid w:val="003E6713"/>
    <w:rsid w:val="003F0231"/>
    <w:rsid w:val="003F0CE2"/>
    <w:rsid w:val="003F221F"/>
    <w:rsid w:val="003F2853"/>
    <w:rsid w:val="003F33AF"/>
    <w:rsid w:val="003F58CD"/>
    <w:rsid w:val="003F58FA"/>
    <w:rsid w:val="003F5DE6"/>
    <w:rsid w:val="003F629E"/>
    <w:rsid w:val="003F6926"/>
    <w:rsid w:val="003F6A22"/>
    <w:rsid w:val="0040036D"/>
    <w:rsid w:val="004004EB"/>
    <w:rsid w:val="00400B55"/>
    <w:rsid w:val="00401C1D"/>
    <w:rsid w:val="00401D0E"/>
    <w:rsid w:val="00402350"/>
    <w:rsid w:val="00402FFC"/>
    <w:rsid w:val="00403580"/>
    <w:rsid w:val="00403A64"/>
    <w:rsid w:val="00403E6A"/>
    <w:rsid w:val="00404048"/>
    <w:rsid w:val="00404E1F"/>
    <w:rsid w:val="00405732"/>
    <w:rsid w:val="00406432"/>
    <w:rsid w:val="00406675"/>
    <w:rsid w:val="00406A98"/>
    <w:rsid w:val="0041308D"/>
    <w:rsid w:val="004132C8"/>
    <w:rsid w:val="004136FB"/>
    <w:rsid w:val="004140D0"/>
    <w:rsid w:val="0041435B"/>
    <w:rsid w:val="004153BA"/>
    <w:rsid w:val="00415DDE"/>
    <w:rsid w:val="004170C9"/>
    <w:rsid w:val="00417AEB"/>
    <w:rsid w:val="00420A13"/>
    <w:rsid w:val="00420F1C"/>
    <w:rsid w:val="00421670"/>
    <w:rsid w:val="004257E3"/>
    <w:rsid w:val="004259FC"/>
    <w:rsid w:val="00426D4B"/>
    <w:rsid w:val="004302A8"/>
    <w:rsid w:val="00430616"/>
    <w:rsid w:val="0043075B"/>
    <w:rsid w:val="00430895"/>
    <w:rsid w:val="00430CA8"/>
    <w:rsid w:val="004322DD"/>
    <w:rsid w:val="004325D5"/>
    <w:rsid w:val="0043479A"/>
    <w:rsid w:val="00434FB6"/>
    <w:rsid w:val="0043549E"/>
    <w:rsid w:val="00435580"/>
    <w:rsid w:val="0043663A"/>
    <w:rsid w:val="00436AFA"/>
    <w:rsid w:val="00436E72"/>
    <w:rsid w:val="00440CA7"/>
    <w:rsid w:val="00441AB7"/>
    <w:rsid w:val="00443C05"/>
    <w:rsid w:val="00443E4C"/>
    <w:rsid w:val="00445754"/>
    <w:rsid w:val="00445EA9"/>
    <w:rsid w:val="00446BE2"/>
    <w:rsid w:val="00450A4C"/>
    <w:rsid w:val="00452C1C"/>
    <w:rsid w:val="00452E9E"/>
    <w:rsid w:val="00453703"/>
    <w:rsid w:val="00454D11"/>
    <w:rsid w:val="004569C0"/>
    <w:rsid w:val="00457B83"/>
    <w:rsid w:val="004611D7"/>
    <w:rsid w:val="00461473"/>
    <w:rsid w:val="0046190C"/>
    <w:rsid w:val="00463121"/>
    <w:rsid w:val="004633DE"/>
    <w:rsid w:val="00463633"/>
    <w:rsid w:val="00463F3B"/>
    <w:rsid w:val="00464093"/>
    <w:rsid w:val="00464384"/>
    <w:rsid w:val="00465BAA"/>
    <w:rsid w:val="00466C27"/>
    <w:rsid w:val="004670AB"/>
    <w:rsid w:val="00467FB4"/>
    <w:rsid w:val="0047028F"/>
    <w:rsid w:val="00471995"/>
    <w:rsid w:val="004722D0"/>
    <w:rsid w:val="00472F35"/>
    <w:rsid w:val="00472F61"/>
    <w:rsid w:val="00473293"/>
    <w:rsid w:val="00473512"/>
    <w:rsid w:val="004736F2"/>
    <w:rsid w:val="0047450A"/>
    <w:rsid w:val="00474745"/>
    <w:rsid w:val="00474A47"/>
    <w:rsid w:val="00475962"/>
    <w:rsid w:val="0047703C"/>
    <w:rsid w:val="00477C03"/>
    <w:rsid w:val="00480215"/>
    <w:rsid w:val="00482477"/>
    <w:rsid w:val="00483DAD"/>
    <w:rsid w:val="00484700"/>
    <w:rsid w:val="004847FF"/>
    <w:rsid w:val="00484CBA"/>
    <w:rsid w:val="00484FEF"/>
    <w:rsid w:val="00485A45"/>
    <w:rsid w:val="004877F7"/>
    <w:rsid w:val="00490323"/>
    <w:rsid w:val="0049188F"/>
    <w:rsid w:val="00492E79"/>
    <w:rsid w:val="0049328D"/>
    <w:rsid w:val="00493DC8"/>
    <w:rsid w:val="00494743"/>
    <w:rsid w:val="00495DE2"/>
    <w:rsid w:val="00495FD8"/>
    <w:rsid w:val="00497BC2"/>
    <w:rsid w:val="004A0673"/>
    <w:rsid w:val="004A0AF0"/>
    <w:rsid w:val="004A15F0"/>
    <w:rsid w:val="004A16FF"/>
    <w:rsid w:val="004A2267"/>
    <w:rsid w:val="004A2B69"/>
    <w:rsid w:val="004A2FAF"/>
    <w:rsid w:val="004A4417"/>
    <w:rsid w:val="004A4587"/>
    <w:rsid w:val="004A47FB"/>
    <w:rsid w:val="004A4B42"/>
    <w:rsid w:val="004A67D3"/>
    <w:rsid w:val="004A6B39"/>
    <w:rsid w:val="004B18D3"/>
    <w:rsid w:val="004B258A"/>
    <w:rsid w:val="004B2707"/>
    <w:rsid w:val="004B2775"/>
    <w:rsid w:val="004B2EB2"/>
    <w:rsid w:val="004B4999"/>
    <w:rsid w:val="004B4BA1"/>
    <w:rsid w:val="004B5391"/>
    <w:rsid w:val="004B55D6"/>
    <w:rsid w:val="004B734C"/>
    <w:rsid w:val="004B7D74"/>
    <w:rsid w:val="004C00F5"/>
    <w:rsid w:val="004C00F6"/>
    <w:rsid w:val="004C0380"/>
    <w:rsid w:val="004C0CDA"/>
    <w:rsid w:val="004C16DE"/>
    <w:rsid w:val="004C17A0"/>
    <w:rsid w:val="004C1FC9"/>
    <w:rsid w:val="004C279A"/>
    <w:rsid w:val="004C3880"/>
    <w:rsid w:val="004C3C59"/>
    <w:rsid w:val="004C4719"/>
    <w:rsid w:val="004C5E2C"/>
    <w:rsid w:val="004C76B1"/>
    <w:rsid w:val="004D2710"/>
    <w:rsid w:val="004D40D3"/>
    <w:rsid w:val="004D420D"/>
    <w:rsid w:val="004D4E43"/>
    <w:rsid w:val="004D52AD"/>
    <w:rsid w:val="004D5545"/>
    <w:rsid w:val="004D616C"/>
    <w:rsid w:val="004D6254"/>
    <w:rsid w:val="004D761D"/>
    <w:rsid w:val="004D7D5A"/>
    <w:rsid w:val="004E0713"/>
    <w:rsid w:val="004E0CEE"/>
    <w:rsid w:val="004E147B"/>
    <w:rsid w:val="004E2ACD"/>
    <w:rsid w:val="004E306A"/>
    <w:rsid w:val="004E3980"/>
    <w:rsid w:val="004E5887"/>
    <w:rsid w:val="004E589F"/>
    <w:rsid w:val="004E58C3"/>
    <w:rsid w:val="004E5BC3"/>
    <w:rsid w:val="004E655B"/>
    <w:rsid w:val="004E6890"/>
    <w:rsid w:val="004E6C05"/>
    <w:rsid w:val="004E786D"/>
    <w:rsid w:val="004F02D5"/>
    <w:rsid w:val="004F0476"/>
    <w:rsid w:val="004F15C6"/>
    <w:rsid w:val="004F2614"/>
    <w:rsid w:val="004F275D"/>
    <w:rsid w:val="004F4251"/>
    <w:rsid w:val="004F4285"/>
    <w:rsid w:val="004F5953"/>
    <w:rsid w:val="004F5BEA"/>
    <w:rsid w:val="004F5E06"/>
    <w:rsid w:val="004F72D1"/>
    <w:rsid w:val="004F7A52"/>
    <w:rsid w:val="00500694"/>
    <w:rsid w:val="00500B5B"/>
    <w:rsid w:val="0050169D"/>
    <w:rsid w:val="00503E24"/>
    <w:rsid w:val="00504A67"/>
    <w:rsid w:val="00506D8C"/>
    <w:rsid w:val="00507A03"/>
    <w:rsid w:val="00510236"/>
    <w:rsid w:val="0051087F"/>
    <w:rsid w:val="00511264"/>
    <w:rsid w:val="005126A0"/>
    <w:rsid w:val="005144A4"/>
    <w:rsid w:val="00514A84"/>
    <w:rsid w:val="00515081"/>
    <w:rsid w:val="0051557A"/>
    <w:rsid w:val="00515DA3"/>
    <w:rsid w:val="00515EC1"/>
    <w:rsid w:val="0051665E"/>
    <w:rsid w:val="00517D16"/>
    <w:rsid w:val="0052157A"/>
    <w:rsid w:val="00521EA5"/>
    <w:rsid w:val="00522DB5"/>
    <w:rsid w:val="00523360"/>
    <w:rsid w:val="00524810"/>
    <w:rsid w:val="00524CFA"/>
    <w:rsid w:val="00525C53"/>
    <w:rsid w:val="005260CD"/>
    <w:rsid w:val="00526A18"/>
    <w:rsid w:val="00526A4F"/>
    <w:rsid w:val="00526C26"/>
    <w:rsid w:val="005277D9"/>
    <w:rsid w:val="00531ED8"/>
    <w:rsid w:val="00532246"/>
    <w:rsid w:val="005334B3"/>
    <w:rsid w:val="00534489"/>
    <w:rsid w:val="005352F7"/>
    <w:rsid w:val="0053573D"/>
    <w:rsid w:val="00535BB8"/>
    <w:rsid w:val="00537892"/>
    <w:rsid w:val="00540BC7"/>
    <w:rsid w:val="00541B30"/>
    <w:rsid w:val="00542230"/>
    <w:rsid w:val="00542AF8"/>
    <w:rsid w:val="00543402"/>
    <w:rsid w:val="00544FC1"/>
    <w:rsid w:val="005452DB"/>
    <w:rsid w:val="00545EC1"/>
    <w:rsid w:val="00546408"/>
    <w:rsid w:val="005467EC"/>
    <w:rsid w:val="005475CA"/>
    <w:rsid w:val="00547CA6"/>
    <w:rsid w:val="00550F47"/>
    <w:rsid w:val="00551259"/>
    <w:rsid w:val="00551768"/>
    <w:rsid w:val="00552873"/>
    <w:rsid w:val="005528F0"/>
    <w:rsid w:val="00553666"/>
    <w:rsid w:val="00554089"/>
    <w:rsid w:val="005546DE"/>
    <w:rsid w:val="0055573F"/>
    <w:rsid w:val="00555AFB"/>
    <w:rsid w:val="00556EEF"/>
    <w:rsid w:val="00556F37"/>
    <w:rsid w:val="005603F3"/>
    <w:rsid w:val="00562D7E"/>
    <w:rsid w:val="00563677"/>
    <w:rsid w:val="0056394C"/>
    <w:rsid w:val="00563B27"/>
    <w:rsid w:val="00563FBC"/>
    <w:rsid w:val="00566159"/>
    <w:rsid w:val="005663D9"/>
    <w:rsid w:val="005670FA"/>
    <w:rsid w:val="00567A81"/>
    <w:rsid w:val="00567C05"/>
    <w:rsid w:val="00567CFE"/>
    <w:rsid w:val="005708AC"/>
    <w:rsid w:val="00573740"/>
    <w:rsid w:val="005740AE"/>
    <w:rsid w:val="0057557A"/>
    <w:rsid w:val="00575943"/>
    <w:rsid w:val="00576800"/>
    <w:rsid w:val="00576959"/>
    <w:rsid w:val="00577033"/>
    <w:rsid w:val="005770B7"/>
    <w:rsid w:val="005772D4"/>
    <w:rsid w:val="00577A22"/>
    <w:rsid w:val="00581B01"/>
    <w:rsid w:val="00584CFD"/>
    <w:rsid w:val="005854D6"/>
    <w:rsid w:val="005864D3"/>
    <w:rsid w:val="00586C48"/>
    <w:rsid w:val="00587008"/>
    <w:rsid w:val="0058778B"/>
    <w:rsid w:val="0059139F"/>
    <w:rsid w:val="005913EB"/>
    <w:rsid w:val="0059185C"/>
    <w:rsid w:val="00591FC1"/>
    <w:rsid w:val="00592196"/>
    <w:rsid w:val="005921BE"/>
    <w:rsid w:val="005928AA"/>
    <w:rsid w:val="0059386B"/>
    <w:rsid w:val="0059429B"/>
    <w:rsid w:val="0059466E"/>
    <w:rsid w:val="00595CE9"/>
    <w:rsid w:val="00596FA8"/>
    <w:rsid w:val="005977AE"/>
    <w:rsid w:val="005A0F41"/>
    <w:rsid w:val="005A2BEA"/>
    <w:rsid w:val="005A4F3C"/>
    <w:rsid w:val="005A57A8"/>
    <w:rsid w:val="005A6501"/>
    <w:rsid w:val="005A68CD"/>
    <w:rsid w:val="005A6CE6"/>
    <w:rsid w:val="005A72C2"/>
    <w:rsid w:val="005A73F1"/>
    <w:rsid w:val="005B2174"/>
    <w:rsid w:val="005B283C"/>
    <w:rsid w:val="005B3C39"/>
    <w:rsid w:val="005B3D53"/>
    <w:rsid w:val="005B4185"/>
    <w:rsid w:val="005B4842"/>
    <w:rsid w:val="005B7D05"/>
    <w:rsid w:val="005B7D88"/>
    <w:rsid w:val="005C137F"/>
    <w:rsid w:val="005C19B2"/>
    <w:rsid w:val="005C1AA1"/>
    <w:rsid w:val="005C1B79"/>
    <w:rsid w:val="005C1C42"/>
    <w:rsid w:val="005C2369"/>
    <w:rsid w:val="005C274F"/>
    <w:rsid w:val="005C30D7"/>
    <w:rsid w:val="005C391B"/>
    <w:rsid w:val="005C3AC9"/>
    <w:rsid w:val="005C4B78"/>
    <w:rsid w:val="005C5A98"/>
    <w:rsid w:val="005D0D50"/>
    <w:rsid w:val="005D0F54"/>
    <w:rsid w:val="005D1BD2"/>
    <w:rsid w:val="005D2AAB"/>
    <w:rsid w:val="005D39D0"/>
    <w:rsid w:val="005D4678"/>
    <w:rsid w:val="005D50DD"/>
    <w:rsid w:val="005D6434"/>
    <w:rsid w:val="005D6848"/>
    <w:rsid w:val="005D6F12"/>
    <w:rsid w:val="005D7A03"/>
    <w:rsid w:val="005E025B"/>
    <w:rsid w:val="005E0777"/>
    <w:rsid w:val="005E107D"/>
    <w:rsid w:val="005E1C0A"/>
    <w:rsid w:val="005E24DC"/>
    <w:rsid w:val="005E39CC"/>
    <w:rsid w:val="005E443F"/>
    <w:rsid w:val="005E490B"/>
    <w:rsid w:val="005E4DC6"/>
    <w:rsid w:val="005E5CCF"/>
    <w:rsid w:val="005E5D2A"/>
    <w:rsid w:val="005E60A3"/>
    <w:rsid w:val="005E7BB5"/>
    <w:rsid w:val="005F01F0"/>
    <w:rsid w:val="005F05FE"/>
    <w:rsid w:val="005F0E04"/>
    <w:rsid w:val="005F209C"/>
    <w:rsid w:val="005F20AF"/>
    <w:rsid w:val="005F320B"/>
    <w:rsid w:val="005F35AE"/>
    <w:rsid w:val="005F3A45"/>
    <w:rsid w:val="005F3B87"/>
    <w:rsid w:val="005F455B"/>
    <w:rsid w:val="005F4847"/>
    <w:rsid w:val="005F4BCF"/>
    <w:rsid w:val="005F5573"/>
    <w:rsid w:val="005F5C56"/>
    <w:rsid w:val="005F652F"/>
    <w:rsid w:val="005F67B2"/>
    <w:rsid w:val="005F6A44"/>
    <w:rsid w:val="005F6BB5"/>
    <w:rsid w:val="005F7D57"/>
    <w:rsid w:val="0060073B"/>
    <w:rsid w:val="00600954"/>
    <w:rsid w:val="00601CC9"/>
    <w:rsid w:val="00601D05"/>
    <w:rsid w:val="00601FD1"/>
    <w:rsid w:val="00602C39"/>
    <w:rsid w:val="0060351B"/>
    <w:rsid w:val="00604631"/>
    <w:rsid w:val="00605254"/>
    <w:rsid w:val="006055D3"/>
    <w:rsid w:val="00605AC9"/>
    <w:rsid w:val="00606F8A"/>
    <w:rsid w:val="00607253"/>
    <w:rsid w:val="00607B5C"/>
    <w:rsid w:val="006106F5"/>
    <w:rsid w:val="0061145E"/>
    <w:rsid w:val="00611CB9"/>
    <w:rsid w:val="00612C02"/>
    <w:rsid w:val="00614365"/>
    <w:rsid w:val="0061585F"/>
    <w:rsid w:val="0061593E"/>
    <w:rsid w:val="006208FD"/>
    <w:rsid w:val="00620AA8"/>
    <w:rsid w:val="00620C98"/>
    <w:rsid w:val="0062119E"/>
    <w:rsid w:val="00622204"/>
    <w:rsid w:val="00623523"/>
    <w:rsid w:val="00623A3F"/>
    <w:rsid w:val="0062491C"/>
    <w:rsid w:val="00626FAB"/>
    <w:rsid w:val="00627BB0"/>
    <w:rsid w:val="006308EC"/>
    <w:rsid w:val="00630CAC"/>
    <w:rsid w:val="00630EB8"/>
    <w:rsid w:val="006318C7"/>
    <w:rsid w:val="00632C5F"/>
    <w:rsid w:val="006341BB"/>
    <w:rsid w:val="0063658D"/>
    <w:rsid w:val="00636BE4"/>
    <w:rsid w:val="00636E55"/>
    <w:rsid w:val="00637170"/>
    <w:rsid w:val="0063766A"/>
    <w:rsid w:val="00637CAA"/>
    <w:rsid w:val="00640592"/>
    <w:rsid w:val="0064233A"/>
    <w:rsid w:val="00642D89"/>
    <w:rsid w:val="00642F32"/>
    <w:rsid w:val="006437E7"/>
    <w:rsid w:val="00643858"/>
    <w:rsid w:val="00643AA5"/>
    <w:rsid w:val="00643AE0"/>
    <w:rsid w:val="00643C41"/>
    <w:rsid w:val="00643EC3"/>
    <w:rsid w:val="00643F8D"/>
    <w:rsid w:val="006443FE"/>
    <w:rsid w:val="0064467A"/>
    <w:rsid w:val="00644956"/>
    <w:rsid w:val="0064516E"/>
    <w:rsid w:val="00645679"/>
    <w:rsid w:val="00645A9D"/>
    <w:rsid w:val="006463D9"/>
    <w:rsid w:val="00646F0B"/>
    <w:rsid w:val="00647721"/>
    <w:rsid w:val="00647BE4"/>
    <w:rsid w:val="00647DB8"/>
    <w:rsid w:val="0065097E"/>
    <w:rsid w:val="0065131E"/>
    <w:rsid w:val="006513CC"/>
    <w:rsid w:val="00651D88"/>
    <w:rsid w:val="00653F66"/>
    <w:rsid w:val="00654124"/>
    <w:rsid w:val="0065546D"/>
    <w:rsid w:val="0065659A"/>
    <w:rsid w:val="00656730"/>
    <w:rsid w:val="006604E8"/>
    <w:rsid w:val="006609EA"/>
    <w:rsid w:val="00660D87"/>
    <w:rsid w:val="0066211A"/>
    <w:rsid w:val="0066259B"/>
    <w:rsid w:val="00662CC3"/>
    <w:rsid w:val="00663962"/>
    <w:rsid w:val="00664001"/>
    <w:rsid w:val="006648DE"/>
    <w:rsid w:val="00664F63"/>
    <w:rsid w:val="00665BAE"/>
    <w:rsid w:val="00665BF2"/>
    <w:rsid w:val="006704DC"/>
    <w:rsid w:val="006712F9"/>
    <w:rsid w:val="0067225A"/>
    <w:rsid w:val="00672995"/>
    <w:rsid w:val="0067337E"/>
    <w:rsid w:val="00673D84"/>
    <w:rsid w:val="0067435D"/>
    <w:rsid w:val="00674382"/>
    <w:rsid w:val="0067469F"/>
    <w:rsid w:val="00674BD4"/>
    <w:rsid w:val="006754D9"/>
    <w:rsid w:val="006757B6"/>
    <w:rsid w:val="0067626D"/>
    <w:rsid w:val="006763AB"/>
    <w:rsid w:val="00677D4F"/>
    <w:rsid w:val="00681010"/>
    <w:rsid w:val="00681FD1"/>
    <w:rsid w:val="006825E8"/>
    <w:rsid w:val="00682966"/>
    <w:rsid w:val="0068388F"/>
    <w:rsid w:val="006856F8"/>
    <w:rsid w:val="00685C8E"/>
    <w:rsid w:val="00686375"/>
    <w:rsid w:val="00686F88"/>
    <w:rsid w:val="006907B6"/>
    <w:rsid w:val="006915B8"/>
    <w:rsid w:val="006917EB"/>
    <w:rsid w:val="0069239B"/>
    <w:rsid w:val="00692BE8"/>
    <w:rsid w:val="006935D8"/>
    <w:rsid w:val="00693C27"/>
    <w:rsid w:val="00694A73"/>
    <w:rsid w:val="00694C06"/>
    <w:rsid w:val="00694F26"/>
    <w:rsid w:val="0069596F"/>
    <w:rsid w:val="0069611D"/>
    <w:rsid w:val="00696911"/>
    <w:rsid w:val="0069696C"/>
    <w:rsid w:val="00696BEF"/>
    <w:rsid w:val="00696C1E"/>
    <w:rsid w:val="00696ED8"/>
    <w:rsid w:val="00696F51"/>
    <w:rsid w:val="00697E66"/>
    <w:rsid w:val="006A27D8"/>
    <w:rsid w:val="006A2D59"/>
    <w:rsid w:val="006A3335"/>
    <w:rsid w:val="006A33DE"/>
    <w:rsid w:val="006A3823"/>
    <w:rsid w:val="006A44EF"/>
    <w:rsid w:val="006A4914"/>
    <w:rsid w:val="006A5DEC"/>
    <w:rsid w:val="006A5FAF"/>
    <w:rsid w:val="006A6238"/>
    <w:rsid w:val="006A6470"/>
    <w:rsid w:val="006A6CB9"/>
    <w:rsid w:val="006A7AA2"/>
    <w:rsid w:val="006A7B7A"/>
    <w:rsid w:val="006B0293"/>
    <w:rsid w:val="006B22B4"/>
    <w:rsid w:val="006B5A3D"/>
    <w:rsid w:val="006B6738"/>
    <w:rsid w:val="006B6B84"/>
    <w:rsid w:val="006B7B87"/>
    <w:rsid w:val="006B7D30"/>
    <w:rsid w:val="006B7EC0"/>
    <w:rsid w:val="006B7F8D"/>
    <w:rsid w:val="006C0277"/>
    <w:rsid w:val="006C027B"/>
    <w:rsid w:val="006C081D"/>
    <w:rsid w:val="006C1524"/>
    <w:rsid w:val="006C16D9"/>
    <w:rsid w:val="006C1A2D"/>
    <w:rsid w:val="006C234F"/>
    <w:rsid w:val="006C2E5E"/>
    <w:rsid w:val="006C4125"/>
    <w:rsid w:val="006C5B41"/>
    <w:rsid w:val="006C6336"/>
    <w:rsid w:val="006C6D91"/>
    <w:rsid w:val="006C7FE8"/>
    <w:rsid w:val="006D1605"/>
    <w:rsid w:val="006D1FAA"/>
    <w:rsid w:val="006D20DF"/>
    <w:rsid w:val="006D3735"/>
    <w:rsid w:val="006D3F69"/>
    <w:rsid w:val="006D4217"/>
    <w:rsid w:val="006D4652"/>
    <w:rsid w:val="006D4BCC"/>
    <w:rsid w:val="006D5E5F"/>
    <w:rsid w:val="006D68A9"/>
    <w:rsid w:val="006D6B07"/>
    <w:rsid w:val="006D74A2"/>
    <w:rsid w:val="006E02C8"/>
    <w:rsid w:val="006E0577"/>
    <w:rsid w:val="006E14E9"/>
    <w:rsid w:val="006E1DCD"/>
    <w:rsid w:val="006E1E1F"/>
    <w:rsid w:val="006E3B6E"/>
    <w:rsid w:val="006E4052"/>
    <w:rsid w:val="006E46CD"/>
    <w:rsid w:val="006E55BB"/>
    <w:rsid w:val="006E6251"/>
    <w:rsid w:val="006E680F"/>
    <w:rsid w:val="006E7BBE"/>
    <w:rsid w:val="006E7BCA"/>
    <w:rsid w:val="006F1326"/>
    <w:rsid w:val="006F215B"/>
    <w:rsid w:val="006F21E1"/>
    <w:rsid w:val="006F3105"/>
    <w:rsid w:val="006F36D8"/>
    <w:rsid w:val="006F3A6C"/>
    <w:rsid w:val="006F4A48"/>
    <w:rsid w:val="006F5109"/>
    <w:rsid w:val="006F57E4"/>
    <w:rsid w:val="00700816"/>
    <w:rsid w:val="0070142B"/>
    <w:rsid w:val="00701D84"/>
    <w:rsid w:val="007032DF"/>
    <w:rsid w:val="007035AE"/>
    <w:rsid w:val="007048D5"/>
    <w:rsid w:val="00704938"/>
    <w:rsid w:val="00704C3E"/>
    <w:rsid w:val="00704FE6"/>
    <w:rsid w:val="00705207"/>
    <w:rsid w:val="007053C6"/>
    <w:rsid w:val="007062BF"/>
    <w:rsid w:val="00706A1E"/>
    <w:rsid w:val="00707A6C"/>
    <w:rsid w:val="00707AE9"/>
    <w:rsid w:val="00707AF9"/>
    <w:rsid w:val="00710E1D"/>
    <w:rsid w:val="007123BE"/>
    <w:rsid w:val="00713D51"/>
    <w:rsid w:val="00714655"/>
    <w:rsid w:val="007154D4"/>
    <w:rsid w:val="007160DB"/>
    <w:rsid w:val="0071633E"/>
    <w:rsid w:val="0071722A"/>
    <w:rsid w:val="0072046F"/>
    <w:rsid w:val="00720AC9"/>
    <w:rsid w:val="00721F57"/>
    <w:rsid w:val="00722AD4"/>
    <w:rsid w:val="00723653"/>
    <w:rsid w:val="0072385B"/>
    <w:rsid w:val="007244C4"/>
    <w:rsid w:val="00724A2A"/>
    <w:rsid w:val="00726094"/>
    <w:rsid w:val="00730FCB"/>
    <w:rsid w:val="007315FD"/>
    <w:rsid w:val="00731E17"/>
    <w:rsid w:val="00732FD3"/>
    <w:rsid w:val="007352DB"/>
    <w:rsid w:val="0073532B"/>
    <w:rsid w:val="007355BE"/>
    <w:rsid w:val="00736234"/>
    <w:rsid w:val="00736E7B"/>
    <w:rsid w:val="007374CD"/>
    <w:rsid w:val="00737B2C"/>
    <w:rsid w:val="00737DA1"/>
    <w:rsid w:val="00740110"/>
    <w:rsid w:val="00740154"/>
    <w:rsid w:val="00740DDB"/>
    <w:rsid w:val="0074113E"/>
    <w:rsid w:val="007413F9"/>
    <w:rsid w:val="00743594"/>
    <w:rsid w:val="00745BCF"/>
    <w:rsid w:val="00745D27"/>
    <w:rsid w:val="00745EC7"/>
    <w:rsid w:val="00746600"/>
    <w:rsid w:val="00746EAD"/>
    <w:rsid w:val="007471FE"/>
    <w:rsid w:val="007476C5"/>
    <w:rsid w:val="00747E0E"/>
    <w:rsid w:val="00750219"/>
    <w:rsid w:val="007504B4"/>
    <w:rsid w:val="0075084F"/>
    <w:rsid w:val="007509EF"/>
    <w:rsid w:val="00751860"/>
    <w:rsid w:val="00751997"/>
    <w:rsid w:val="00753A01"/>
    <w:rsid w:val="00754102"/>
    <w:rsid w:val="00754529"/>
    <w:rsid w:val="00754951"/>
    <w:rsid w:val="0075500C"/>
    <w:rsid w:val="007550F4"/>
    <w:rsid w:val="0075623F"/>
    <w:rsid w:val="007604D0"/>
    <w:rsid w:val="00760755"/>
    <w:rsid w:val="00760B42"/>
    <w:rsid w:val="00761C21"/>
    <w:rsid w:val="00762A12"/>
    <w:rsid w:val="00762A59"/>
    <w:rsid w:val="007632DF"/>
    <w:rsid w:val="0076389D"/>
    <w:rsid w:val="00763D87"/>
    <w:rsid w:val="007644F1"/>
    <w:rsid w:val="007647DC"/>
    <w:rsid w:val="00765A1C"/>
    <w:rsid w:val="007662F2"/>
    <w:rsid w:val="007674F3"/>
    <w:rsid w:val="0077002A"/>
    <w:rsid w:val="00770540"/>
    <w:rsid w:val="00771446"/>
    <w:rsid w:val="00771A7E"/>
    <w:rsid w:val="00773539"/>
    <w:rsid w:val="00773F04"/>
    <w:rsid w:val="007756DC"/>
    <w:rsid w:val="0077684B"/>
    <w:rsid w:val="00776A05"/>
    <w:rsid w:val="00777882"/>
    <w:rsid w:val="00777A61"/>
    <w:rsid w:val="0078103C"/>
    <w:rsid w:val="00781848"/>
    <w:rsid w:val="0078321A"/>
    <w:rsid w:val="00783876"/>
    <w:rsid w:val="00784611"/>
    <w:rsid w:val="00784981"/>
    <w:rsid w:val="00785C9B"/>
    <w:rsid w:val="00790910"/>
    <w:rsid w:val="00792145"/>
    <w:rsid w:val="00792734"/>
    <w:rsid w:val="00792BB8"/>
    <w:rsid w:val="00793BB0"/>
    <w:rsid w:val="0079504D"/>
    <w:rsid w:val="00795DCF"/>
    <w:rsid w:val="00796012"/>
    <w:rsid w:val="00796118"/>
    <w:rsid w:val="00797148"/>
    <w:rsid w:val="007A0832"/>
    <w:rsid w:val="007A149B"/>
    <w:rsid w:val="007A1673"/>
    <w:rsid w:val="007A1E0B"/>
    <w:rsid w:val="007A1F47"/>
    <w:rsid w:val="007A2D21"/>
    <w:rsid w:val="007A2D45"/>
    <w:rsid w:val="007A34B3"/>
    <w:rsid w:val="007A453E"/>
    <w:rsid w:val="007A475D"/>
    <w:rsid w:val="007A49FA"/>
    <w:rsid w:val="007A515E"/>
    <w:rsid w:val="007A682C"/>
    <w:rsid w:val="007A6CB4"/>
    <w:rsid w:val="007B075C"/>
    <w:rsid w:val="007B198C"/>
    <w:rsid w:val="007B4E74"/>
    <w:rsid w:val="007B676A"/>
    <w:rsid w:val="007B6D18"/>
    <w:rsid w:val="007B6D3C"/>
    <w:rsid w:val="007B76B2"/>
    <w:rsid w:val="007C00CD"/>
    <w:rsid w:val="007C164E"/>
    <w:rsid w:val="007C2163"/>
    <w:rsid w:val="007C258F"/>
    <w:rsid w:val="007C37D6"/>
    <w:rsid w:val="007C3999"/>
    <w:rsid w:val="007C63D0"/>
    <w:rsid w:val="007C6453"/>
    <w:rsid w:val="007C675D"/>
    <w:rsid w:val="007C7E29"/>
    <w:rsid w:val="007C7ECF"/>
    <w:rsid w:val="007D06F8"/>
    <w:rsid w:val="007D3313"/>
    <w:rsid w:val="007D3892"/>
    <w:rsid w:val="007D4ED4"/>
    <w:rsid w:val="007D54E2"/>
    <w:rsid w:val="007D58C0"/>
    <w:rsid w:val="007D6418"/>
    <w:rsid w:val="007D66A9"/>
    <w:rsid w:val="007D6B4F"/>
    <w:rsid w:val="007E082B"/>
    <w:rsid w:val="007E10AB"/>
    <w:rsid w:val="007E175B"/>
    <w:rsid w:val="007E2E07"/>
    <w:rsid w:val="007E43FA"/>
    <w:rsid w:val="007E5AE7"/>
    <w:rsid w:val="007E5D1E"/>
    <w:rsid w:val="007E5F68"/>
    <w:rsid w:val="007E639A"/>
    <w:rsid w:val="007F1578"/>
    <w:rsid w:val="007F1953"/>
    <w:rsid w:val="007F2445"/>
    <w:rsid w:val="007F2798"/>
    <w:rsid w:val="007F282A"/>
    <w:rsid w:val="007F3039"/>
    <w:rsid w:val="007F34C3"/>
    <w:rsid w:val="007F3E4E"/>
    <w:rsid w:val="007F4980"/>
    <w:rsid w:val="007F562B"/>
    <w:rsid w:val="007F5F61"/>
    <w:rsid w:val="007F7C53"/>
    <w:rsid w:val="00800396"/>
    <w:rsid w:val="00800646"/>
    <w:rsid w:val="00800723"/>
    <w:rsid w:val="00800B4E"/>
    <w:rsid w:val="00800ED9"/>
    <w:rsid w:val="0080149E"/>
    <w:rsid w:val="00801699"/>
    <w:rsid w:val="0080185E"/>
    <w:rsid w:val="00802999"/>
    <w:rsid w:val="00803DA1"/>
    <w:rsid w:val="008044DB"/>
    <w:rsid w:val="008049B5"/>
    <w:rsid w:val="008072EA"/>
    <w:rsid w:val="008079F1"/>
    <w:rsid w:val="00807C2A"/>
    <w:rsid w:val="008109D9"/>
    <w:rsid w:val="00812766"/>
    <w:rsid w:val="00812997"/>
    <w:rsid w:val="00812BC9"/>
    <w:rsid w:val="00812C69"/>
    <w:rsid w:val="0081552D"/>
    <w:rsid w:val="00815B4A"/>
    <w:rsid w:val="00816698"/>
    <w:rsid w:val="00820172"/>
    <w:rsid w:val="0082026E"/>
    <w:rsid w:val="00820443"/>
    <w:rsid w:val="00821918"/>
    <w:rsid w:val="00821EC0"/>
    <w:rsid w:val="00821ECC"/>
    <w:rsid w:val="00822AFB"/>
    <w:rsid w:val="0082405F"/>
    <w:rsid w:val="00826003"/>
    <w:rsid w:val="008263BF"/>
    <w:rsid w:val="00826756"/>
    <w:rsid w:val="00827332"/>
    <w:rsid w:val="0083099F"/>
    <w:rsid w:val="00830CCE"/>
    <w:rsid w:val="008313AA"/>
    <w:rsid w:val="00831D9F"/>
    <w:rsid w:val="00832CBA"/>
    <w:rsid w:val="00834675"/>
    <w:rsid w:val="008348A9"/>
    <w:rsid w:val="0083493C"/>
    <w:rsid w:val="00834B75"/>
    <w:rsid w:val="008354B4"/>
    <w:rsid w:val="00840140"/>
    <w:rsid w:val="00843034"/>
    <w:rsid w:val="00843290"/>
    <w:rsid w:val="00843E9D"/>
    <w:rsid w:val="00843F60"/>
    <w:rsid w:val="00844F7F"/>
    <w:rsid w:val="0084501C"/>
    <w:rsid w:val="00845157"/>
    <w:rsid w:val="008456FD"/>
    <w:rsid w:val="00845E14"/>
    <w:rsid w:val="00845F0A"/>
    <w:rsid w:val="00847839"/>
    <w:rsid w:val="00847E39"/>
    <w:rsid w:val="00850369"/>
    <w:rsid w:val="00850963"/>
    <w:rsid w:val="008511C8"/>
    <w:rsid w:val="00851CFC"/>
    <w:rsid w:val="00851DFF"/>
    <w:rsid w:val="008535A2"/>
    <w:rsid w:val="00856F48"/>
    <w:rsid w:val="00857313"/>
    <w:rsid w:val="00857518"/>
    <w:rsid w:val="008575E9"/>
    <w:rsid w:val="00857ACB"/>
    <w:rsid w:val="0086005E"/>
    <w:rsid w:val="008603D0"/>
    <w:rsid w:val="00861113"/>
    <w:rsid w:val="00861A3F"/>
    <w:rsid w:val="008620C0"/>
    <w:rsid w:val="008627F4"/>
    <w:rsid w:val="00862A13"/>
    <w:rsid w:val="00862E9B"/>
    <w:rsid w:val="00865447"/>
    <w:rsid w:val="00865F6B"/>
    <w:rsid w:val="00866176"/>
    <w:rsid w:val="008662E8"/>
    <w:rsid w:val="00867166"/>
    <w:rsid w:val="0086745D"/>
    <w:rsid w:val="008676A1"/>
    <w:rsid w:val="00870608"/>
    <w:rsid w:val="00870967"/>
    <w:rsid w:val="00872FDD"/>
    <w:rsid w:val="00873721"/>
    <w:rsid w:val="0087380E"/>
    <w:rsid w:val="008762D7"/>
    <w:rsid w:val="0087641D"/>
    <w:rsid w:val="00876879"/>
    <w:rsid w:val="00877F75"/>
    <w:rsid w:val="008809C7"/>
    <w:rsid w:val="00880D25"/>
    <w:rsid w:val="00880D81"/>
    <w:rsid w:val="00881444"/>
    <w:rsid w:val="00884658"/>
    <w:rsid w:val="008847F9"/>
    <w:rsid w:val="00885736"/>
    <w:rsid w:val="008865DF"/>
    <w:rsid w:val="00886C32"/>
    <w:rsid w:val="00887966"/>
    <w:rsid w:val="008900A6"/>
    <w:rsid w:val="00890A34"/>
    <w:rsid w:val="00890D94"/>
    <w:rsid w:val="0089127F"/>
    <w:rsid w:val="008915C2"/>
    <w:rsid w:val="0089165B"/>
    <w:rsid w:val="00892CCF"/>
    <w:rsid w:val="00892E99"/>
    <w:rsid w:val="00893422"/>
    <w:rsid w:val="0089380C"/>
    <w:rsid w:val="00893D1C"/>
    <w:rsid w:val="008944A9"/>
    <w:rsid w:val="00894F27"/>
    <w:rsid w:val="00897BBB"/>
    <w:rsid w:val="008A044E"/>
    <w:rsid w:val="008A0CD8"/>
    <w:rsid w:val="008A1058"/>
    <w:rsid w:val="008A200E"/>
    <w:rsid w:val="008A2BB2"/>
    <w:rsid w:val="008A2EF9"/>
    <w:rsid w:val="008A363D"/>
    <w:rsid w:val="008A4096"/>
    <w:rsid w:val="008A4097"/>
    <w:rsid w:val="008A41E4"/>
    <w:rsid w:val="008A58EA"/>
    <w:rsid w:val="008A7C96"/>
    <w:rsid w:val="008B0C27"/>
    <w:rsid w:val="008B24D6"/>
    <w:rsid w:val="008B54A0"/>
    <w:rsid w:val="008B58EC"/>
    <w:rsid w:val="008B5CF4"/>
    <w:rsid w:val="008B6AB5"/>
    <w:rsid w:val="008B6EAA"/>
    <w:rsid w:val="008C01AB"/>
    <w:rsid w:val="008C1135"/>
    <w:rsid w:val="008C2237"/>
    <w:rsid w:val="008C2A38"/>
    <w:rsid w:val="008C3A32"/>
    <w:rsid w:val="008C5B61"/>
    <w:rsid w:val="008C6165"/>
    <w:rsid w:val="008C688F"/>
    <w:rsid w:val="008C7A9B"/>
    <w:rsid w:val="008D02FF"/>
    <w:rsid w:val="008D09C1"/>
    <w:rsid w:val="008D1DE2"/>
    <w:rsid w:val="008D3290"/>
    <w:rsid w:val="008D3F0D"/>
    <w:rsid w:val="008D3FC1"/>
    <w:rsid w:val="008D4446"/>
    <w:rsid w:val="008D4A8C"/>
    <w:rsid w:val="008D4E49"/>
    <w:rsid w:val="008D6093"/>
    <w:rsid w:val="008E1ED0"/>
    <w:rsid w:val="008E203E"/>
    <w:rsid w:val="008E21CD"/>
    <w:rsid w:val="008E27A7"/>
    <w:rsid w:val="008E32A9"/>
    <w:rsid w:val="008E35CC"/>
    <w:rsid w:val="008E4487"/>
    <w:rsid w:val="008E4865"/>
    <w:rsid w:val="008E4A71"/>
    <w:rsid w:val="008E53C2"/>
    <w:rsid w:val="008E5EE4"/>
    <w:rsid w:val="008E5F0F"/>
    <w:rsid w:val="008E61BA"/>
    <w:rsid w:val="008E7049"/>
    <w:rsid w:val="008E79CB"/>
    <w:rsid w:val="008E7EA2"/>
    <w:rsid w:val="008F06B4"/>
    <w:rsid w:val="008F19C1"/>
    <w:rsid w:val="008F1E94"/>
    <w:rsid w:val="008F2568"/>
    <w:rsid w:val="008F3B08"/>
    <w:rsid w:val="008F416F"/>
    <w:rsid w:val="008F4232"/>
    <w:rsid w:val="008F48EB"/>
    <w:rsid w:val="008F542C"/>
    <w:rsid w:val="008F5946"/>
    <w:rsid w:val="008F5DDB"/>
    <w:rsid w:val="008F5E59"/>
    <w:rsid w:val="008F62D7"/>
    <w:rsid w:val="008F7479"/>
    <w:rsid w:val="0090077C"/>
    <w:rsid w:val="00900DF6"/>
    <w:rsid w:val="00900F5B"/>
    <w:rsid w:val="00901858"/>
    <w:rsid w:val="00902730"/>
    <w:rsid w:val="0090537D"/>
    <w:rsid w:val="00905D05"/>
    <w:rsid w:val="00906C52"/>
    <w:rsid w:val="009072A9"/>
    <w:rsid w:val="00907608"/>
    <w:rsid w:val="00907A7F"/>
    <w:rsid w:val="00910596"/>
    <w:rsid w:val="00910641"/>
    <w:rsid w:val="00911250"/>
    <w:rsid w:val="00911ED3"/>
    <w:rsid w:val="00912443"/>
    <w:rsid w:val="00912D04"/>
    <w:rsid w:val="009142BC"/>
    <w:rsid w:val="00916065"/>
    <w:rsid w:val="009175AF"/>
    <w:rsid w:val="00917F61"/>
    <w:rsid w:val="0092018B"/>
    <w:rsid w:val="00920BF1"/>
    <w:rsid w:val="00920C0F"/>
    <w:rsid w:val="00921F3F"/>
    <w:rsid w:val="0092330B"/>
    <w:rsid w:val="009238DE"/>
    <w:rsid w:val="009238ED"/>
    <w:rsid w:val="00924ABA"/>
    <w:rsid w:val="00924E4E"/>
    <w:rsid w:val="0092592F"/>
    <w:rsid w:val="00926DFE"/>
    <w:rsid w:val="0092744D"/>
    <w:rsid w:val="00930512"/>
    <w:rsid w:val="00930CEC"/>
    <w:rsid w:val="0093176E"/>
    <w:rsid w:val="00931C49"/>
    <w:rsid w:val="00931D54"/>
    <w:rsid w:val="00933999"/>
    <w:rsid w:val="00934B94"/>
    <w:rsid w:val="00934F81"/>
    <w:rsid w:val="009352CD"/>
    <w:rsid w:val="00935F0F"/>
    <w:rsid w:val="00936204"/>
    <w:rsid w:val="009363D8"/>
    <w:rsid w:val="009368A1"/>
    <w:rsid w:val="00937101"/>
    <w:rsid w:val="00940F49"/>
    <w:rsid w:val="00941C42"/>
    <w:rsid w:val="00941CA8"/>
    <w:rsid w:val="00942065"/>
    <w:rsid w:val="00942D60"/>
    <w:rsid w:val="009435EB"/>
    <w:rsid w:val="00943DBC"/>
    <w:rsid w:val="0094414D"/>
    <w:rsid w:val="00944500"/>
    <w:rsid w:val="00945448"/>
    <w:rsid w:val="009462CD"/>
    <w:rsid w:val="0094797D"/>
    <w:rsid w:val="0095034A"/>
    <w:rsid w:val="00950656"/>
    <w:rsid w:val="00952C6D"/>
    <w:rsid w:val="00952DD0"/>
    <w:rsid w:val="0095386E"/>
    <w:rsid w:val="00954ECD"/>
    <w:rsid w:val="009551D1"/>
    <w:rsid w:val="009552B2"/>
    <w:rsid w:val="0095633B"/>
    <w:rsid w:val="009567FE"/>
    <w:rsid w:val="00960D95"/>
    <w:rsid w:val="00960EC6"/>
    <w:rsid w:val="0096168C"/>
    <w:rsid w:val="00961AA2"/>
    <w:rsid w:val="009632DF"/>
    <w:rsid w:val="0096354D"/>
    <w:rsid w:val="00963A21"/>
    <w:rsid w:val="00963B35"/>
    <w:rsid w:val="00964064"/>
    <w:rsid w:val="00965E4E"/>
    <w:rsid w:val="00967383"/>
    <w:rsid w:val="009705E4"/>
    <w:rsid w:val="009706AD"/>
    <w:rsid w:val="009706F0"/>
    <w:rsid w:val="00970878"/>
    <w:rsid w:val="00970DA1"/>
    <w:rsid w:val="009713AA"/>
    <w:rsid w:val="009715E4"/>
    <w:rsid w:val="00971831"/>
    <w:rsid w:val="00972B61"/>
    <w:rsid w:val="00972CF2"/>
    <w:rsid w:val="00973562"/>
    <w:rsid w:val="00973733"/>
    <w:rsid w:val="00973E8E"/>
    <w:rsid w:val="00973F0B"/>
    <w:rsid w:val="00974A48"/>
    <w:rsid w:val="00975347"/>
    <w:rsid w:val="00976051"/>
    <w:rsid w:val="00976B83"/>
    <w:rsid w:val="00976BD6"/>
    <w:rsid w:val="0097787C"/>
    <w:rsid w:val="0098178E"/>
    <w:rsid w:val="00981AFB"/>
    <w:rsid w:val="009822FB"/>
    <w:rsid w:val="009829C3"/>
    <w:rsid w:val="0098484B"/>
    <w:rsid w:val="009849CB"/>
    <w:rsid w:val="00985548"/>
    <w:rsid w:val="00986633"/>
    <w:rsid w:val="00987034"/>
    <w:rsid w:val="0099115C"/>
    <w:rsid w:val="00992016"/>
    <w:rsid w:val="0099261F"/>
    <w:rsid w:val="009942C9"/>
    <w:rsid w:val="009A040D"/>
    <w:rsid w:val="009A05D6"/>
    <w:rsid w:val="009A0C95"/>
    <w:rsid w:val="009A1FE3"/>
    <w:rsid w:val="009A2D9D"/>
    <w:rsid w:val="009A409A"/>
    <w:rsid w:val="009A4D9E"/>
    <w:rsid w:val="009A4E4C"/>
    <w:rsid w:val="009A66B6"/>
    <w:rsid w:val="009A7DBD"/>
    <w:rsid w:val="009B148F"/>
    <w:rsid w:val="009B1C2E"/>
    <w:rsid w:val="009B2795"/>
    <w:rsid w:val="009B490B"/>
    <w:rsid w:val="009B4A2C"/>
    <w:rsid w:val="009B4F8B"/>
    <w:rsid w:val="009B50BF"/>
    <w:rsid w:val="009B6146"/>
    <w:rsid w:val="009B685A"/>
    <w:rsid w:val="009B7AC8"/>
    <w:rsid w:val="009B7D81"/>
    <w:rsid w:val="009C0528"/>
    <w:rsid w:val="009C0868"/>
    <w:rsid w:val="009C08ED"/>
    <w:rsid w:val="009C14CD"/>
    <w:rsid w:val="009C16B8"/>
    <w:rsid w:val="009C1901"/>
    <w:rsid w:val="009C3105"/>
    <w:rsid w:val="009C35A3"/>
    <w:rsid w:val="009C37DE"/>
    <w:rsid w:val="009C3E6C"/>
    <w:rsid w:val="009C5412"/>
    <w:rsid w:val="009C704C"/>
    <w:rsid w:val="009C77E3"/>
    <w:rsid w:val="009C7DC2"/>
    <w:rsid w:val="009D0C4D"/>
    <w:rsid w:val="009D11F1"/>
    <w:rsid w:val="009D1896"/>
    <w:rsid w:val="009D1A27"/>
    <w:rsid w:val="009D2604"/>
    <w:rsid w:val="009D2FBC"/>
    <w:rsid w:val="009D439C"/>
    <w:rsid w:val="009D4579"/>
    <w:rsid w:val="009D6464"/>
    <w:rsid w:val="009E0CD1"/>
    <w:rsid w:val="009E1CE6"/>
    <w:rsid w:val="009E2956"/>
    <w:rsid w:val="009E3EA2"/>
    <w:rsid w:val="009E4590"/>
    <w:rsid w:val="009E71F9"/>
    <w:rsid w:val="009E7436"/>
    <w:rsid w:val="009E7EF5"/>
    <w:rsid w:val="009F04AF"/>
    <w:rsid w:val="009F1419"/>
    <w:rsid w:val="009F151D"/>
    <w:rsid w:val="009F1756"/>
    <w:rsid w:val="009F2EC1"/>
    <w:rsid w:val="009F3FBA"/>
    <w:rsid w:val="009F4BB2"/>
    <w:rsid w:val="009F6764"/>
    <w:rsid w:val="00A004CB"/>
    <w:rsid w:val="00A00E24"/>
    <w:rsid w:val="00A01227"/>
    <w:rsid w:val="00A01499"/>
    <w:rsid w:val="00A024C2"/>
    <w:rsid w:val="00A032CD"/>
    <w:rsid w:val="00A034E0"/>
    <w:rsid w:val="00A0375A"/>
    <w:rsid w:val="00A1089C"/>
    <w:rsid w:val="00A10D3B"/>
    <w:rsid w:val="00A125F0"/>
    <w:rsid w:val="00A1274F"/>
    <w:rsid w:val="00A1353B"/>
    <w:rsid w:val="00A13D5F"/>
    <w:rsid w:val="00A141C6"/>
    <w:rsid w:val="00A154CC"/>
    <w:rsid w:val="00A15E5D"/>
    <w:rsid w:val="00A17AAE"/>
    <w:rsid w:val="00A17BF3"/>
    <w:rsid w:val="00A20788"/>
    <w:rsid w:val="00A23276"/>
    <w:rsid w:val="00A2418E"/>
    <w:rsid w:val="00A24B10"/>
    <w:rsid w:val="00A24B32"/>
    <w:rsid w:val="00A24CD2"/>
    <w:rsid w:val="00A25023"/>
    <w:rsid w:val="00A2747F"/>
    <w:rsid w:val="00A30FB8"/>
    <w:rsid w:val="00A31F9C"/>
    <w:rsid w:val="00A333C9"/>
    <w:rsid w:val="00A335FE"/>
    <w:rsid w:val="00A34035"/>
    <w:rsid w:val="00A3421E"/>
    <w:rsid w:val="00A35437"/>
    <w:rsid w:val="00A35F0C"/>
    <w:rsid w:val="00A3602E"/>
    <w:rsid w:val="00A36749"/>
    <w:rsid w:val="00A40564"/>
    <w:rsid w:val="00A43EC6"/>
    <w:rsid w:val="00A4472C"/>
    <w:rsid w:val="00A45424"/>
    <w:rsid w:val="00A4586B"/>
    <w:rsid w:val="00A46B63"/>
    <w:rsid w:val="00A4708A"/>
    <w:rsid w:val="00A473D8"/>
    <w:rsid w:val="00A47939"/>
    <w:rsid w:val="00A50568"/>
    <w:rsid w:val="00A50B5F"/>
    <w:rsid w:val="00A515F5"/>
    <w:rsid w:val="00A54672"/>
    <w:rsid w:val="00A54B1F"/>
    <w:rsid w:val="00A54B9A"/>
    <w:rsid w:val="00A55071"/>
    <w:rsid w:val="00A56A8A"/>
    <w:rsid w:val="00A5709A"/>
    <w:rsid w:val="00A5716F"/>
    <w:rsid w:val="00A60514"/>
    <w:rsid w:val="00A61FB9"/>
    <w:rsid w:val="00A620C1"/>
    <w:rsid w:val="00A6318F"/>
    <w:rsid w:val="00A6472C"/>
    <w:rsid w:val="00A648B4"/>
    <w:rsid w:val="00A64973"/>
    <w:rsid w:val="00A66B05"/>
    <w:rsid w:val="00A704A5"/>
    <w:rsid w:val="00A70FA3"/>
    <w:rsid w:val="00A725CA"/>
    <w:rsid w:val="00A72C98"/>
    <w:rsid w:val="00A73714"/>
    <w:rsid w:val="00A752B4"/>
    <w:rsid w:val="00A7785D"/>
    <w:rsid w:val="00A8077E"/>
    <w:rsid w:val="00A8143F"/>
    <w:rsid w:val="00A81B4F"/>
    <w:rsid w:val="00A81C42"/>
    <w:rsid w:val="00A81E3E"/>
    <w:rsid w:val="00A81E8B"/>
    <w:rsid w:val="00A825A3"/>
    <w:rsid w:val="00A82ABB"/>
    <w:rsid w:val="00A84A45"/>
    <w:rsid w:val="00A868DB"/>
    <w:rsid w:val="00A934C7"/>
    <w:rsid w:val="00A94132"/>
    <w:rsid w:val="00A95D6C"/>
    <w:rsid w:val="00A9617D"/>
    <w:rsid w:val="00A96F3C"/>
    <w:rsid w:val="00AA0702"/>
    <w:rsid w:val="00AA1942"/>
    <w:rsid w:val="00AA1CC3"/>
    <w:rsid w:val="00AA2BBD"/>
    <w:rsid w:val="00AA410E"/>
    <w:rsid w:val="00AA4B12"/>
    <w:rsid w:val="00AA4E12"/>
    <w:rsid w:val="00AA712E"/>
    <w:rsid w:val="00AA73EC"/>
    <w:rsid w:val="00AA770C"/>
    <w:rsid w:val="00AB02DB"/>
    <w:rsid w:val="00AB1ADB"/>
    <w:rsid w:val="00AB2335"/>
    <w:rsid w:val="00AB2474"/>
    <w:rsid w:val="00AB3B0B"/>
    <w:rsid w:val="00AB3E26"/>
    <w:rsid w:val="00AB4798"/>
    <w:rsid w:val="00AB517F"/>
    <w:rsid w:val="00AB51A9"/>
    <w:rsid w:val="00AB595F"/>
    <w:rsid w:val="00AB6060"/>
    <w:rsid w:val="00AB6875"/>
    <w:rsid w:val="00AB6CFB"/>
    <w:rsid w:val="00AB73B5"/>
    <w:rsid w:val="00AB7996"/>
    <w:rsid w:val="00AB7B0A"/>
    <w:rsid w:val="00AC1A0E"/>
    <w:rsid w:val="00AC1F01"/>
    <w:rsid w:val="00AC25AC"/>
    <w:rsid w:val="00AC270A"/>
    <w:rsid w:val="00AC2CCF"/>
    <w:rsid w:val="00AC3D51"/>
    <w:rsid w:val="00AC3F30"/>
    <w:rsid w:val="00AC51D3"/>
    <w:rsid w:val="00AC535D"/>
    <w:rsid w:val="00AC59BF"/>
    <w:rsid w:val="00AC6F3E"/>
    <w:rsid w:val="00AC72A9"/>
    <w:rsid w:val="00AC7516"/>
    <w:rsid w:val="00AC7CD9"/>
    <w:rsid w:val="00AC7E33"/>
    <w:rsid w:val="00AD00D2"/>
    <w:rsid w:val="00AD1082"/>
    <w:rsid w:val="00AD16F6"/>
    <w:rsid w:val="00AD330B"/>
    <w:rsid w:val="00AD3345"/>
    <w:rsid w:val="00AD474D"/>
    <w:rsid w:val="00AD7126"/>
    <w:rsid w:val="00AD7B34"/>
    <w:rsid w:val="00AD7FD1"/>
    <w:rsid w:val="00AE0398"/>
    <w:rsid w:val="00AE14D2"/>
    <w:rsid w:val="00AE2351"/>
    <w:rsid w:val="00AE275F"/>
    <w:rsid w:val="00AE3A66"/>
    <w:rsid w:val="00AE4033"/>
    <w:rsid w:val="00AE40FA"/>
    <w:rsid w:val="00AE5816"/>
    <w:rsid w:val="00AE5D1B"/>
    <w:rsid w:val="00AE6BD6"/>
    <w:rsid w:val="00AF242C"/>
    <w:rsid w:val="00AF285D"/>
    <w:rsid w:val="00AF2D90"/>
    <w:rsid w:val="00AF314A"/>
    <w:rsid w:val="00AF37A6"/>
    <w:rsid w:val="00AF41C2"/>
    <w:rsid w:val="00AF43D8"/>
    <w:rsid w:val="00AF4EA8"/>
    <w:rsid w:val="00AF5A04"/>
    <w:rsid w:val="00AF62F2"/>
    <w:rsid w:val="00AF67D3"/>
    <w:rsid w:val="00AF6D31"/>
    <w:rsid w:val="00AF6F5F"/>
    <w:rsid w:val="00AF7024"/>
    <w:rsid w:val="00AF79D7"/>
    <w:rsid w:val="00AF7B64"/>
    <w:rsid w:val="00B01404"/>
    <w:rsid w:val="00B0168E"/>
    <w:rsid w:val="00B029B0"/>
    <w:rsid w:val="00B02C9B"/>
    <w:rsid w:val="00B049A0"/>
    <w:rsid w:val="00B060B3"/>
    <w:rsid w:val="00B06325"/>
    <w:rsid w:val="00B06466"/>
    <w:rsid w:val="00B07B11"/>
    <w:rsid w:val="00B12A28"/>
    <w:rsid w:val="00B13674"/>
    <w:rsid w:val="00B13961"/>
    <w:rsid w:val="00B145F6"/>
    <w:rsid w:val="00B147CC"/>
    <w:rsid w:val="00B15A8A"/>
    <w:rsid w:val="00B15DD8"/>
    <w:rsid w:val="00B164F8"/>
    <w:rsid w:val="00B16694"/>
    <w:rsid w:val="00B16B9B"/>
    <w:rsid w:val="00B17AAC"/>
    <w:rsid w:val="00B20859"/>
    <w:rsid w:val="00B21698"/>
    <w:rsid w:val="00B2283C"/>
    <w:rsid w:val="00B22A00"/>
    <w:rsid w:val="00B251F1"/>
    <w:rsid w:val="00B2623C"/>
    <w:rsid w:val="00B26780"/>
    <w:rsid w:val="00B27290"/>
    <w:rsid w:val="00B272EB"/>
    <w:rsid w:val="00B2797F"/>
    <w:rsid w:val="00B31033"/>
    <w:rsid w:val="00B31FF4"/>
    <w:rsid w:val="00B3208A"/>
    <w:rsid w:val="00B3361F"/>
    <w:rsid w:val="00B343C3"/>
    <w:rsid w:val="00B3464C"/>
    <w:rsid w:val="00B347FE"/>
    <w:rsid w:val="00B34CB4"/>
    <w:rsid w:val="00B3507A"/>
    <w:rsid w:val="00B3538F"/>
    <w:rsid w:val="00B3593D"/>
    <w:rsid w:val="00B35F53"/>
    <w:rsid w:val="00B364F2"/>
    <w:rsid w:val="00B366A2"/>
    <w:rsid w:val="00B36F9D"/>
    <w:rsid w:val="00B373E9"/>
    <w:rsid w:val="00B37ADB"/>
    <w:rsid w:val="00B40085"/>
    <w:rsid w:val="00B409F6"/>
    <w:rsid w:val="00B40E76"/>
    <w:rsid w:val="00B411E6"/>
    <w:rsid w:val="00B42F11"/>
    <w:rsid w:val="00B43200"/>
    <w:rsid w:val="00B438CC"/>
    <w:rsid w:val="00B43C5E"/>
    <w:rsid w:val="00B44832"/>
    <w:rsid w:val="00B44B97"/>
    <w:rsid w:val="00B464ED"/>
    <w:rsid w:val="00B4788C"/>
    <w:rsid w:val="00B506DD"/>
    <w:rsid w:val="00B51551"/>
    <w:rsid w:val="00B51DFA"/>
    <w:rsid w:val="00B523DE"/>
    <w:rsid w:val="00B527BC"/>
    <w:rsid w:val="00B529BC"/>
    <w:rsid w:val="00B52F07"/>
    <w:rsid w:val="00B5355F"/>
    <w:rsid w:val="00B54A1B"/>
    <w:rsid w:val="00B5630A"/>
    <w:rsid w:val="00B60540"/>
    <w:rsid w:val="00B62B00"/>
    <w:rsid w:val="00B63337"/>
    <w:rsid w:val="00B6366B"/>
    <w:rsid w:val="00B64056"/>
    <w:rsid w:val="00B650D4"/>
    <w:rsid w:val="00B650F3"/>
    <w:rsid w:val="00B666AD"/>
    <w:rsid w:val="00B66B4D"/>
    <w:rsid w:val="00B67897"/>
    <w:rsid w:val="00B705E4"/>
    <w:rsid w:val="00B71354"/>
    <w:rsid w:val="00B71AEC"/>
    <w:rsid w:val="00B731B2"/>
    <w:rsid w:val="00B733D0"/>
    <w:rsid w:val="00B75F46"/>
    <w:rsid w:val="00B76ABA"/>
    <w:rsid w:val="00B80526"/>
    <w:rsid w:val="00B80AC1"/>
    <w:rsid w:val="00B82680"/>
    <w:rsid w:val="00B85C8D"/>
    <w:rsid w:val="00B86454"/>
    <w:rsid w:val="00B87AFE"/>
    <w:rsid w:val="00B87CEE"/>
    <w:rsid w:val="00B90589"/>
    <w:rsid w:val="00B91886"/>
    <w:rsid w:val="00B92A2C"/>
    <w:rsid w:val="00B93AE9"/>
    <w:rsid w:val="00B93E9F"/>
    <w:rsid w:val="00B95046"/>
    <w:rsid w:val="00B95135"/>
    <w:rsid w:val="00B95648"/>
    <w:rsid w:val="00B95CF6"/>
    <w:rsid w:val="00B95F83"/>
    <w:rsid w:val="00BA218D"/>
    <w:rsid w:val="00BA2473"/>
    <w:rsid w:val="00BA2630"/>
    <w:rsid w:val="00BA2A36"/>
    <w:rsid w:val="00BA3865"/>
    <w:rsid w:val="00BA3921"/>
    <w:rsid w:val="00BA3B85"/>
    <w:rsid w:val="00BA3F99"/>
    <w:rsid w:val="00BA56C5"/>
    <w:rsid w:val="00BA58EB"/>
    <w:rsid w:val="00BA58FC"/>
    <w:rsid w:val="00BA690C"/>
    <w:rsid w:val="00BA69AE"/>
    <w:rsid w:val="00BA745E"/>
    <w:rsid w:val="00BB0AC8"/>
    <w:rsid w:val="00BB0D89"/>
    <w:rsid w:val="00BB29AD"/>
    <w:rsid w:val="00BB2F49"/>
    <w:rsid w:val="00BB3229"/>
    <w:rsid w:val="00BB3D37"/>
    <w:rsid w:val="00BB466E"/>
    <w:rsid w:val="00BB4BE0"/>
    <w:rsid w:val="00BB764A"/>
    <w:rsid w:val="00BB7795"/>
    <w:rsid w:val="00BB7920"/>
    <w:rsid w:val="00BB7EB8"/>
    <w:rsid w:val="00BC0394"/>
    <w:rsid w:val="00BC075C"/>
    <w:rsid w:val="00BC0A2E"/>
    <w:rsid w:val="00BC1343"/>
    <w:rsid w:val="00BC21E6"/>
    <w:rsid w:val="00BC22ED"/>
    <w:rsid w:val="00BC2A56"/>
    <w:rsid w:val="00BC5A27"/>
    <w:rsid w:val="00BC6541"/>
    <w:rsid w:val="00BC7899"/>
    <w:rsid w:val="00BD076F"/>
    <w:rsid w:val="00BD259E"/>
    <w:rsid w:val="00BD261F"/>
    <w:rsid w:val="00BD2D5D"/>
    <w:rsid w:val="00BD32FD"/>
    <w:rsid w:val="00BD38EB"/>
    <w:rsid w:val="00BD3A53"/>
    <w:rsid w:val="00BD47E5"/>
    <w:rsid w:val="00BD5FBC"/>
    <w:rsid w:val="00BD6AF2"/>
    <w:rsid w:val="00BD713F"/>
    <w:rsid w:val="00BD73C8"/>
    <w:rsid w:val="00BE073F"/>
    <w:rsid w:val="00BE0AB9"/>
    <w:rsid w:val="00BE0DB6"/>
    <w:rsid w:val="00BE20BC"/>
    <w:rsid w:val="00BE32C1"/>
    <w:rsid w:val="00BE3A93"/>
    <w:rsid w:val="00BE3FD4"/>
    <w:rsid w:val="00BE468B"/>
    <w:rsid w:val="00BE6A55"/>
    <w:rsid w:val="00BE6F31"/>
    <w:rsid w:val="00BE6FBE"/>
    <w:rsid w:val="00BE7558"/>
    <w:rsid w:val="00BE7930"/>
    <w:rsid w:val="00BE7A42"/>
    <w:rsid w:val="00BF0CC5"/>
    <w:rsid w:val="00BF15A2"/>
    <w:rsid w:val="00BF2524"/>
    <w:rsid w:val="00BF2613"/>
    <w:rsid w:val="00BF49E6"/>
    <w:rsid w:val="00BF5897"/>
    <w:rsid w:val="00BF591A"/>
    <w:rsid w:val="00BF5C0B"/>
    <w:rsid w:val="00BF5E50"/>
    <w:rsid w:val="00BF6006"/>
    <w:rsid w:val="00BF727A"/>
    <w:rsid w:val="00C0082D"/>
    <w:rsid w:val="00C00ED7"/>
    <w:rsid w:val="00C011D4"/>
    <w:rsid w:val="00C01B03"/>
    <w:rsid w:val="00C03955"/>
    <w:rsid w:val="00C03AB5"/>
    <w:rsid w:val="00C041C3"/>
    <w:rsid w:val="00C054ED"/>
    <w:rsid w:val="00C05EF5"/>
    <w:rsid w:val="00C06574"/>
    <w:rsid w:val="00C067FB"/>
    <w:rsid w:val="00C0784A"/>
    <w:rsid w:val="00C07D25"/>
    <w:rsid w:val="00C07E2A"/>
    <w:rsid w:val="00C102D3"/>
    <w:rsid w:val="00C1098D"/>
    <w:rsid w:val="00C11ED0"/>
    <w:rsid w:val="00C12086"/>
    <w:rsid w:val="00C14A3B"/>
    <w:rsid w:val="00C14C40"/>
    <w:rsid w:val="00C15AE0"/>
    <w:rsid w:val="00C174F4"/>
    <w:rsid w:val="00C1789F"/>
    <w:rsid w:val="00C17C19"/>
    <w:rsid w:val="00C204CF"/>
    <w:rsid w:val="00C2128B"/>
    <w:rsid w:val="00C22AD4"/>
    <w:rsid w:val="00C22C10"/>
    <w:rsid w:val="00C22CB9"/>
    <w:rsid w:val="00C2340A"/>
    <w:rsid w:val="00C23F5E"/>
    <w:rsid w:val="00C243D0"/>
    <w:rsid w:val="00C24E4D"/>
    <w:rsid w:val="00C25B43"/>
    <w:rsid w:val="00C26767"/>
    <w:rsid w:val="00C274EB"/>
    <w:rsid w:val="00C2786D"/>
    <w:rsid w:val="00C30108"/>
    <w:rsid w:val="00C30171"/>
    <w:rsid w:val="00C30F38"/>
    <w:rsid w:val="00C311FF"/>
    <w:rsid w:val="00C31446"/>
    <w:rsid w:val="00C31C20"/>
    <w:rsid w:val="00C322C0"/>
    <w:rsid w:val="00C3259D"/>
    <w:rsid w:val="00C34A71"/>
    <w:rsid w:val="00C34BA1"/>
    <w:rsid w:val="00C34F18"/>
    <w:rsid w:val="00C34F5F"/>
    <w:rsid w:val="00C35169"/>
    <w:rsid w:val="00C35863"/>
    <w:rsid w:val="00C35E85"/>
    <w:rsid w:val="00C36861"/>
    <w:rsid w:val="00C37F05"/>
    <w:rsid w:val="00C4121A"/>
    <w:rsid w:val="00C414DC"/>
    <w:rsid w:val="00C41DD6"/>
    <w:rsid w:val="00C425F5"/>
    <w:rsid w:val="00C42982"/>
    <w:rsid w:val="00C42C13"/>
    <w:rsid w:val="00C445F0"/>
    <w:rsid w:val="00C44BBA"/>
    <w:rsid w:val="00C45BE3"/>
    <w:rsid w:val="00C463D3"/>
    <w:rsid w:val="00C4681F"/>
    <w:rsid w:val="00C46C18"/>
    <w:rsid w:val="00C513CC"/>
    <w:rsid w:val="00C519DD"/>
    <w:rsid w:val="00C52C77"/>
    <w:rsid w:val="00C5308C"/>
    <w:rsid w:val="00C53EF5"/>
    <w:rsid w:val="00C551AB"/>
    <w:rsid w:val="00C55F2C"/>
    <w:rsid w:val="00C569D3"/>
    <w:rsid w:val="00C57206"/>
    <w:rsid w:val="00C574D3"/>
    <w:rsid w:val="00C60B32"/>
    <w:rsid w:val="00C60FE9"/>
    <w:rsid w:val="00C61740"/>
    <w:rsid w:val="00C626B6"/>
    <w:rsid w:val="00C62D3E"/>
    <w:rsid w:val="00C62DD3"/>
    <w:rsid w:val="00C62F83"/>
    <w:rsid w:val="00C656E9"/>
    <w:rsid w:val="00C66BB6"/>
    <w:rsid w:val="00C67014"/>
    <w:rsid w:val="00C67043"/>
    <w:rsid w:val="00C70AD2"/>
    <w:rsid w:val="00C70BB7"/>
    <w:rsid w:val="00C70D6C"/>
    <w:rsid w:val="00C712C6"/>
    <w:rsid w:val="00C72739"/>
    <w:rsid w:val="00C748F7"/>
    <w:rsid w:val="00C76902"/>
    <w:rsid w:val="00C77E73"/>
    <w:rsid w:val="00C77F18"/>
    <w:rsid w:val="00C8105F"/>
    <w:rsid w:val="00C811E8"/>
    <w:rsid w:val="00C81544"/>
    <w:rsid w:val="00C83762"/>
    <w:rsid w:val="00C83BAA"/>
    <w:rsid w:val="00C83E06"/>
    <w:rsid w:val="00C87FE6"/>
    <w:rsid w:val="00C90260"/>
    <w:rsid w:val="00C90CE9"/>
    <w:rsid w:val="00C914B9"/>
    <w:rsid w:val="00C9152C"/>
    <w:rsid w:val="00C91D1D"/>
    <w:rsid w:val="00C9275E"/>
    <w:rsid w:val="00C93A70"/>
    <w:rsid w:val="00C93FD1"/>
    <w:rsid w:val="00C94592"/>
    <w:rsid w:val="00C945D5"/>
    <w:rsid w:val="00C94A98"/>
    <w:rsid w:val="00C9580C"/>
    <w:rsid w:val="00C95CEE"/>
    <w:rsid w:val="00C96955"/>
    <w:rsid w:val="00C97723"/>
    <w:rsid w:val="00C9783E"/>
    <w:rsid w:val="00C97CFC"/>
    <w:rsid w:val="00CA0AB0"/>
    <w:rsid w:val="00CA5F8F"/>
    <w:rsid w:val="00CA6EDF"/>
    <w:rsid w:val="00CB0563"/>
    <w:rsid w:val="00CB0C60"/>
    <w:rsid w:val="00CB15DE"/>
    <w:rsid w:val="00CB221E"/>
    <w:rsid w:val="00CB2E61"/>
    <w:rsid w:val="00CB34BB"/>
    <w:rsid w:val="00CB352E"/>
    <w:rsid w:val="00CB49AA"/>
    <w:rsid w:val="00CB49F0"/>
    <w:rsid w:val="00CB56F9"/>
    <w:rsid w:val="00CB5B7F"/>
    <w:rsid w:val="00CB6307"/>
    <w:rsid w:val="00CB6856"/>
    <w:rsid w:val="00CB6A66"/>
    <w:rsid w:val="00CB6DD0"/>
    <w:rsid w:val="00CB7487"/>
    <w:rsid w:val="00CB7B7F"/>
    <w:rsid w:val="00CB7C44"/>
    <w:rsid w:val="00CB7EFF"/>
    <w:rsid w:val="00CC016D"/>
    <w:rsid w:val="00CC0D5C"/>
    <w:rsid w:val="00CC1872"/>
    <w:rsid w:val="00CC1F8A"/>
    <w:rsid w:val="00CC36FE"/>
    <w:rsid w:val="00CC45FA"/>
    <w:rsid w:val="00CC5315"/>
    <w:rsid w:val="00CC5A4B"/>
    <w:rsid w:val="00CC6564"/>
    <w:rsid w:val="00CC7B4F"/>
    <w:rsid w:val="00CC7D26"/>
    <w:rsid w:val="00CD0532"/>
    <w:rsid w:val="00CD0A48"/>
    <w:rsid w:val="00CD0D69"/>
    <w:rsid w:val="00CD116F"/>
    <w:rsid w:val="00CD1F38"/>
    <w:rsid w:val="00CD3A9E"/>
    <w:rsid w:val="00CD42B4"/>
    <w:rsid w:val="00CD58EA"/>
    <w:rsid w:val="00CD62FC"/>
    <w:rsid w:val="00CD7149"/>
    <w:rsid w:val="00CD7D46"/>
    <w:rsid w:val="00CE036E"/>
    <w:rsid w:val="00CE0B27"/>
    <w:rsid w:val="00CE14F1"/>
    <w:rsid w:val="00CE449B"/>
    <w:rsid w:val="00CE53C5"/>
    <w:rsid w:val="00CE66AD"/>
    <w:rsid w:val="00CE6C9A"/>
    <w:rsid w:val="00CF02FF"/>
    <w:rsid w:val="00CF26FD"/>
    <w:rsid w:val="00CF4256"/>
    <w:rsid w:val="00CF4DB4"/>
    <w:rsid w:val="00CF4E22"/>
    <w:rsid w:val="00CF513F"/>
    <w:rsid w:val="00CF51D5"/>
    <w:rsid w:val="00CF5683"/>
    <w:rsid w:val="00CF6846"/>
    <w:rsid w:val="00CF6AA0"/>
    <w:rsid w:val="00CF6E6A"/>
    <w:rsid w:val="00CF703F"/>
    <w:rsid w:val="00CF747C"/>
    <w:rsid w:val="00CF79B5"/>
    <w:rsid w:val="00D007F5"/>
    <w:rsid w:val="00D00C5B"/>
    <w:rsid w:val="00D0163E"/>
    <w:rsid w:val="00D01A1C"/>
    <w:rsid w:val="00D0333C"/>
    <w:rsid w:val="00D039CB"/>
    <w:rsid w:val="00D04133"/>
    <w:rsid w:val="00D04721"/>
    <w:rsid w:val="00D04833"/>
    <w:rsid w:val="00D0487E"/>
    <w:rsid w:val="00D055C0"/>
    <w:rsid w:val="00D05B13"/>
    <w:rsid w:val="00D06659"/>
    <w:rsid w:val="00D06918"/>
    <w:rsid w:val="00D06ECC"/>
    <w:rsid w:val="00D06FAE"/>
    <w:rsid w:val="00D07839"/>
    <w:rsid w:val="00D10386"/>
    <w:rsid w:val="00D10500"/>
    <w:rsid w:val="00D109B6"/>
    <w:rsid w:val="00D11BEB"/>
    <w:rsid w:val="00D11F98"/>
    <w:rsid w:val="00D12C06"/>
    <w:rsid w:val="00D12DC2"/>
    <w:rsid w:val="00D133E6"/>
    <w:rsid w:val="00D140A0"/>
    <w:rsid w:val="00D141D2"/>
    <w:rsid w:val="00D14939"/>
    <w:rsid w:val="00D14C2B"/>
    <w:rsid w:val="00D159FD"/>
    <w:rsid w:val="00D15BBF"/>
    <w:rsid w:val="00D16032"/>
    <w:rsid w:val="00D21D93"/>
    <w:rsid w:val="00D22332"/>
    <w:rsid w:val="00D22701"/>
    <w:rsid w:val="00D24900"/>
    <w:rsid w:val="00D25648"/>
    <w:rsid w:val="00D25A9D"/>
    <w:rsid w:val="00D25AF5"/>
    <w:rsid w:val="00D25EAC"/>
    <w:rsid w:val="00D27263"/>
    <w:rsid w:val="00D273F6"/>
    <w:rsid w:val="00D27887"/>
    <w:rsid w:val="00D27B02"/>
    <w:rsid w:val="00D30B04"/>
    <w:rsid w:val="00D31376"/>
    <w:rsid w:val="00D313EC"/>
    <w:rsid w:val="00D3146D"/>
    <w:rsid w:val="00D31610"/>
    <w:rsid w:val="00D31AA0"/>
    <w:rsid w:val="00D31AA3"/>
    <w:rsid w:val="00D31B41"/>
    <w:rsid w:val="00D323F0"/>
    <w:rsid w:val="00D32DE8"/>
    <w:rsid w:val="00D3345E"/>
    <w:rsid w:val="00D33AD5"/>
    <w:rsid w:val="00D33D47"/>
    <w:rsid w:val="00D350CD"/>
    <w:rsid w:val="00D35985"/>
    <w:rsid w:val="00D35F86"/>
    <w:rsid w:val="00D36BB9"/>
    <w:rsid w:val="00D41BEF"/>
    <w:rsid w:val="00D42870"/>
    <w:rsid w:val="00D429AF"/>
    <w:rsid w:val="00D42EB0"/>
    <w:rsid w:val="00D433E5"/>
    <w:rsid w:val="00D43C41"/>
    <w:rsid w:val="00D43D10"/>
    <w:rsid w:val="00D44585"/>
    <w:rsid w:val="00D44BE8"/>
    <w:rsid w:val="00D45A23"/>
    <w:rsid w:val="00D46511"/>
    <w:rsid w:val="00D46586"/>
    <w:rsid w:val="00D46C61"/>
    <w:rsid w:val="00D47E6F"/>
    <w:rsid w:val="00D50539"/>
    <w:rsid w:val="00D513E5"/>
    <w:rsid w:val="00D5190E"/>
    <w:rsid w:val="00D51B0E"/>
    <w:rsid w:val="00D53480"/>
    <w:rsid w:val="00D53AA3"/>
    <w:rsid w:val="00D53EC6"/>
    <w:rsid w:val="00D57A47"/>
    <w:rsid w:val="00D60E19"/>
    <w:rsid w:val="00D6135C"/>
    <w:rsid w:val="00D61B23"/>
    <w:rsid w:val="00D62ABD"/>
    <w:rsid w:val="00D62B82"/>
    <w:rsid w:val="00D62EEC"/>
    <w:rsid w:val="00D6305E"/>
    <w:rsid w:val="00D63FED"/>
    <w:rsid w:val="00D644B3"/>
    <w:rsid w:val="00D64C01"/>
    <w:rsid w:val="00D65520"/>
    <w:rsid w:val="00D66D3F"/>
    <w:rsid w:val="00D674F8"/>
    <w:rsid w:val="00D67ADE"/>
    <w:rsid w:val="00D7105C"/>
    <w:rsid w:val="00D715D9"/>
    <w:rsid w:val="00D716CB"/>
    <w:rsid w:val="00D71A0F"/>
    <w:rsid w:val="00D724B4"/>
    <w:rsid w:val="00D731AE"/>
    <w:rsid w:val="00D7382D"/>
    <w:rsid w:val="00D7527F"/>
    <w:rsid w:val="00D755B5"/>
    <w:rsid w:val="00D75643"/>
    <w:rsid w:val="00D7586E"/>
    <w:rsid w:val="00D7599B"/>
    <w:rsid w:val="00D75C03"/>
    <w:rsid w:val="00D76108"/>
    <w:rsid w:val="00D7621D"/>
    <w:rsid w:val="00D76E56"/>
    <w:rsid w:val="00D808F7"/>
    <w:rsid w:val="00D80D69"/>
    <w:rsid w:val="00D8168C"/>
    <w:rsid w:val="00D82743"/>
    <w:rsid w:val="00D83046"/>
    <w:rsid w:val="00D83116"/>
    <w:rsid w:val="00D833BA"/>
    <w:rsid w:val="00D841F2"/>
    <w:rsid w:val="00D84F15"/>
    <w:rsid w:val="00D869B9"/>
    <w:rsid w:val="00D86B58"/>
    <w:rsid w:val="00D87BD2"/>
    <w:rsid w:val="00D90320"/>
    <w:rsid w:val="00D91C00"/>
    <w:rsid w:val="00D92028"/>
    <w:rsid w:val="00D92A24"/>
    <w:rsid w:val="00D92C91"/>
    <w:rsid w:val="00D94F86"/>
    <w:rsid w:val="00D96DEF"/>
    <w:rsid w:val="00DA1540"/>
    <w:rsid w:val="00DA19A8"/>
    <w:rsid w:val="00DA1E10"/>
    <w:rsid w:val="00DA2433"/>
    <w:rsid w:val="00DA3029"/>
    <w:rsid w:val="00DA47A7"/>
    <w:rsid w:val="00DA4814"/>
    <w:rsid w:val="00DA51D1"/>
    <w:rsid w:val="00DA52C6"/>
    <w:rsid w:val="00DA591C"/>
    <w:rsid w:val="00DA5F13"/>
    <w:rsid w:val="00DA6E8E"/>
    <w:rsid w:val="00DA742C"/>
    <w:rsid w:val="00DA7F71"/>
    <w:rsid w:val="00DB0A39"/>
    <w:rsid w:val="00DB0B36"/>
    <w:rsid w:val="00DB293E"/>
    <w:rsid w:val="00DB2ED2"/>
    <w:rsid w:val="00DB2F78"/>
    <w:rsid w:val="00DB442E"/>
    <w:rsid w:val="00DB50AD"/>
    <w:rsid w:val="00DB6BB3"/>
    <w:rsid w:val="00DB6ECE"/>
    <w:rsid w:val="00DB7B5A"/>
    <w:rsid w:val="00DC0E25"/>
    <w:rsid w:val="00DC1557"/>
    <w:rsid w:val="00DC16A7"/>
    <w:rsid w:val="00DC1743"/>
    <w:rsid w:val="00DC1E2F"/>
    <w:rsid w:val="00DC20A8"/>
    <w:rsid w:val="00DC2136"/>
    <w:rsid w:val="00DC26EA"/>
    <w:rsid w:val="00DC3F47"/>
    <w:rsid w:val="00DC5715"/>
    <w:rsid w:val="00DC59E7"/>
    <w:rsid w:val="00DC5BE2"/>
    <w:rsid w:val="00DC6A00"/>
    <w:rsid w:val="00DD1BBB"/>
    <w:rsid w:val="00DD1E4C"/>
    <w:rsid w:val="00DD1FF6"/>
    <w:rsid w:val="00DD2523"/>
    <w:rsid w:val="00DD3A65"/>
    <w:rsid w:val="00DD4572"/>
    <w:rsid w:val="00DD46EF"/>
    <w:rsid w:val="00DD4E4B"/>
    <w:rsid w:val="00DD51F3"/>
    <w:rsid w:val="00DD526E"/>
    <w:rsid w:val="00DD52BA"/>
    <w:rsid w:val="00DD6A9A"/>
    <w:rsid w:val="00DD6F62"/>
    <w:rsid w:val="00DD772C"/>
    <w:rsid w:val="00DD7DEB"/>
    <w:rsid w:val="00DE001D"/>
    <w:rsid w:val="00DE0239"/>
    <w:rsid w:val="00DE1B0B"/>
    <w:rsid w:val="00DE1F5C"/>
    <w:rsid w:val="00DE228B"/>
    <w:rsid w:val="00DE2D00"/>
    <w:rsid w:val="00DE2DB3"/>
    <w:rsid w:val="00DE58FF"/>
    <w:rsid w:val="00DE66F7"/>
    <w:rsid w:val="00DE6C81"/>
    <w:rsid w:val="00DE6E29"/>
    <w:rsid w:val="00DE7C77"/>
    <w:rsid w:val="00DF0162"/>
    <w:rsid w:val="00DF029C"/>
    <w:rsid w:val="00DF03C1"/>
    <w:rsid w:val="00DF0539"/>
    <w:rsid w:val="00DF075C"/>
    <w:rsid w:val="00DF088E"/>
    <w:rsid w:val="00DF16CD"/>
    <w:rsid w:val="00DF16D6"/>
    <w:rsid w:val="00DF2DF5"/>
    <w:rsid w:val="00DF337D"/>
    <w:rsid w:val="00DF3B15"/>
    <w:rsid w:val="00DF3B67"/>
    <w:rsid w:val="00DF45CA"/>
    <w:rsid w:val="00DF52EF"/>
    <w:rsid w:val="00DF5CA1"/>
    <w:rsid w:val="00DF6900"/>
    <w:rsid w:val="00DF77BB"/>
    <w:rsid w:val="00E00D22"/>
    <w:rsid w:val="00E00E86"/>
    <w:rsid w:val="00E017A2"/>
    <w:rsid w:val="00E01D99"/>
    <w:rsid w:val="00E027E8"/>
    <w:rsid w:val="00E02878"/>
    <w:rsid w:val="00E02920"/>
    <w:rsid w:val="00E02A95"/>
    <w:rsid w:val="00E02D96"/>
    <w:rsid w:val="00E03520"/>
    <w:rsid w:val="00E037B7"/>
    <w:rsid w:val="00E04019"/>
    <w:rsid w:val="00E04202"/>
    <w:rsid w:val="00E043F7"/>
    <w:rsid w:val="00E04A25"/>
    <w:rsid w:val="00E05515"/>
    <w:rsid w:val="00E05E2A"/>
    <w:rsid w:val="00E07280"/>
    <w:rsid w:val="00E07664"/>
    <w:rsid w:val="00E10055"/>
    <w:rsid w:val="00E1200A"/>
    <w:rsid w:val="00E125C0"/>
    <w:rsid w:val="00E135C7"/>
    <w:rsid w:val="00E13732"/>
    <w:rsid w:val="00E13B96"/>
    <w:rsid w:val="00E13E78"/>
    <w:rsid w:val="00E14A46"/>
    <w:rsid w:val="00E14C76"/>
    <w:rsid w:val="00E14CCE"/>
    <w:rsid w:val="00E15224"/>
    <w:rsid w:val="00E15495"/>
    <w:rsid w:val="00E159D9"/>
    <w:rsid w:val="00E15DFF"/>
    <w:rsid w:val="00E164D8"/>
    <w:rsid w:val="00E20C0A"/>
    <w:rsid w:val="00E20DF2"/>
    <w:rsid w:val="00E20EC3"/>
    <w:rsid w:val="00E216E5"/>
    <w:rsid w:val="00E21997"/>
    <w:rsid w:val="00E2228A"/>
    <w:rsid w:val="00E22E79"/>
    <w:rsid w:val="00E23630"/>
    <w:rsid w:val="00E2433B"/>
    <w:rsid w:val="00E24B10"/>
    <w:rsid w:val="00E255B0"/>
    <w:rsid w:val="00E25DE1"/>
    <w:rsid w:val="00E26A23"/>
    <w:rsid w:val="00E26F30"/>
    <w:rsid w:val="00E310BC"/>
    <w:rsid w:val="00E3172E"/>
    <w:rsid w:val="00E3181A"/>
    <w:rsid w:val="00E324D6"/>
    <w:rsid w:val="00E32C8F"/>
    <w:rsid w:val="00E32DCD"/>
    <w:rsid w:val="00E32FF1"/>
    <w:rsid w:val="00E33A0F"/>
    <w:rsid w:val="00E35268"/>
    <w:rsid w:val="00E359E5"/>
    <w:rsid w:val="00E35AF5"/>
    <w:rsid w:val="00E36079"/>
    <w:rsid w:val="00E37090"/>
    <w:rsid w:val="00E418E9"/>
    <w:rsid w:val="00E41B0F"/>
    <w:rsid w:val="00E42A48"/>
    <w:rsid w:val="00E42F3F"/>
    <w:rsid w:val="00E43054"/>
    <w:rsid w:val="00E434CB"/>
    <w:rsid w:val="00E43E17"/>
    <w:rsid w:val="00E45406"/>
    <w:rsid w:val="00E45745"/>
    <w:rsid w:val="00E45837"/>
    <w:rsid w:val="00E463DC"/>
    <w:rsid w:val="00E4707D"/>
    <w:rsid w:val="00E478C1"/>
    <w:rsid w:val="00E47A31"/>
    <w:rsid w:val="00E47CF2"/>
    <w:rsid w:val="00E50090"/>
    <w:rsid w:val="00E50698"/>
    <w:rsid w:val="00E509C6"/>
    <w:rsid w:val="00E51023"/>
    <w:rsid w:val="00E5159E"/>
    <w:rsid w:val="00E517F3"/>
    <w:rsid w:val="00E51CC2"/>
    <w:rsid w:val="00E5214A"/>
    <w:rsid w:val="00E52EFB"/>
    <w:rsid w:val="00E530EF"/>
    <w:rsid w:val="00E53AF0"/>
    <w:rsid w:val="00E54C3B"/>
    <w:rsid w:val="00E568AA"/>
    <w:rsid w:val="00E56E57"/>
    <w:rsid w:val="00E572A8"/>
    <w:rsid w:val="00E575A3"/>
    <w:rsid w:val="00E57F04"/>
    <w:rsid w:val="00E603D7"/>
    <w:rsid w:val="00E609D4"/>
    <w:rsid w:val="00E60EAC"/>
    <w:rsid w:val="00E621C6"/>
    <w:rsid w:val="00E62325"/>
    <w:rsid w:val="00E62541"/>
    <w:rsid w:val="00E62B17"/>
    <w:rsid w:val="00E62B85"/>
    <w:rsid w:val="00E62EBF"/>
    <w:rsid w:val="00E63EE2"/>
    <w:rsid w:val="00E63F8E"/>
    <w:rsid w:val="00E64C5C"/>
    <w:rsid w:val="00E6600E"/>
    <w:rsid w:val="00E6643A"/>
    <w:rsid w:val="00E67F52"/>
    <w:rsid w:val="00E70793"/>
    <w:rsid w:val="00E714F3"/>
    <w:rsid w:val="00E72CDA"/>
    <w:rsid w:val="00E73F76"/>
    <w:rsid w:val="00E8027B"/>
    <w:rsid w:val="00E80A2B"/>
    <w:rsid w:val="00E82E88"/>
    <w:rsid w:val="00E82EDF"/>
    <w:rsid w:val="00E8321B"/>
    <w:rsid w:val="00E83532"/>
    <w:rsid w:val="00E8410B"/>
    <w:rsid w:val="00E863D2"/>
    <w:rsid w:val="00E86F17"/>
    <w:rsid w:val="00E87813"/>
    <w:rsid w:val="00E91086"/>
    <w:rsid w:val="00E91A69"/>
    <w:rsid w:val="00E927FA"/>
    <w:rsid w:val="00E927FD"/>
    <w:rsid w:val="00E93119"/>
    <w:rsid w:val="00E932B9"/>
    <w:rsid w:val="00E93593"/>
    <w:rsid w:val="00E93745"/>
    <w:rsid w:val="00E95F36"/>
    <w:rsid w:val="00E96E78"/>
    <w:rsid w:val="00E9705D"/>
    <w:rsid w:val="00E972DA"/>
    <w:rsid w:val="00E978A3"/>
    <w:rsid w:val="00EA0741"/>
    <w:rsid w:val="00EA0B4D"/>
    <w:rsid w:val="00EA124A"/>
    <w:rsid w:val="00EA13FE"/>
    <w:rsid w:val="00EA182B"/>
    <w:rsid w:val="00EA1C77"/>
    <w:rsid w:val="00EA328B"/>
    <w:rsid w:val="00EA38E4"/>
    <w:rsid w:val="00EA3EA4"/>
    <w:rsid w:val="00EA5CFE"/>
    <w:rsid w:val="00EA6149"/>
    <w:rsid w:val="00EA681B"/>
    <w:rsid w:val="00EA6FEC"/>
    <w:rsid w:val="00EA7F70"/>
    <w:rsid w:val="00EB1CDD"/>
    <w:rsid w:val="00EB7440"/>
    <w:rsid w:val="00EB7795"/>
    <w:rsid w:val="00EB7851"/>
    <w:rsid w:val="00EB7893"/>
    <w:rsid w:val="00EB7CBB"/>
    <w:rsid w:val="00EB7FC3"/>
    <w:rsid w:val="00EC1130"/>
    <w:rsid w:val="00EC2CF3"/>
    <w:rsid w:val="00EC3411"/>
    <w:rsid w:val="00EC38F6"/>
    <w:rsid w:val="00EC3B87"/>
    <w:rsid w:val="00EC3D44"/>
    <w:rsid w:val="00EC47B5"/>
    <w:rsid w:val="00EC4F4D"/>
    <w:rsid w:val="00EC7D1F"/>
    <w:rsid w:val="00ED0256"/>
    <w:rsid w:val="00ED0BC6"/>
    <w:rsid w:val="00ED1A73"/>
    <w:rsid w:val="00ED2FF8"/>
    <w:rsid w:val="00ED50C2"/>
    <w:rsid w:val="00ED6481"/>
    <w:rsid w:val="00ED652A"/>
    <w:rsid w:val="00EE14F0"/>
    <w:rsid w:val="00EE2485"/>
    <w:rsid w:val="00EE2ED1"/>
    <w:rsid w:val="00EE378A"/>
    <w:rsid w:val="00EE3D9D"/>
    <w:rsid w:val="00EE429A"/>
    <w:rsid w:val="00EE4A54"/>
    <w:rsid w:val="00EE4D2F"/>
    <w:rsid w:val="00EE5451"/>
    <w:rsid w:val="00EE57C8"/>
    <w:rsid w:val="00EE63AF"/>
    <w:rsid w:val="00EE7CB7"/>
    <w:rsid w:val="00EF0FA0"/>
    <w:rsid w:val="00EF21C8"/>
    <w:rsid w:val="00EF2280"/>
    <w:rsid w:val="00EF290E"/>
    <w:rsid w:val="00EF416E"/>
    <w:rsid w:val="00EF4FB2"/>
    <w:rsid w:val="00EF5334"/>
    <w:rsid w:val="00EF617C"/>
    <w:rsid w:val="00EF6A0A"/>
    <w:rsid w:val="00EF7C1C"/>
    <w:rsid w:val="00F00320"/>
    <w:rsid w:val="00F00AF3"/>
    <w:rsid w:val="00F022F6"/>
    <w:rsid w:val="00F0234D"/>
    <w:rsid w:val="00F04729"/>
    <w:rsid w:val="00F06E8D"/>
    <w:rsid w:val="00F07726"/>
    <w:rsid w:val="00F077EE"/>
    <w:rsid w:val="00F10F86"/>
    <w:rsid w:val="00F11586"/>
    <w:rsid w:val="00F11C50"/>
    <w:rsid w:val="00F1208F"/>
    <w:rsid w:val="00F12492"/>
    <w:rsid w:val="00F128B6"/>
    <w:rsid w:val="00F12F03"/>
    <w:rsid w:val="00F14912"/>
    <w:rsid w:val="00F14B76"/>
    <w:rsid w:val="00F14C45"/>
    <w:rsid w:val="00F160E6"/>
    <w:rsid w:val="00F17760"/>
    <w:rsid w:val="00F17B72"/>
    <w:rsid w:val="00F20745"/>
    <w:rsid w:val="00F20944"/>
    <w:rsid w:val="00F20B08"/>
    <w:rsid w:val="00F20EE8"/>
    <w:rsid w:val="00F2118C"/>
    <w:rsid w:val="00F22080"/>
    <w:rsid w:val="00F2263E"/>
    <w:rsid w:val="00F22684"/>
    <w:rsid w:val="00F22702"/>
    <w:rsid w:val="00F22F5D"/>
    <w:rsid w:val="00F236C1"/>
    <w:rsid w:val="00F24798"/>
    <w:rsid w:val="00F24B90"/>
    <w:rsid w:val="00F24C79"/>
    <w:rsid w:val="00F26BA4"/>
    <w:rsid w:val="00F30566"/>
    <w:rsid w:val="00F30C81"/>
    <w:rsid w:val="00F3167E"/>
    <w:rsid w:val="00F31A3E"/>
    <w:rsid w:val="00F31A7C"/>
    <w:rsid w:val="00F3211A"/>
    <w:rsid w:val="00F33B2B"/>
    <w:rsid w:val="00F344F2"/>
    <w:rsid w:val="00F34783"/>
    <w:rsid w:val="00F34AFA"/>
    <w:rsid w:val="00F359B7"/>
    <w:rsid w:val="00F35D02"/>
    <w:rsid w:val="00F36E45"/>
    <w:rsid w:val="00F370C9"/>
    <w:rsid w:val="00F37F41"/>
    <w:rsid w:val="00F40078"/>
    <w:rsid w:val="00F40219"/>
    <w:rsid w:val="00F40FCA"/>
    <w:rsid w:val="00F411F3"/>
    <w:rsid w:val="00F41278"/>
    <w:rsid w:val="00F41497"/>
    <w:rsid w:val="00F4152E"/>
    <w:rsid w:val="00F41604"/>
    <w:rsid w:val="00F41D87"/>
    <w:rsid w:val="00F41F01"/>
    <w:rsid w:val="00F42A15"/>
    <w:rsid w:val="00F431AA"/>
    <w:rsid w:val="00F43A1A"/>
    <w:rsid w:val="00F44C20"/>
    <w:rsid w:val="00F45C53"/>
    <w:rsid w:val="00F4679E"/>
    <w:rsid w:val="00F467D6"/>
    <w:rsid w:val="00F46D1D"/>
    <w:rsid w:val="00F507F5"/>
    <w:rsid w:val="00F50EAE"/>
    <w:rsid w:val="00F51A05"/>
    <w:rsid w:val="00F5416B"/>
    <w:rsid w:val="00F5468A"/>
    <w:rsid w:val="00F548F9"/>
    <w:rsid w:val="00F5511B"/>
    <w:rsid w:val="00F55C87"/>
    <w:rsid w:val="00F56F9C"/>
    <w:rsid w:val="00F601A1"/>
    <w:rsid w:val="00F609A6"/>
    <w:rsid w:val="00F60B36"/>
    <w:rsid w:val="00F63092"/>
    <w:rsid w:val="00F632CE"/>
    <w:rsid w:val="00F642EB"/>
    <w:rsid w:val="00F64852"/>
    <w:rsid w:val="00F64CE5"/>
    <w:rsid w:val="00F661CE"/>
    <w:rsid w:val="00F66468"/>
    <w:rsid w:val="00F6755E"/>
    <w:rsid w:val="00F70057"/>
    <w:rsid w:val="00F71BC4"/>
    <w:rsid w:val="00F7251F"/>
    <w:rsid w:val="00F730CA"/>
    <w:rsid w:val="00F731E5"/>
    <w:rsid w:val="00F73C9E"/>
    <w:rsid w:val="00F7478F"/>
    <w:rsid w:val="00F74809"/>
    <w:rsid w:val="00F75F6A"/>
    <w:rsid w:val="00F762D2"/>
    <w:rsid w:val="00F76ADD"/>
    <w:rsid w:val="00F76D3E"/>
    <w:rsid w:val="00F774C3"/>
    <w:rsid w:val="00F7764B"/>
    <w:rsid w:val="00F77D9B"/>
    <w:rsid w:val="00F77DD5"/>
    <w:rsid w:val="00F803EB"/>
    <w:rsid w:val="00F80668"/>
    <w:rsid w:val="00F812AB"/>
    <w:rsid w:val="00F8269F"/>
    <w:rsid w:val="00F836E8"/>
    <w:rsid w:val="00F844E9"/>
    <w:rsid w:val="00F85544"/>
    <w:rsid w:val="00F871B9"/>
    <w:rsid w:val="00F87947"/>
    <w:rsid w:val="00F902D7"/>
    <w:rsid w:val="00F90834"/>
    <w:rsid w:val="00F90CEA"/>
    <w:rsid w:val="00F914FA"/>
    <w:rsid w:val="00F9184C"/>
    <w:rsid w:val="00F91FB6"/>
    <w:rsid w:val="00F9251F"/>
    <w:rsid w:val="00F926B5"/>
    <w:rsid w:val="00F930B6"/>
    <w:rsid w:val="00F933AE"/>
    <w:rsid w:val="00F949BD"/>
    <w:rsid w:val="00F94B11"/>
    <w:rsid w:val="00F950EA"/>
    <w:rsid w:val="00F95B0A"/>
    <w:rsid w:val="00F96FE7"/>
    <w:rsid w:val="00F97E1E"/>
    <w:rsid w:val="00FA0682"/>
    <w:rsid w:val="00FA06F7"/>
    <w:rsid w:val="00FA140C"/>
    <w:rsid w:val="00FA1AE5"/>
    <w:rsid w:val="00FA1B9E"/>
    <w:rsid w:val="00FA2CAE"/>
    <w:rsid w:val="00FA322A"/>
    <w:rsid w:val="00FA3E5A"/>
    <w:rsid w:val="00FA4355"/>
    <w:rsid w:val="00FA5B5E"/>
    <w:rsid w:val="00FA6BA7"/>
    <w:rsid w:val="00FA6C05"/>
    <w:rsid w:val="00FA6FE2"/>
    <w:rsid w:val="00FA77C7"/>
    <w:rsid w:val="00FA7F19"/>
    <w:rsid w:val="00FB06A2"/>
    <w:rsid w:val="00FB1C55"/>
    <w:rsid w:val="00FB1DC6"/>
    <w:rsid w:val="00FB2BFE"/>
    <w:rsid w:val="00FB3090"/>
    <w:rsid w:val="00FB31AD"/>
    <w:rsid w:val="00FB3400"/>
    <w:rsid w:val="00FB353B"/>
    <w:rsid w:val="00FB3567"/>
    <w:rsid w:val="00FB3E51"/>
    <w:rsid w:val="00FB3F62"/>
    <w:rsid w:val="00FB4777"/>
    <w:rsid w:val="00FB5569"/>
    <w:rsid w:val="00FB576A"/>
    <w:rsid w:val="00FB57B8"/>
    <w:rsid w:val="00FB58B5"/>
    <w:rsid w:val="00FB6685"/>
    <w:rsid w:val="00FB75A0"/>
    <w:rsid w:val="00FB7EA6"/>
    <w:rsid w:val="00FC0A8C"/>
    <w:rsid w:val="00FC0D23"/>
    <w:rsid w:val="00FC1C38"/>
    <w:rsid w:val="00FC1C58"/>
    <w:rsid w:val="00FC1F05"/>
    <w:rsid w:val="00FC2549"/>
    <w:rsid w:val="00FC30E2"/>
    <w:rsid w:val="00FC35CD"/>
    <w:rsid w:val="00FC39C1"/>
    <w:rsid w:val="00FC4FBD"/>
    <w:rsid w:val="00FC5507"/>
    <w:rsid w:val="00FC653C"/>
    <w:rsid w:val="00FC6F30"/>
    <w:rsid w:val="00FC7177"/>
    <w:rsid w:val="00FC728B"/>
    <w:rsid w:val="00FC7BAB"/>
    <w:rsid w:val="00FD01F1"/>
    <w:rsid w:val="00FD02A8"/>
    <w:rsid w:val="00FD0B37"/>
    <w:rsid w:val="00FD0DB0"/>
    <w:rsid w:val="00FD10F1"/>
    <w:rsid w:val="00FD1213"/>
    <w:rsid w:val="00FD196F"/>
    <w:rsid w:val="00FD2019"/>
    <w:rsid w:val="00FD2B56"/>
    <w:rsid w:val="00FD3EA0"/>
    <w:rsid w:val="00FD42D3"/>
    <w:rsid w:val="00FD4623"/>
    <w:rsid w:val="00FD4860"/>
    <w:rsid w:val="00FD5DFA"/>
    <w:rsid w:val="00FD66C1"/>
    <w:rsid w:val="00FD739F"/>
    <w:rsid w:val="00FD7704"/>
    <w:rsid w:val="00FE17EB"/>
    <w:rsid w:val="00FE2010"/>
    <w:rsid w:val="00FE259B"/>
    <w:rsid w:val="00FE2609"/>
    <w:rsid w:val="00FE27A4"/>
    <w:rsid w:val="00FE27AE"/>
    <w:rsid w:val="00FE2E4E"/>
    <w:rsid w:val="00FE3FF6"/>
    <w:rsid w:val="00FE4313"/>
    <w:rsid w:val="00FE60F2"/>
    <w:rsid w:val="00FE6286"/>
    <w:rsid w:val="00FE629B"/>
    <w:rsid w:val="00FE6AAF"/>
    <w:rsid w:val="00FE7613"/>
    <w:rsid w:val="00FF07AF"/>
    <w:rsid w:val="00FF09FD"/>
    <w:rsid w:val="00FF0BE8"/>
    <w:rsid w:val="00FF15B9"/>
    <w:rsid w:val="00FF23D4"/>
    <w:rsid w:val="00FF5998"/>
    <w:rsid w:val="00FF7EC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8065">
      <o:colormru v:ext="edit" colors="#d5d2ca"/>
    </o:shapedefaults>
    <o:shapelayout v:ext="edit">
      <o:idmap v:ext="edit" data="1"/>
    </o:shapelayout>
  </w:shapeDefaults>
  <w:decimalSymbol w:val="."/>
  <w:listSeparator w:val=","/>
  <w14:docId w14:val="01B38AF9"/>
  <w15:docId w15:val="{F0FABB29-705D-4702-B556-391B4219D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Calibri" w:hAnsi="Cambria" w:cs="Times New Roman"/>
        <w:lang w:val="en-AU" w:eastAsia="en-AU"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3" w:unhideWhenUsed="1" w:qFormat="1"/>
    <w:lsdException w:name="heading 3" w:semiHidden="1" w:uiPriority="4" w:unhideWhenUsed="1" w:qFormat="1"/>
    <w:lsdException w:name="heading 4" w:semiHidden="1" w:uiPriority="5"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locked="1" w:semiHidden="1" w:uiPriority="9" w:unhideWhenUsed="1" w:qFormat="1"/>
    <w:lsdException w:name="index 1" w:semiHidden="1" w:unhideWhenUsed="1" w:qFormat="1"/>
    <w:lsdException w:name="index 2" w:semiHidden="1" w:unhideWhenUsed="1" w:qFormat="1"/>
    <w:lsdException w:name="index 3" w:semiHidden="1" w:unhideWhenUsed="1" w:qFormat="1"/>
    <w:lsdException w:name="index 4" w:semiHidden="1" w:unhideWhenUsed="1" w:qFormat="1"/>
    <w:lsdException w:name="index 5" w:semiHidden="1" w:unhideWhenUsed="1" w:qFormat="1"/>
    <w:lsdException w:name="index 6" w:semiHidden="1" w:unhideWhenUsed="1" w:qFormat="1"/>
    <w:lsdException w:name="index 7" w:semiHidden="1" w:unhideWhenUsed="1" w:qFormat="1"/>
    <w:lsdException w:name="index 8" w:semiHidden="1" w:unhideWhenUsed="1" w:qFormat="1"/>
    <w:lsdException w:name="index 9" w:semiHidden="1" w:unhideWhenUsed="1" w:qFormat="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qFormat="1"/>
    <w:lsdException w:name="footnote text" w:semiHidden="1" w:unhideWhenUsed="1" w:qFormat="1"/>
    <w:lsdException w:name="annotation text" w:semiHidden="1" w:unhideWhenUsed="1" w:qFormat="1"/>
    <w:lsdException w:name="header" w:semiHidden="1" w:uiPriority="0" w:unhideWhenUsed="1" w:qFormat="1"/>
    <w:lsdException w:name="footer" w:semiHidden="1" w:unhideWhenUsed="1" w:qFormat="1"/>
    <w:lsdException w:name="index heading" w:semiHidden="1" w:unhideWhenUsed="1" w:qFormat="1"/>
    <w:lsdException w:name="caption" w:semiHidden="1" w:uiPriority="12" w:unhideWhenUsed="1" w:qFormat="1"/>
    <w:lsdException w:name="table of figures" w:semiHidden="1" w:unhideWhenUsed="1" w:qFormat="1"/>
    <w:lsdException w:name="envelope address" w:semiHidden="1" w:unhideWhenUsed="1" w:qFormat="1"/>
    <w:lsdException w:name="envelope return" w:semiHidden="1" w:unhideWhenUsed="1" w:qFormat="1"/>
    <w:lsdException w:name="footnote reference" w:semiHidden="1" w:unhideWhenUsed="1" w:qFormat="1"/>
    <w:lsdException w:name="annotation reference" w:semiHidden="1" w:unhideWhenUsed="1" w:qFormat="1"/>
    <w:lsdException w:name="line number" w:semiHidden="1" w:unhideWhenUsed="1" w:qFormat="1"/>
    <w:lsdException w:name="page number" w:semiHidden="1" w:unhideWhenUsed="1" w:qFormat="1"/>
    <w:lsdException w:name="endnote reference" w:semiHidden="1" w:unhideWhenUsed="1" w:qFormat="1"/>
    <w:lsdException w:name="endnote text" w:semiHidden="1" w:unhideWhenUsed="1" w:qFormat="1"/>
    <w:lsdException w:name="table of authorities" w:semiHidden="1" w:unhideWhenUsed="1" w:qFormat="1"/>
    <w:lsdException w:name="macro" w:semiHidden="1" w:unhideWhenUsed="1" w:qFormat="1"/>
    <w:lsdException w:name="toa heading" w:semiHidden="1" w:unhideWhenUsed="1" w:qFormat="1"/>
    <w:lsdException w:name="List" w:semiHidden="1" w:unhideWhenUsed="1" w:qFormat="1"/>
    <w:lsdException w:name="List Bullet" w:semiHidden="1" w:uiPriority="7" w:unhideWhenUsed="1" w:qFormat="1"/>
    <w:lsdException w:name="List Number" w:semiHidden="1" w:uiPriority="9" w:unhideWhenUsed="1" w:qFormat="1"/>
    <w:lsdException w:name="List 2" w:semiHidden="1" w:unhideWhenUsed="1" w:qFormat="1"/>
    <w:lsdException w:name="List 3" w:semiHidden="1" w:unhideWhenUsed="1" w:qFormat="1"/>
    <w:lsdException w:name="List 4" w:semiHidden="1" w:unhideWhenUsed="1" w:qFormat="1"/>
    <w:lsdException w:name="List 5" w:semiHidden="1" w:unhideWhenUsed="1" w:qFormat="1"/>
    <w:lsdException w:name="List Bullet 2" w:semiHidden="1" w:uiPriority="8" w:unhideWhenUsed="1" w:qFormat="1"/>
    <w:lsdException w:name="List Bullet 3" w:semiHidden="1" w:unhideWhenUsed="1" w:qFormat="1"/>
    <w:lsdException w:name="List Bullet 4" w:semiHidden="1" w:unhideWhenUsed="1" w:qFormat="1"/>
    <w:lsdException w:name="List Bullet 5" w:semiHidden="1" w:unhideWhenUsed="1" w:qFormat="1"/>
    <w:lsdException w:name="List Number 2" w:semiHidden="1" w:uiPriority="10" w:unhideWhenUsed="1" w:qFormat="1"/>
    <w:lsdException w:name="List Number 3" w:semiHidden="1" w:uiPriority="11" w:unhideWhenUsed="1" w:qFormat="1"/>
    <w:lsdException w:name="List Number 4" w:semiHidden="1" w:unhideWhenUsed="1" w:qFormat="1"/>
    <w:lsdException w:name="List Number 5" w:semiHidden="1" w:unhideWhenUsed="1" w:qFormat="1"/>
    <w:lsdException w:name="Title" w:uiPriority="49" w:qFormat="1"/>
    <w:lsdException w:name="Closing" w:semiHidden="1" w:unhideWhenUsed="1" w:qFormat="1"/>
    <w:lsdException w:name="Signature" w:semiHidden="1" w:unhideWhenUsed="1" w:qFormat="1"/>
    <w:lsdException w:name="Default Paragraph Font" w:semiHidden="1" w:uiPriority="1" w:unhideWhenUsed="1" w:qFormat="1"/>
    <w:lsdException w:name="Body Text" w:semiHidden="1" w:unhideWhenUsed="1" w:qFormat="1"/>
    <w:lsdException w:name="Body Text Indent" w:semiHidden="1" w:unhideWhenUsed="1" w:qFormat="1"/>
    <w:lsdException w:name="List Continue" w:semiHidden="1" w:unhideWhenUsed="1" w:qFormat="1"/>
    <w:lsdException w:name="List Continue 2" w:semiHidden="1" w:unhideWhenUsed="1" w:qFormat="1"/>
    <w:lsdException w:name="List Continue 3" w:semiHidden="1" w:unhideWhenUsed="1" w:qFormat="1"/>
    <w:lsdException w:name="List Continue 4" w:semiHidden="1" w:unhideWhenUsed="1" w:qFormat="1"/>
    <w:lsdException w:name="List Continue 5" w:semiHidden="1" w:unhideWhenUsed="1" w:qFormat="1"/>
    <w:lsdException w:name="Message Header" w:semiHidden="1" w:unhideWhenUsed="1" w:qFormat="1"/>
    <w:lsdException w:name="Subtitle" w:uiPriority="23" w:qFormat="1"/>
    <w:lsdException w:name="Salutation" w:semiHidden="1" w:unhideWhenUsed="1" w:qFormat="1"/>
    <w:lsdException w:name="Date" w:semiHidden="1" w:unhideWhenUsed="1" w:qFormat="1"/>
    <w:lsdException w:name="Body Text First Indent" w:semiHidden="1" w:unhideWhenUsed="1" w:qFormat="1"/>
    <w:lsdException w:name="Body Text First Indent 2" w:semiHidden="1" w:unhideWhenUsed="1" w:qFormat="1"/>
    <w:lsdException w:name="Note Heading" w:semiHidden="1" w:unhideWhenUsed="1" w:qFormat="1"/>
    <w:lsdException w:name="Body Text 2" w:semiHidden="1" w:unhideWhenUsed="1" w:qFormat="1"/>
    <w:lsdException w:name="Body Text 3" w:semiHidden="1" w:unhideWhenUsed="1" w:qFormat="1"/>
    <w:lsdException w:name="Body Text Indent 2" w:semiHidden="1" w:unhideWhenUsed="1" w:qFormat="1"/>
    <w:lsdException w:name="Body Text Indent 3" w:semiHidden="1" w:unhideWhenUsed="1" w:qFormat="1"/>
    <w:lsdException w:name="Block Text" w:semiHidden="1" w:unhideWhenUsed="1" w:qFormat="1"/>
    <w:lsdException w:name="Hyperlink" w:semiHidden="1" w:unhideWhenUsed="1" w:qFormat="1"/>
    <w:lsdException w:name="FollowedHyperlink" w:semiHidden="1" w:unhideWhenUsed="1" w:qFormat="1"/>
    <w:lsdException w:name="Strong" w:qFormat="1"/>
    <w:lsdException w:name="Emphasis" w:uiPriority="3" w:qFormat="1"/>
    <w:lsdException w:name="Document Map" w:semiHidden="1" w:unhideWhenUsed="1" w:qFormat="1"/>
    <w:lsdException w:name="Plain Text" w:semiHidden="1" w:unhideWhenUsed="1" w:qFormat="1"/>
    <w:lsdException w:name="E-mail Signature" w:semiHidden="1" w:unhideWhenUsed="1" w:qFormat="1"/>
    <w:lsdException w:name="HTML Top of Form" w:semiHidden="1" w:unhideWhenUsed="1"/>
    <w:lsdException w:name="HTML Bottom of Form" w:semiHidden="1" w:unhideWhenUsed="1"/>
    <w:lsdException w:name="Normal (Web)" w:semiHidden="1" w:unhideWhenUsed="1" w:qFormat="1"/>
    <w:lsdException w:name="HTML Acronym" w:semiHidden="1" w:unhideWhenUsed="1" w:qFormat="1"/>
    <w:lsdException w:name="HTML Address" w:semiHidden="1" w:unhideWhenUsed="1" w:qFormat="1"/>
    <w:lsdException w:name="HTML Cite" w:semiHidden="1" w:unhideWhenUsed="1" w:qFormat="1"/>
    <w:lsdException w:name="HTML Code" w:semiHidden="1" w:unhideWhenUsed="1" w:qFormat="1"/>
    <w:lsdException w:name="HTML Definition" w:semiHidden="1" w:unhideWhenUsed="1" w:qFormat="1"/>
    <w:lsdException w:name="HTML Keyboard" w:semiHidden="1" w:unhideWhenUsed="1" w:qFormat="1"/>
    <w:lsdException w:name="HTML Preformatted" w:semiHidden="1" w:unhideWhenUsed="1" w:qFormat="1"/>
    <w:lsdException w:name="HTML Sample" w:semiHidden="1" w:unhideWhenUsed="1" w:qFormat="1"/>
    <w:lsdException w:name="HTML Typewriter" w:semiHidden="1" w:unhideWhenUsed="1" w:qFormat="1"/>
    <w:lsdException w:name="HTML Variable" w:semiHidden="1" w:unhideWhenUsed="1" w:qFormat="1"/>
    <w:lsdException w:name="Normal Table" w:semiHidden="1" w:unhideWhenUsed="1"/>
    <w:lsdException w:name="annotation subject" w:semiHidden="1" w:unhideWhenUsed="1" w:qFormat="1"/>
    <w:lsdException w:name="No List"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semiHidden="1" w:unhideWhenUsed="1" w:qFormat="1"/>
    <w:lsdException w:name="Table Grid" w:uiPriority="59"/>
    <w:lsdException w:name="Table Theme" w:locked="1" w:semiHidden="1" w:unhideWhenUsed="1"/>
    <w:lsdException w:name="Placeholder Text" w:semiHidden="1" w:qFormat="1"/>
    <w:lsdException w:name="No Spacing" w:locked="1" w:qFormat="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semiHidden="1"/>
    <w:lsdException w:name="List Paragraph" w:qFormat="1"/>
    <w:lsdException w:name="Quote" w:uiPriority="18" w:qFormat="1"/>
    <w:lsdException w:name="Intense Quote" w:locked="1"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uiPriority="19" w:qFormat="1"/>
    <w:lsdException w:name="Intense Emphasis" w:qFormat="1"/>
    <w:lsdException w:name="Subtle Reference" w:locked="1" w:uiPriority="31" w:qFormat="1"/>
    <w:lsdException w:name="Intense Reference" w:locked="1"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99"/>
    <w:qFormat/>
    <w:rsid w:val="001B64B3"/>
    <w:pPr>
      <w:spacing w:after="200" w:line="280" w:lineRule="atLeast"/>
    </w:pPr>
    <w:rPr>
      <w:color w:val="000000" w:themeColor="text1"/>
      <w:sz w:val="22"/>
      <w:szCs w:val="22"/>
      <w:lang w:eastAsia="en-US"/>
    </w:rPr>
  </w:style>
  <w:style w:type="paragraph" w:styleId="Heading1">
    <w:name w:val="heading 1"/>
    <w:next w:val="BodyText1"/>
    <w:link w:val="Heading1Char"/>
    <w:uiPriority w:val="1"/>
    <w:qFormat/>
    <w:rsid w:val="00AE275F"/>
    <w:pPr>
      <w:keepNext/>
      <w:keepLines/>
      <w:pageBreakBefore/>
      <w:numPr>
        <w:numId w:val="1"/>
      </w:numPr>
      <w:spacing w:after="284" w:line="180" w:lineRule="auto"/>
      <w:ind w:left="709" w:hanging="709"/>
      <w:outlineLvl w:val="0"/>
    </w:pPr>
    <w:rPr>
      <w:rFonts w:ascii="Calibri" w:eastAsiaTheme="majorEastAsia" w:hAnsi="Calibri" w:cstheme="majorBidi"/>
      <w:bCs/>
      <w:color w:val="000000" w:themeColor="text1"/>
      <w:sz w:val="56"/>
      <w:szCs w:val="28"/>
      <w:lang w:eastAsia="en-US"/>
    </w:rPr>
  </w:style>
  <w:style w:type="paragraph" w:styleId="Heading2">
    <w:name w:val="heading 2"/>
    <w:next w:val="BodyText1"/>
    <w:link w:val="Heading2Char"/>
    <w:uiPriority w:val="3"/>
    <w:qFormat/>
    <w:rsid w:val="00250A35"/>
    <w:pPr>
      <w:keepNext/>
      <w:keepLines/>
      <w:spacing w:before="170" w:after="170"/>
      <w:outlineLvl w:val="1"/>
    </w:pPr>
    <w:rPr>
      <w:rFonts w:eastAsiaTheme="majorEastAsia" w:cstheme="majorBidi"/>
      <w:b/>
      <w:bCs/>
      <w:color w:val="FF7900"/>
      <w:sz w:val="34"/>
      <w:szCs w:val="26"/>
      <w:lang w:eastAsia="en-US"/>
    </w:rPr>
  </w:style>
  <w:style w:type="paragraph" w:styleId="Heading3">
    <w:name w:val="heading 3"/>
    <w:next w:val="Normal"/>
    <w:link w:val="Heading3Char"/>
    <w:uiPriority w:val="4"/>
    <w:qFormat/>
    <w:rsid w:val="00AE275F"/>
    <w:pPr>
      <w:keepNext/>
      <w:keepLines/>
      <w:spacing w:before="147" w:after="79"/>
      <w:outlineLvl w:val="2"/>
    </w:pPr>
    <w:rPr>
      <w:rFonts w:eastAsiaTheme="majorEastAsia" w:cstheme="majorBidi"/>
      <w:b/>
      <w:bCs/>
      <w:color w:val="DE3831"/>
      <w:sz w:val="28"/>
      <w:szCs w:val="22"/>
      <w:lang w:eastAsia="en-US"/>
    </w:rPr>
  </w:style>
  <w:style w:type="paragraph" w:styleId="Heading4">
    <w:name w:val="heading 4"/>
    <w:next w:val="BodyText1"/>
    <w:link w:val="Heading4Char"/>
    <w:uiPriority w:val="5"/>
    <w:qFormat/>
    <w:rsid w:val="00AE275F"/>
    <w:pPr>
      <w:keepNext/>
      <w:keepLines/>
      <w:spacing w:before="57" w:after="57"/>
      <w:ind w:right="200"/>
      <w:outlineLvl w:val="3"/>
    </w:pPr>
    <w:rPr>
      <w:rFonts w:eastAsiaTheme="majorEastAsia" w:cstheme="majorBidi"/>
      <w:b/>
      <w:bCs/>
      <w:iCs/>
      <w:color w:val="000000" w:themeColor="text1"/>
      <w:sz w:val="24"/>
      <w:szCs w:val="22"/>
      <w:lang w:eastAsia="en-US"/>
    </w:rPr>
  </w:style>
  <w:style w:type="paragraph" w:styleId="Heading5">
    <w:name w:val="heading 5"/>
    <w:basedOn w:val="Heading4"/>
    <w:next w:val="Normal"/>
    <w:link w:val="Heading5Char"/>
    <w:uiPriority w:val="9"/>
    <w:semiHidden/>
    <w:qFormat/>
    <w:locked/>
    <w:rsid w:val="00080E8B"/>
    <w:pPr>
      <w:outlineLvl w:val="4"/>
    </w:pPr>
  </w:style>
  <w:style w:type="paragraph" w:styleId="Heading6">
    <w:name w:val="heading 6"/>
    <w:basedOn w:val="Heading5"/>
    <w:next w:val="Normal"/>
    <w:link w:val="Heading6Char"/>
    <w:uiPriority w:val="9"/>
    <w:semiHidden/>
    <w:qFormat/>
    <w:locked/>
    <w:rsid w:val="00080E8B"/>
    <w:pPr>
      <w:outlineLvl w:val="5"/>
    </w:pPr>
  </w:style>
  <w:style w:type="paragraph" w:styleId="Heading7">
    <w:name w:val="heading 7"/>
    <w:basedOn w:val="Normal"/>
    <w:next w:val="Normal"/>
    <w:link w:val="Heading7Char"/>
    <w:uiPriority w:val="9"/>
    <w:semiHidden/>
    <w:qFormat/>
    <w:locked/>
    <w:rsid w:val="00080E8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qFormat/>
    <w:locked/>
    <w:rsid w:val="00080E8B"/>
    <w:pPr>
      <w:keepNext/>
      <w:keepLines/>
      <w:spacing w:before="200" w:after="0"/>
      <w:outlineLvl w:val="7"/>
    </w:pPr>
    <w:rPr>
      <w:rFonts w:asciiTheme="majorHAnsi" w:eastAsiaTheme="majorEastAsia" w:hAnsiTheme="majorHAnsi" w:cstheme="majorBidi"/>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semiHidden/>
    <w:rsid w:val="002E215F"/>
    <w:rPr>
      <w:rFonts w:asciiTheme="minorHAnsi" w:eastAsiaTheme="majorEastAsia" w:hAnsiTheme="minorHAnsi" w:cstheme="majorBidi"/>
      <w:b/>
      <w:bCs/>
      <w:iCs/>
      <w:color w:val="000000" w:themeColor="text1"/>
      <w:sz w:val="24"/>
      <w:szCs w:val="22"/>
      <w:lang w:eastAsia="en-US"/>
    </w:rPr>
  </w:style>
  <w:style w:type="paragraph" w:customStyle="1" w:styleId="Referenceheading">
    <w:name w:val="Reference heading"/>
    <w:semiHidden/>
    <w:qFormat/>
    <w:rsid w:val="007A1F47"/>
    <w:pPr>
      <w:spacing w:after="284"/>
    </w:pPr>
    <w:rPr>
      <w:rFonts w:asciiTheme="minorHAnsi" w:eastAsiaTheme="majorEastAsia" w:hAnsiTheme="minorHAnsi" w:cstheme="majorBidi"/>
      <w:b/>
      <w:color w:val="000000" w:themeColor="text1"/>
      <w:sz w:val="44"/>
      <w:szCs w:val="28"/>
      <w:lang w:eastAsia="en-US"/>
    </w:rPr>
  </w:style>
  <w:style w:type="paragraph" w:styleId="Subtitle">
    <w:name w:val="Subtitle"/>
    <w:aliases w:val="Supplementary document title"/>
    <w:next w:val="Normal"/>
    <w:link w:val="SubtitleChar"/>
    <w:uiPriority w:val="23"/>
    <w:qFormat/>
    <w:rsid w:val="004B2707"/>
    <w:pPr>
      <w:numPr>
        <w:ilvl w:val="1"/>
      </w:numPr>
    </w:pPr>
    <w:rPr>
      <w:rFonts w:eastAsiaTheme="majorEastAsia" w:cstheme="majorBidi"/>
      <w:iCs/>
      <w:color w:val="000000" w:themeColor="text1"/>
      <w:spacing w:val="15"/>
      <w:sz w:val="44"/>
      <w:szCs w:val="24"/>
      <w:lang w:eastAsia="en-US"/>
    </w:rPr>
  </w:style>
  <w:style w:type="paragraph" w:customStyle="1" w:styleId="Notesourcetext">
    <w:name w:val="Note/source text"/>
    <w:next w:val="BodyText1"/>
    <w:link w:val="NotesourcetextChar"/>
    <w:autoRedefine/>
    <w:uiPriority w:val="25"/>
    <w:qFormat/>
    <w:rsid w:val="00637170"/>
    <w:pPr>
      <w:keepLines/>
      <w:spacing w:after="240"/>
      <w:contextualSpacing/>
    </w:pPr>
    <w:rPr>
      <w:rFonts w:ascii="Calibri" w:hAnsi="Calibri"/>
      <w:color w:val="000000" w:themeColor="text1"/>
      <w:sz w:val="18"/>
      <w:szCs w:val="22"/>
      <w:lang w:eastAsia="en-US"/>
    </w:rPr>
  </w:style>
  <w:style w:type="paragraph" w:styleId="Title">
    <w:name w:val="Title"/>
    <w:aliases w:val="Document title"/>
    <w:next w:val="Normal"/>
    <w:link w:val="TitleChar"/>
    <w:uiPriority w:val="49"/>
    <w:qFormat/>
    <w:rsid w:val="008C6165"/>
    <w:pPr>
      <w:spacing w:after="240"/>
      <w:ind w:right="397"/>
      <w:contextualSpacing/>
    </w:pPr>
    <w:rPr>
      <w:rFonts w:eastAsiaTheme="majorEastAsia" w:cstheme="majorBidi"/>
      <w:b/>
      <w:color w:val="000000" w:themeColor="text1"/>
      <w:spacing w:val="5"/>
      <w:kern w:val="28"/>
      <w:sz w:val="48"/>
      <w:szCs w:val="52"/>
      <w:lang w:eastAsia="en-US"/>
    </w:rPr>
  </w:style>
  <w:style w:type="character" w:customStyle="1" w:styleId="SubtitleChar">
    <w:name w:val="Subtitle Char"/>
    <w:aliases w:val="Supplementary document title Char"/>
    <w:basedOn w:val="DefaultParagraphFont"/>
    <w:link w:val="Subtitle"/>
    <w:uiPriority w:val="99"/>
    <w:rsid w:val="00607B5C"/>
    <w:rPr>
      <w:rFonts w:eastAsiaTheme="majorEastAsia" w:cstheme="majorBidi"/>
      <w:iCs/>
      <w:color w:val="000000" w:themeColor="text1"/>
      <w:spacing w:val="15"/>
      <w:sz w:val="44"/>
      <w:szCs w:val="24"/>
      <w:lang w:eastAsia="en-US"/>
    </w:rPr>
  </w:style>
  <w:style w:type="character" w:customStyle="1" w:styleId="TitleChar">
    <w:name w:val="Title Char"/>
    <w:aliases w:val="Document title Char"/>
    <w:basedOn w:val="DefaultParagraphFont"/>
    <w:link w:val="Title"/>
    <w:uiPriority w:val="49"/>
    <w:semiHidden/>
    <w:rsid w:val="008C6165"/>
    <w:rPr>
      <w:rFonts w:eastAsiaTheme="majorEastAsia" w:cstheme="majorBidi"/>
      <w:b/>
      <w:color w:val="000000" w:themeColor="text1"/>
      <w:spacing w:val="5"/>
      <w:kern w:val="28"/>
      <w:sz w:val="48"/>
      <w:szCs w:val="52"/>
      <w:lang w:eastAsia="en-US"/>
    </w:rPr>
  </w:style>
  <w:style w:type="character" w:customStyle="1" w:styleId="Heading1Char">
    <w:name w:val="Heading 1 Char"/>
    <w:basedOn w:val="DefaultParagraphFont"/>
    <w:link w:val="Heading1"/>
    <w:uiPriority w:val="10"/>
    <w:rsid w:val="00AE275F"/>
    <w:rPr>
      <w:rFonts w:ascii="Calibri" w:eastAsiaTheme="majorEastAsia" w:hAnsi="Calibri" w:cstheme="majorBidi"/>
      <w:bCs/>
      <w:color w:val="000000" w:themeColor="text1"/>
      <w:sz w:val="56"/>
      <w:szCs w:val="28"/>
      <w:lang w:eastAsia="en-US"/>
    </w:rPr>
  </w:style>
  <w:style w:type="character" w:customStyle="1" w:styleId="Heading2Char">
    <w:name w:val="Heading 2 Char"/>
    <w:basedOn w:val="DefaultParagraphFont"/>
    <w:link w:val="Heading2"/>
    <w:uiPriority w:val="11"/>
    <w:rsid w:val="00250A35"/>
    <w:rPr>
      <w:rFonts w:eastAsiaTheme="majorEastAsia" w:cstheme="majorBidi"/>
      <w:b/>
      <w:bCs/>
      <w:color w:val="FF7900"/>
      <w:sz w:val="34"/>
      <w:szCs w:val="26"/>
      <w:lang w:eastAsia="en-US"/>
    </w:rPr>
  </w:style>
  <w:style w:type="character" w:customStyle="1" w:styleId="Heading3Char">
    <w:name w:val="Heading 3 Char"/>
    <w:basedOn w:val="DefaultParagraphFont"/>
    <w:link w:val="Heading3"/>
    <w:uiPriority w:val="12"/>
    <w:rsid w:val="00AE275F"/>
    <w:rPr>
      <w:rFonts w:eastAsiaTheme="majorEastAsia" w:cstheme="majorBidi"/>
      <w:b/>
      <w:bCs/>
      <w:color w:val="DE3831"/>
      <w:sz w:val="28"/>
      <w:szCs w:val="22"/>
      <w:lang w:eastAsia="en-US"/>
    </w:rPr>
  </w:style>
  <w:style w:type="character" w:customStyle="1" w:styleId="Heading4Char">
    <w:name w:val="Heading 4 Char"/>
    <w:basedOn w:val="DefaultParagraphFont"/>
    <w:link w:val="Heading4"/>
    <w:uiPriority w:val="13"/>
    <w:rsid w:val="00AE275F"/>
    <w:rPr>
      <w:rFonts w:eastAsiaTheme="majorEastAsia" w:cstheme="majorBidi"/>
      <w:b/>
      <w:bCs/>
      <w:iCs/>
      <w:color w:val="000000" w:themeColor="text1"/>
      <w:sz w:val="24"/>
      <w:szCs w:val="22"/>
      <w:lang w:eastAsia="en-US"/>
    </w:rPr>
  </w:style>
  <w:style w:type="character" w:customStyle="1" w:styleId="Heading5Char">
    <w:name w:val="Heading 5 Char"/>
    <w:basedOn w:val="DefaultParagraphFont"/>
    <w:link w:val="Heading5"/>
    <w:uiPriority w:val="9"/>
    <w:semiHidden/>
    <w:rsid w:val="002E215F"/>
    <w:rPr>
      <w:rFonts w:asciiTheme="minorHAnsi" w:eastAsiaTheme="majorEastAsia" w:hAnsiTheme="minorHAnsi" w:cstheme="majorBidi"/>
      <w:b/>
      <w:bCs/>
      <w:iCs/>
      <w:color w:val="000000" w:themeColor="text1"/>
      <w:sz w:val="24"/>
      <w:szCs w:val="22"/>
      <w:lang w:eastAsia="en-US"/>
    </w:rPr>
  </w:style>
  <w:style w:type="paragraph" w:customStyle="1" w:styleId="Titlepageheading">
    <w:name w:val="Title page heading"/>
    <w:link w:val="TitlepageheadingChar"/>
    <w:uiPriority w:val="29"/>
    <w:qFormat/>
    <w:rsid w:val="004A6B39"/>
    <w:pPr>
      <w:tabs>
        <w:tab w:val="left" w:pos="1418"/>
      </w:tabs>
      <w:ind w:left="1418"/>
    </w:pPr>
    <w:rPr>
      <w:rFonts w:eastAsiaTheme="majorEastAsia" w:cstheme="majorBidi"/>
      <w:b/>
      <w:color w:val="000000" w:themeColor="text1"/>
      <w:spacing w:val="5"/>
      <w:kern w:val="28"/>
      <w:sz w:val="48"/>
      <w:szCs w:val="52"/>
      <w:lang w:eastAsia="en-US"/>
    </w:rPr>
  </w:style>
  <w:style w:type="paragraph" w:styleId="TOCHeading">
    <w:name w:val="TOC Heading"/>
    <w:next w:val="Normal"/>
    <w:uiPriority w:val="39"/>
    <w:qFormat/>
    <w:rsid w:val="00C05EF5"/>
    <w:pPr>
      <w:spacing w:before="600" w:after="284"/>
    </w:pPr>
    <w:rPr>
      <w:rFonts w:asciiTheme="minorHAnsi" w:eastAsiaTheme="majorEastAsia" w:hAnsiTheme="minorHAnsi" w:cstheme="minorHAnsi"/>
      <w:bCs/>
      <w:sz w:val="44"/>
      <w:szCs w:val="44"/>
      <w:lang w:val="en-US" w:eastAsia="ja-JP"/>
    </w:rPr>
  </w:style>
  <w:style w:type="character" w:customStyle="1" w:styleId="TitlepageheadingChar">
    <w:name w:val="Title page heading Char"/>
    <w:basedOn w:val="TitleChar"/>
    <w:link w:val="Titlepageheading"/>
    <w:uiPriority w:val="29"/>
    <w:rsid w:val="004A6B39"/>
    <w:rPr>
      <w:rFonts w:eastAsiaTheme="majorEastAsia" w:cstheme="majorBidi"/>
      <w:b/>
      <w:color w:val="000000" w:themeColor="text1"/>
      <w:spacing w:val="5"/>
      <w:kern w:val="28"/>
      <w:sz w:val="48"/>
      <w:szCs w:val="52"/>
      <w:lang w:eastAsia="en-US"/>
    </w:rPr>
  </w:style>
  <w:style w:type="paragraph" w:styleId="TOC1">
    <w:name w:val="toc 1"/>
    <w:basedOn w:val="TOC4"/>
    <w:next w:val="Normal"/>
    <w:autoRedefine/>
    <w:uiPriority w:val="39"/>
    <w:unhideWhenUsed/>
    <w:qFormat/>
    <w:rsid w:val="00286A96"/>
    <w:rPr>
      <w:b w:val="0"/>
      <w:noProof/>
    </w:rPr>
  </w:style>
  <w:style w:type="paragraph" w:styleId="TOC2">
    <w:name w:val="toc 2"/>
    <w:basedOn w:val="Normal"/>
    <w:next w:val="Normal"/>
    <w:autoRedefine/>
    <w:uiPriority w:val="39"/>
    <w:unhideWhenUsed/>
    <w:qFormat/>
    <w:rsid w:val="000B5D75"/>
    <w:pPr>
      <w:tabs>
        <w:tab w:val="right" w:pos="426"/>
        <w:tab w:val="right" w:pos="9072"/>
      </w:tabs>
      <w:spacing w:after="100" w:line="240" w:lineRule="atLeast"/>
      <w:ind w:left="425"/>
    </w:pPr>
    <w:rPr>
      <w:noProof/>
      <w:szCs w:val="24"/>
    </w:rPr>
  </w:style>
  <w:style w:type="paragraph" w:styleId="TOC3">
    <w:name w:val="toc 3"/>
    <w:basedOn w:val="Normal"/>
    <w:next w:val="Normal"/>
    <w:autoRedefine/>
    <w:uiPriority w:val="39"/>
    <w:unhideWhenUsed/>
    <w:qFormat/>
    <w:rsid w:val="00286A96"/>
    <w:pPr>
      <w:tabs>
        <w:tab w:val="right" w:pos="9072"/>
      </w:tabs>
      <w:spacing w:after="100"/>
      <w:ind w:left="567" w:hanging="567"/>
    </w:pPr>
    <w:rPr>
      <w:noProof/>
      <w:sz w:val="24"/>
    </w:rPr>
  </w:style>
  <w:style w:type="character" w:styleId="Hyperlink">
    <w:name w:val="Hyperlink"/>
    <w:uiPriority w:val="99"/>
    <w:qFormat/>
    <w:rsid w:val="009706F0"/>
    <w:rPr>
      <w:color w:val="0000FF" w:themeColor="hyperlink"/>
      <w:u w:val="single"/>
    </w:rPr>
  </w:style>
  <w:style w:type="paragraph" w:styleId="BalloonText">
    <w:name w:val="Balloon Text"/>
    <w:basedOn w:val="Normal"/>
    <w:link w:val="BalloonTextChar"/>
    <w:uiPriority w:val="99"/>
    <w:semiHidden/>
    <w:unhideWhenUsed/>
    <w:qFormat/>
    <w:rsid w:val="009706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06F0"/>
    <w:rPr>
      <w:rFonts w:ascii="Tahoma" w:hAnsi="Tahoma" w:cs="Tahoma"/>
      <w:color w:val="000000" w:themeColor="text1"/>
      <w:sz w:val="16"/>
      <w:szCs w:val="16"/>
      <w:lang w:eastAsia="en-US"/>
    </w:rPr>
  </w:style>
  <w:style w:type="table" w:styleId="TableGrid">
    <w:name w:val="Table Grid"/>
    <w:basedOn w:val="TableNormal"/>
    <w:uiPriority w:val="59"/>
    <w:locked/>
    <w:rsid w:val="00134B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Figure text or caption"/>
    <w:basedOn w:val="Normal"/>
    <w:next w:val="Normal"/>
    <w:autoRedefine/>
    <w:uiPriority w:val="12"/>
    <w:unhideWhenUsed/>
    <w:qFormat/>
    <w:rsid w:val="00D0333C"/>
    <w:pPr>
      <w:keepNext/>
      <w:spacing w:after="120" w:line="240" w:lineRule="auto"/>
    </w:pPr>
    <w:rPr>
      <w:rFonts w:asciiTheme="minorHAnsi" w:hAnsiTheme="minorHAnsi"/>
      <w:b/>
      <w:bCs/>
      <w:color w:val="808080" w:themeColor="background1" w:themeShade="80"/>
      <w:sz w:val="24"/>
      <w:szCs w:val="18"/>
    </w:rPr>
  </w:style>
  <w:style w:type="paragraph" w:styleId="Header">
    <w:name w:val="header"/>
    <w:basedOn w:val="Normal"/>
    <w:link w:val="HeaderChar"/>
    <w:qFormat/>
    <w:rsid w:val="0094414D"/>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2E215F"/>
    <w:rPr>
      <w:color w:val="000000" w:themeColor="text1"/>
      <w:sz w:val="22"/>
      <w:szCs w:val="22"/>
      <w:lang w:eastAsia="en-US"/>
    </w:rPr>
  </w:style>
  <w:style w:type="paragraph" w:styleId="Footer">
    <w:name w:val="footer"/>
    <w:basedOn w:val="Normal"/>
    <w:link w:val="FooterChar"/>
    <w:uiPriority w:val="99"/>
    <w:qFormat/>
    <w:rsid w:val="009441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215F"/>
    <w:rPr>
      <w:color w:val="000000" w:themeColor="text1"/>
      <w:sz w:val="22"/>
      <w:szCs w:val="22"/>
      <w:lang w:eastAsia="en-US"/>
    </w:rPr>
  </w:style>
  <w:style w:type="paragraph" w:styleId="TableofFigures">
    <w:name w:val="table of figures"/>
    <w:basedOn w:val="TOC1"/>
    <w:next w:val="Normal"/>
    <w:uiPriority w:val="99"/>
    <w:qFormat/>
    <w:rsid w:val="00826756"/>
    <w:pPr>
      <w:tabs>
        <w:tab w:val="clear" w:pos="425"/>
        <w:tab w:val="left" w:pos="851"/>
      </w:tabs>
      <w:ind w:left="1021" w:right="1276" w:hanging="1021"/>
    </w:pPr>
  </w:style>
  <w:style w:type="paragraph" w:styleId="Revision">
    <w:name w:val="Revision"/>
    <w:hidden/>
    <w:uiPriority w:val="99"/>
    <w:semiHidden/>
    <w:rsid w:val="0087380E"/>
    <w:rPr>
      <w:color w:val="000000" w:themeColor="text1"/>
      <w:szCs w:val="22"/>
      <w:lang w:eastAsia="en-US"/>
    </w:rPr>
  </w:style>
  <w:style w:type="character" w:styleId="IntenseEmphasis">
    <w:name w:val="Intense Emphasis"/>
    <w:aliases w:val="Bold Italics"/>
    <w:basedOn w:val="DefaultParagraphFont"/>
    <w:uiPriority w:val="99"/>
    <w:qFormat/>
    <w:rsid w:val="001519F0"/>
    <w:rPr>
      <w:rFonts w:ascii="Cambria" w:hAnsi="Cambria"/>
      <w:b/>
      <w:bCs/>
      <w:i/>
      <w:iCs/>
      <w:color w:val="auto"/>
    </w:rPr>
  </w:style>
  <w:style w:type="character" w:customStyle="1" w:styleId="Heading7Char">
    <w:name w:val="Heading 7 Char"/>
    <w:basedOn w:val="DefaultParagraphFont"/>
    <w:link w:val="Heading7"/>
    <w:uiPriority w:val="9"/>
    <w:semiHidden/>
    <w:rsid w:val="002E215F"/>
    <w:rPr>
      <w:rFonts w:asciiTheme="majorHAnsi" w:eastAsiaTheme="majorEastAsia" w:hAnsiTheme="majorHAnsi" w:cstheme="majorBidi"/>
      <w:i/>
      <w:iCs/>
      <w:color w:val="404040" w:themeColor="text1" w:themeTint="BF"/>
      <w:sz w:val="22"/>
      <w:szCs w:val="22"/>
      <w:lang w:eastAsia="en-US"/>
    </w:rPr>
  </w:style>
  <w:style w:type="character" w:customStyle="1" w:styleId="Heading8Char">
    <w:name w:val="Heading 8 Char"/>
    <w:basedOn w:val="DefaultParagraphFont"/>
    <w:link w:val="Heading8"/>
    <w:uiPriority w:val="9"/>
    <w:semiHidden/>
    <w:rsid w:val="002E215F"/>
    <w:rPr>
      <w:rFonts w:asciiTheme="majorHAnsi" w:eastAsiaTheme="majorEastAsia" w:hAnsiTheme="majorHAnsi" w:cstheme="majorBidi"/>
      <w:color w:val="404040" w:themeColor="text1" w:themeTint="BF"/>
      <w:sz w:val="22"/>
      <w:lang w:eastAsia="en-US"/>
    </w:rPr>
  </w:style>
  <w:style w:type="character" w:styleId="SubtleEmphasis">
    <w:name w:val="Subtle Emphasis"/>
    <w:basedOn w:val="DefaultParagraphFont"/>
    <w:uiPriority w:val="19"/>
    <w:semiHidden/>
    <w:qFormat/>
    <w:locked/>
    <w:rsid w:val="00F77DD5"/>
    <w:rPr>
      <w:i/>
      <w:iCs/>
      <w:color w:val="808080" w:themeColor="text1" w:themeTint="7F"/>
    </w:rPr>
  </w:style>
  <w:style w:type="character" w:styleId="Emphasis">
    <w:name w:val="Emphasis"/>
    <w:aliases w:val="Italics"/>
    <w:basedOn w:val="DefaultParagraphFont"/>
    <w:uiPriority w:val="3"/>
    <w:qFormat/>
    <w:rsid w:val="00F77DD5"/>
    <w:rPr>
      <w:i/>
      <w:iCs/>
    </w:rPr>
  </w:style>
  <w:style w:type="character" w:styleId="Strong">
    <w:name w:val="Strong"/>
    <w:basedOn w:val="DefaultParagraphFont"/>
    <w:uiPriority w:val="99"/>
    <w:qFormat/>
    <w:rsid w:val="00FA2CAE"/>
    <w:rPr>
      <w:b/>
      <w:bCs/>
      <w:color w:val="auto"/>
    </w:rPr>
  </w:style>
  <w:style w:type="paragraph" w:styleId="Quote">
    <w:name w:val="Quote"/>
    <w:basedOn w:val="Normal"/>
    <w:next w:val="Normal"/>
    <w:link w:val="QuoteChar"/>
    <w:uiPriority w:val="18"/>
    <w:qFormat/>
    <w:rsid w:val="004C17A0"/>
    <w:pPr>
      <w:spacing w:before="120" w:after="120" w:line="240" w:lineRule="atLeast"/>
      <w:ind w:left="567" w:right="567"/>
    </w:pPr>
    <w:rPr>
      <w:rFonts w:ascii="Calibri" w:hAnsi="Calibri"/>
      <w:iCs/>
      <w:sz w:val="20"/>
    </w:rPr>
  </w:style>
  <w:style w:type="character" w:customStyle="1" w:styleId="QuoteChar">
    <w:name w:val="Quote Char"/>
    <w:basedOn w:val="DefaultParagraphFont"/>
    <w:link w:val="Quote"/>
    <w:uiPriority w:val="99"/>
    <w:rsid w:val="00607B5C"/>
    <w:rPr>
      <w:rFonts w:ascii="Calibri" w:hAnsi="Calibri"/>
      <w:iCs/>
      <w:color w:val="000000" w:themeColor="text1"/>
      <w:szCs w:val="22"/>
      <w:lang w:eastAsia="en-US"/>
    </w:rPr>
  </w:style>
  <w:style w:type="character" w:styleId="BookTitle">
    <w:name w:val="Book Title"/>
    <w:basedOn w:val="DefaultParagraphFont"/>
    <w:uiPriority w:val="33"/>
    <w:qFormat/>
    <w:rsid w:val="005277D9"/>
    <w:rPr>
      <w:b/>
      <w:bCs/>
      <w:smallCaps/>
      <w:spacing w:val="5"/>
    </w:rPr>
  </w:style>
  <w:style w:type="paragraph" w:customStyle="1" w:styleId="Figuretablesubtitle">
    <w:name w:val="Figure/table subtitle"/>
    <w:next w:val="BodyText1"/>
    <w:link w:val="FiguretablesubtitleChar"/>
    <w:uiPriority w:val="26"/>
    <w:qFormat/>
    <w:rsid w:val="00C30F38"/>
    <w:rPr>
      <w:rFonts w:ascii="Calibri" w:hAnsi="Calibri"/>
      <w:color w:val="000000" w:themeColor="text1"/>
      <w:sz w:val="21"/>
      <w:szCs w:val="21"/>
      <w:lang w:eastAsia="en-US"/>
    </w:rPr>
  </w:style>
  <w:style w:type="paragraph" w:styleId="NormalWeb">
    <w:name w:val="Normal (Web)"/>
    <w:basedOn w:val="Normal"/>
    <w:uiPriority w:val="99"/>
    <w:semiHidden/>
    <w:unhideWhenUsed/>
    <w:qFormat/>
    <w:rsid w:val="002E4825"/>
    <w:pPr>
      <w:spacing w:before="100" w:beforeAutospacing="1" w:after="100" w:afterAutospacing="1" w:line="240" w:lineRule="auto"/>
    </w:pPr>
    <w:rPr>
      <w:rFonts w:ascii="Times New Roman" w:eastAsia="Times New Roman" w:hAnsi="Times New Roman"/>
      <w:color w:val="auto"/>
      <w:sz w:val="24"/>
      <w:szCs w:val="24"/>
      <w:lang w:eastAsia="en-AU"/>
    </w:rPr>
  </w:style>
  <w:style w:type="character" w:styleId="PlaceholderText">
    <w:name w:val="Placeholder Text"/>
    <w:basedOn w:val="DefaultParagraphFont"/>
    <w:uiPriority w:val="99"/>
    <w:semiHidden/>
    <w:qFormat/>
    <w:rsid w:val="002B0A63"/>
    <w:rPr>
      <w:color w:val="808080"/>
    </w:rPr>
  </w:style>
  <w:style w:type="paragraph" w:customStyle="1" w:styleId="Titlepageauthor">
    <w:name w:val="Title page author"/>
    <w:uiPriority w:val="29"/>
    <w:qFormat/>
    <w:rsid w:val="005B3D53"/>
    <w:pPr>
      <w:spacing w:before="120"/>
    </w:pPr>
    <w:rPr>
      <w:sz w:val="26"/>
      <w:szCs w:val="26"/>
      <w:lang w:eastAsia="en-US"/>
    </w:rPr>
  </w:style>
  <w:style w:type="paragraph" w:customStyle="1" w:styleId="Titlepagedate">
    <w:name w:val="Title page date"/>
    <w:uiPriority w:val="29"/>
    <w:qFormat/>
    <w:rsid w:val="004A0AF0"/>
    <w:pPr>
      <w:jc w:val="right"/>
    </w:pPr>
    <w:rPr>
      <w:rFonts w:ascii="Calibri" w:hAnsi="Calibri"/>
      <w:color w:val="000000" w:themeColor="text1"/>
      <w:sz w:val="22"/>
      <w:szCs w:val="22"/>
      <w:lang w:eastAsia="en-US"/>
    </w:rPr>
  </w:style>
  <w:style w:type="paragraph" w:customStyle="1" w:styleId="Titlepageversion">
    <w:name w:val="Title page version"/>
    <w:semiHidden/>
    <w:qFormat/>
    <w:rsid w:val="007A1F47"/>
    <w:pPr>
      <w:spacing w:line="600" w:lineRule="exact"/>
      <w:jc w:val="right"/>
    </w:pPr>
    <w:rPr>
      <w:color w:val="000000" w:themeColor="text1"/>
      <w:sz w:val="22"/>
      <w:szCs w:val="22"/>
      <w:lang w:eastAsia="en-US"/>
    </w:rPr>
  </w:style>
  <w:style w:type="table" w:customStyle="1" w:styleId="ABAREStable">
    <w:name w:val="ABARES table"/>
    <w:basedOn w:val="TableNormal"/>
    <w:uiPriority w:val="99"/>
    <w:rsid w:val="00651D88"/>
    <w:pPr>
      <w:spacing w:before="60" w:after="60"/>
      <w:jc w:val="right"/>
    </w:pPr>
    <w:rPr>
      <w:sz w:val="19"/>
    </w:rPr>
    <w:tblPr>
      <w:tblBorders>
        <w:top w:val="single" w:sz="4" w:space="0" w:color="auto"/>
        <w:bottom w:val="single" w:sz="4" w:space="0" w:color="auto"/>
      </w:tblBorders>
    </w:tblPr>
    <w:tblStylePr w:type="firstRow">
      <w:rPr>
        <w:b/>
      </w:rPr>
    </w:tblStylePr>
    <w:tblStylePr w:type="firstCol">
      <w:pPr>
        <w:wordWrap/>
        <w:jc w:val="left"/>
      </w:pPr>
    </w:tblStylePr>
  </w:style>
  <w:style w:type="paragraph" w:customStyle="1" w:styleId="Glossary">
    <w:name w:val="Glossary"/>
    <w:basedOn w:val="BodyText1"/>
    <w:link w:val="GlossaryChar"/>
    <w:uiPriority w:val="31"/>
    <w:qFormat/>
    <w:rsid w:val="00497BC2"/>
    <w:pPr>
      <w:tabs>
        <w:tab w:val="left" w:pos="1418"/>
      </w:tabs>
    </w:pPr>
  </w:style>
  <w:style w:type="character" w:customStyle="1" w:styleId="Dummytext">
    <w:name w:val="Dummy text"/>
    <w:uiPriority w:val="64"/>
    <w:qFormat/>
    <w:rsid w:val="004153BA"/>
    <w:rPr>
      <w:color w:val="auto"/>
      <w:u w:val="none"/>
      <w:bdr w:val="none" w:sz="0" w:space="0" w:color="auto"/>
      <w:shd w:val="clear" w:color="auto" w:fill="FFFF00"/>
    </w:rPr>
  </w:style>
  <w:style w:type="character" w:customStyle="1" w:styleId="GlossaryChar">
    <w:name w:val="Glossary Char"/>
    <w:basedOn w:val="DefaultParagraphFont"/>
    <w:link w:val="Glossary"/>
    <w:uiPriority w:val="31"/>
    <w:rsid w:val="00497BC2"/>
    <w:rPr>
      <w:color w:val="000000" w:themeColor="text1"/>
      <w:sz w:val="22"/>
      <w:szCs w:val="22"/>
      <w:lang w:eastAsia="en-US"/>
    </w:rPr>
  </w:style>
  <w:style w:type="character" w:customStyle="1" w:styleId="NotesourcetextChar">
    <w:name w:val="Note/source text Char"/>
    <w:basedOn w:val="DefaultParagraphFont"/>
    <w:link w:val="Notesourcetext"/>
    <w:uiPriority w:val="25"/>
    <w:rsid w:val="00637170"/>
    <w:rPr>
      <w:rFonts w:ascii="Calibri" w:hAnsi="Calibri"/>
      <w:color w:val="000000" w:themeColor="text1"/>
      <w:sz w:val="18"/>
      <w:szCs w:val="22"/>
      <w:lang w:eastAsia="en-US"/>
    </w:rPr>
  </w:style>
  <w:style w:type="character" w:customStyle="1" w:styleId="FiguretablesubtitleChar">
    <w:name w:val="Figure/table subtitle Char"/>
    <w:basedOn w:val="DefaultParagraphFont"/>
    <w:link w:val="Figuretablesubtitle"/>
    <w:uiPriority w:val="26"/>
    <w:rsid w:val="00C30F38"/>
    <w:rPr>
      <w:rFonts w:ascii="Calibri" w:hAnsi="Calibri"/>
      <w:color w:val="000000" w:themeColor="text1"/>
      <w:sz w:val="21"/>
      <w:szCs w:val="21"/>
      <w:lang w:eastAsia="en-US"/>
    </w:rPr>
  </w:style>
  <w:style w:type="paragraph" w:styleId="NoSpacing">
    <w:name w:val="No Spacing"/>
    <w:uiPriority w:val="99"/>
    <w:qFormat/>
    <w:rsid w:val="00A1089C"/>
    <w:pPr>
      <w:keepNext/>
    </w:pPr>
    <w:rPr>
      <w:color w:val="000000" w:themeColor="text1"/>
      <w:szCs w:val="22"/>
      <w:lang w:eastAsia="en-US"/>
    </w:rPr>
  </w:style>
  <w:style w:type="paragraph" w:styleId="ListParagraph">
    <w:name w:val="List Paragraph"/>
    <w:basedOn w:val="Normal"/>
    <w:link w:val="ListParagraphChar"/>
    <w:uiPriority w:val="99"/>
    <w:qFormat/>
    <w:rsid w:val="008C688F"/>
    <w:pPr>
      <w:spacing w:line="240" w:lineRule="auto"/>
      <w:ind w:left="720"/>
    </w:pPr>
  </w:style>
  <w:style w:type="numbering" w:customStyle="1" w:styleId="ABARESbulletedlist">
    <w:name w:val="ABARES bulleted list"/>
    <w:uiPriority w:val="99"/>
    <w:rsid w:val="00567A81"/>
    <w:pPr>
      <w:numPr>
        <w:numId w:val="3"/>
      </w:numPr>
    </w:pPr>
  </w:style>
  <w:style w:type="paragraph" w:styleId="FootnoteText">
    <w:name w:val="footnote text"/>
    <w:basedOn w:val="Normal"/>
    <w:link w:val="FootnoteTextChar"/>
    <w:uiPriority w:val="99"/>
    <w:semiHidden/>
    <w:unhideWhenUsed/>
    <w:qFormat/>
    <w:rsid w:val="00F933AE"/>
    <w:pPr>
      <w:spacing w:after="0" w:line="240" w:lineRule="auto"/>
    </w:pPr>
    <w:rPr>
      <w:szCs w:val="20"/>
    </w:rPr>
  </w:style>
  <w:style w:type="character" w:customStyle="1" w:styleId="FootnoteTextChar">
    <w:name w:val="Footnote Text Char"/>
    <w:basedOn w:val="DefaultParagraphFont"/>
    <w:link w:val="FootnoteText"/>
    <w:uiPriority w:val="99"/>
    <w:semiHidden/>
    <w:rsid w:val="00F933AE"/>
    <w:rPr>
      <w:color w:val="000000" w:themeColor="text1"/>
      <w:lang w:eastAsia="en-US"/>
    </w:rPr>
  </w:style>
  <w:style w:type="character" w:styleId="FootnoteReference">
    <w:name w:val="footnote reference"/>
    <w:basedOn w:val="DefaultParagraphFont"/>
    <w:uiPriority w:val="99"/>
    <w:semiHidden/>
    <w:unhideWhenUsed/>
    <w:qFormat/>
    <w:rsid w:val="00F933AE"/>
    <w:rPr>
      <w:vertAlign w:val="superscript"/>
    </w:rPr>
  </w:style>
  <w:style w:type="character" w:customStyle="1" w:styleId="InlineQuote">
    <w:name w:val="Inline Quote"/>
    <w:basedOn w:val="QuoteChar"/>
    <w:uiPriority w:val="1"/>
    <w:semiHidden/>
    <w:qFormat/>
    <w:rsid w:val="008F3B08"/>
    <w:rPr>
      <w:rFonts w:ascii="Calibri" w:hAnsi="Calibri"/>
      <w:i/>
      <w:iCs/>
      <w:color w:val="auto"/>
      <w:szCs w:val="22"/>
      <w:lang w:eastAsia="en-US"/>
    </w:rPr>
  </w:style>
  <w:style w:type="numbering" w:customStyle="1" w:styleId="ABARESnumberedlist">
    <w:name w:val="ABARES numbered list"/>
    <w:basedOn w:val="NoList"/>
    <w:uiPriority w:val="99"/>
    <w:rsid w:val="00567A81"/>
    <w:pPr>
      <w:numPr>
        <w:numId w:val="4"/>
      </w:numPr>
    </w:pPr>
  </w:style>
  <w:style w:type="table" w:customStyle="1" w:styleId="ABAREStableleftalign">
    <w:name w:val="ABARES table (left align)"/>
    <w:basedOn w:val="ABAREStable"/>
    <w:uiPriority w:val="99"/>
    <w:rsid w:val="000F575B"/>
    <w:pPr>
      <w:jc w:val="left"/>
    </w:pPr>
    <w:tblPr/>
    <w:tblStylePr w:type="firstRow">
      <w:rPr>
        <w:b/>
      </w:rPr>
    </w:tblStylePr>
    <w:tblStylePr w:type="firstCol">
      <w:pPr>
        <w:wordWrap/>
        <w:jc w:val="left"/>
      </w:pPr>
    </w:tblStylePr>
  </w:style>
  <w:style w:type="table" w:customStyle="1" w:styleId="ABAREStablecenteralign">
    <w:name w:val="ABARES table (center align)"/>
    <w:basedOn w:val="ABAREStable"/>
    <w:rsid w:val="001C0F85"/>
    <w:pPr>
      <w:jc w:val="center"/>
    </w:pPr>
    <w:tblPr/>
    <w:tblStylePr w:type="firstRow">
      <w:rPr>
        <w:b/>
      </w:rPr>
    </w:tblStylePr>
    <w:tblStylePr w:type="firstCol">
      <w:pPr>
        <w:wordWrap/>
        <w:jc w:val="left"/>
      </w:pPr>
      <w:rPr>
        <w:rFonts w:ascii="Cambria" w:hAnsi="Cambria"/>
        <w:sz w:val="19"/>
      </w:rPr>
      <w:tblPr/>
      <w:tcPr>
        <w:noWrap/>
      </w:tcPr>
    </w:tblStylePr>
  </w:style>
  <w:style w:type="character" w:customStyle="1" w:styleId="Superscript">
    <w:name w:val="Superscript"/>
    <w:uiPriority w:val="19"/>
    <w:qFormat/>
    <w:rsid w:val="00251D1C"/>
    <w:rPr>
      <w:vertAlign w:val="superscript"/>
    </w:rPr>
  </w:style>
  <w:style w:type="character" w:customStyle="1" w:styleId="Subscript">
    <w:name w:val="Subscript"/>
    <w:uiPriority w:val="19"/>
    <w:qFormat/>
    <w:rsid w:val="00251D1C"/>
    <w:rPr>
      <w:vertAlign w:val="subscript"/>
    </w:rPr>
  </w:style>
  <w:style w:type="paragraph" w:customStyle="1" w:styleId="Heading1unnumberedchapter">
    <w:name w:val="Heading 1  (unnumbered chapter)"/>
    <w:next w:val="BodyText1"/>
    <w:link w:val="Heading1unnumberedchapterChar"/>
    <w:uiPriority w:val="10"/>
    <w:qFormat/>
    <w:rsid w:val="000921E6"/>
    <w:pPr>
      <w:keepNext/>
      <w:keepLines/>
      <w:pageBreakBefore/>
      <w:spacing w:after="284" w:line="180" w:lineRule="auto"/>
      <w:outlineLvl w:val="0"/>
    </w:pPr>
    <w:rPr>
      <w:rFonts w:asciiTheme="minorHAnsi" w:hAnsiTheme="minorHAnsi"/>
      <w:color w:val="000000" w:themeColor="text1"/>
      <w:sz w:val="56"/>
      <w:szCs w:val="22"/>
      <w:lang w:eastAsia="en-US"/>
    </w:rPr>
  </w:style>
  <w:style w:type="character" w:customStyle="1" w:styleId="Heading1unnumberedchapterChar">
    <w:name w:val="Heading 1  (unnumbered chapter) Char"/>
    <w:basedOn w:val="DefaultParagraphFont"/>
    <w:link w:val="Heading1unnumberedchapter"/>
    <w:uiPriority w:val="10"/>
    <w:rsid w:val="000921E6"/>
    <w:rPr>
      <w:rFonts w:asciiTheme="minorHAnsi" w:hAnsiTheme="minorHAnsi"/>
      <w:color w:val="000000" w:themeColor="text1"/>
      <w:sz w:val="56"/>
      <w:szCs w:val="22"/>
      <w:lang w:eastAsia="en-US"/>
    </w:rPr>
  </w:style>
  <w:style w:type="character" w:customStyle="1" w:styleId="Intextreference">
    <w:name w:val="Intext reference"/>
    <w:basedOn w:val="DefaultParagraphFont"/>
    <w:uiPriority w:val="27"/>
    <w:qFormat/>
    <w:rsid w:val="001519F0"/>
    <w:rPr>
      <w:rFonts w:ascii="Cambria" w:hAnsi="Cambria"/>
      <w:color w:val="7F7F7F" w:themeColor="text1" w:themeTint="80"/>
    </w:rPr>
  </w:style>
  <w:style w:type="paragraph" w:styleId="ListBullet">
    <w:name w:val="List Bullet"/>
    <w:basedOn w:val="ListParagraph"/>
    <w:next w:val="ListParagraph"/>
    <w:link w:val="ListBulletChar"/>
    <w:uiPriority w:val="7"/>
    <w:qFormat/>
    <w:rsid w:val="0023676C"/>
    <w:pPr>
      <w:numPr>
        <w:numId w:val="6"/>
      </w:numPr>
      <w:spacing w:before="240" w:after="240"/>
    </w:pPr>
    <w:rPr>
      <w:color w:val="000000"/>
    </w:rPr>
  </w:style>
  <w:style w:type="character" w:customStyle="1" w:styleId="ListBulletChar">
    <w:name w:val="List Bullet Char"/>
    <w:basedOn w:val="DefaultParagraphFont"/>
    <w:link w:val="ListBullet"/>
    <w:uiPriority w:val="99"/>
    <w:rsid w:val="00607B5C"/>
    <w:rPr>
      <w:color w:val="000000"/>
      <w:sz w:val="22"/>
      <w:szCs w:val="22"/>
      <w:lang w:eastAsia="en-US"/>
    </w:rPr>
  </w:style>
  <w:style w:type="paragraph" w:styleId="List">
    <w:name w:val="List"/>
    <w:basedOn w:val="Normal"/>
    <w:uiPriority w:val="99"/>
    <w:unhideWhenUsed/>
    <w:qFormat/>
    <w:rsid w:val="002E215F"/>
    <w:pPr>
      <w:ind w:left="283" w:hanging="283"/>
      <w:contextualSpacing/>
    </w:pPr>
  </w:style>
  <w:style w:type="paragraph" w:styleId="ListNumber">
    <w:name w:val="List Number"/>
    <w:basedOn w:val="Normal"/>
    <w:uiPriority w:val="9"/>
    <w:unhideWhenUsed/>
    <w:qFormat/>
    <w:rsid w:val="002E215F"/>
    <w:pPr>
      <w:contextualSpacing/>
    </w:pPr>
  </w:style>
  <w:style w:type="paragraph" w:customStyle="1" w:styleId="Numberedlist-level1">
    <w:name w:val="Numbered list - level 1"/>
    <w:uiPriority w:val="20"/>
    <w:qFormat/>
    <w:rsid w:val="00567A81"/>
    <w:pPr>
      <w:numPr>
        <w:numId w:val="27"/>
      </w:numPr>
      <w:spacing w:before="200" w:after="200"/>
    </w:pPr>
    <w:rPr>
      <w:bCs/>
      <w:sz w:val="22"/>
      <w:szCs w:val="18"/>
      <w:lang w:eastAsia="en-US"/>
    </w:rPr>
  </w:style>
  <w:style w:type="paragraph" w:customStyle="1" w:styleId="Tabletext">
    <w:name w:val="Table text"/>
    <w:link w:val="TabletextChar"/>
    <w:uiPriority w:val="27"/>
    <w:qFormat/>
    <w:rsid w:val="00D141D2"/>
    <w:pPr>
      <w:spacing w:before="60" w:after="60"/>
    </w:pPr>
    <w:rPr>
      <w:color w:val="000000" w:themeColor="text1"/>
      <w:sz w:val="19"/>
      <w:szCs w:val="22"/>
      <w:lang w:eastAsia="en-US"/>
    </w:rPr>
  </w:style>
  <w:style w:type="table" w:customStyle="1" w:styleId="ABARESTableleftrightalign">
    <w:name w:val="ABARES Table (left/right align)"/>
    <w:basedOn w:val="ABAREStable"/>
    <w:uiPriority w:val="99"/>
    <w:rsid w:val="004325D5"/>
    <w:tblPr/>
    <w:tblStylePr w:type="firstRow">
      <w:rPr>
        <w:b/>
      </w:rPr>
    </w:tblStylePr>
    <w:tblStylePr w:type="firstCol">
      <w:pPr>
        <w:wordWrap/>
        <w:jc w:val="left"/>
      </w:pPr>
    </w:tblStylePr>
  </w:style>
  <w:style w:type="character" w:customStyle="1" w:styleId="ListParagraphChar">
    <w:name w:val="List Paragraph Char"/>
    <w:basedOn w:val="DefaultParagraphFont"/>
    <w:link w:val="ListParagraph"/>
    <w:uiPriority w:val="99"/>
    <w:rsid w:val="00607B5C"/>
    <w:rPr>
      <w:color w:val="000000" w:themeColor="text1"/>
      <w:sz w:val="22"/>
      <w:szCs w:val="22"/>
      <w:lang w:eastAsia="en-US"/>
    </w:rPr>
  </w:style>
  <w:style w:type="numbering" w:customStyle="1" w:styleId="bulletlist">
    <w:name w:val="bullet list"/>
    <w:basedOn w:val="NoList"/>
    <w:uiPriority w:val="99"/>
    <w:rsid w:val="00567A81"/>
    <w:pPr>
      <w:numPr>
        <w:numId w:val="5"/>
      </w:numPr>
    </w:pPr>
  </w:style>
  <w:style w:type="paragraph" w:customStyle="1" w:styleId="Bulletlist-level2">
    <w:name w:val="Bullet list - level 2"/>
    <w:uiPriority w:val="25"/>
    <w:qFormat/>
    <w:rsid w:val="00567A81"/>
    <w:pPr>
      <w:numPr>
        <w:ilvl w:val="1"/>
        <w:numId w:val="21"/>
      </w:numPr>
      <w:spacing w:before="120" w:after="120"/>
    </w:pPr>
    <w:rPr>
      <w:color w:val="000000" w:themeColor="text1"/>
      <w:sz w:val="22"/>
      <w:szCs w:val="22"/>
      <w:lang w:eastAsia="en-US"/>
    </w:rPr>
  </w:style>
  <w:style w:type="character" w:customStyle="1" w:styleId="Superscript-bold">
    <w:name w:val="Superscript - bold"/>
    <w:uiPriority w:val="19"/>
    <w:qFormat/>
    <w:rsid w:val="004E655B"/>
    <w:rPr>
      <w:b/>
      <w:bCs w:val="0"/>
      <w:color w:val="auto"/>
      <w:szCs w:val="36"/>
      <w:vertAlign w:val="superscript"/>
    </w:rPr>
  </w:style>
  <w:style w:type="character" w:customStyle="1" w:styleId="Subscript-bold">
    <w:name w:val="Subscript - bold"/>
    <w:uiPriority w:val="19"/>
    <w:qFormat/>
    <w:rsid w:val="00001B36"/>
    <w:rPr>
      <w:b/>
      <w:vertAlign w:val="subscript"/>
    </w:rPr>
  </w:style>
  <w:style w:type="paragraph" w:styleId="DocumentMap">
    <w:name w:val="Document Map"/>
    <w:basedOn w:val="Normal"/>
    <w:link w:val="DocumentMapChar"/>
    <w:uiPriority w:val="99"/>
    <w:unhideWhenUsed/>
    <w:qFormat/>
    <w:rsid w:val="00CC45F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rsid w:val="00CC45FA"/>
    <w:rPr>
      <w:rFonts w:ascii="Tahoma" w:hAnsi="Tahoma" w:cs="Tahoma"/>
      <w:color w:val="000000" w:themeColor="text1"/>
      <w:sz w:val="16"/>
      <w:szCs w:val="16"/>
      <w:lang w:eastAsia="en-US"/>
    </w:rPr>
  </w:style>
  <w:style w:type="table" w:customStyle="1" w:styleId="Textboxtable">
    <w:name w:val="Text box table"/>
    <w:basedOn w:val="ABAREStable"/>
    <w:rsid w:val="000269D5"/>
    <w:pPr>
      <w:jc w:val="left"/>
    </w:pPr>
    <w:tblPr>
      <w:tblBorders>
        <w:top w:val="none" w:sz="0" w:space="0" w:color="auto"/>
        <w:left w:val="single" w:sz="4" w:space="0" w:color="auto"/>
        <w:bottom w:val="none" w:sz="0" w:space="0" w:color="auto"/>
        <w:right w:val="single" w:sz="4" w:space="0" w:color="auto"/>
      </w:tblBorders>
    </w:tblPr>
    <w:tblStylePr w:type="firstRow">
      <w:rPr>
        <w:b w:val="0"/>
      </w:rPr>
    </w:tblStylePr>
    <w:tblStylePr w:type="firstCol">
      <w:pPr>
        <w:wordWrap/>
        <w:jc w:val="left"/>
      </w:pPr>
    </w:tblStylePr>
  </w:style>
  <w:style w:type="character" w:styleId="FollowedHyperlink">
    <w:name w:val="FollowedHyperlink"/>
    <w:basedOn w:val="DefaultParagraphFont"/>
    <w:uiPriority w:val="99"/>
    <w:semiHidden/>
    <w:unhideWhenUsed/>
    <w:qFormat/>
    <w:rsid w:val="003570B1"/>
    <w:rPr>
      <w:color w:val="800080" w:themeColor="followedHyperlink"/>
      <w:u w:val="single"/>
    </w:rPr>
  </w:style>
  <w:style w:type="paragraph" w:styleId="CommentText">
    <w:name w:val="annotation text"/>
    <w:basedOn w:val="Normal"/>
    <w:link w:val="CommentTextChar"/>
    <w:uiPriority w:val="99"/>
    <w:unhideWhenUsed/>
    <w:qFormat/>
    <w:rsid w:val="00DB2ED2"/>
    <w:pPr>
      <w:spacing w:line="240" w:lineRule="auto"/>
    </w:pPr>
    <w:rPr>
      <w:sz w:val="20"/>
      <w:szCs w:val="20"/>
    </w:rPr>
  </w:style>
  <w:style w:type="character" w:customStyle="1" w:styleId="CommentTextChar">
    <w:name w:val="Comment Text Char"/>
    <w:basedOn w:val="DefaultParagraphFont"/>
    <w:link w:val="CommentText"/>
    <w:uiPriority w:val="99"/>
    <w:rsid w:val="00DB2ED2"/>
    <w:rPr>
      <w:color w:val="000000" w:themeColor="text1"/>
      <w:lang w:eastAsia="en-US"/>
    </w:rPr>
  </w:style>
  <w:style w:type="character" w:styleId="CommentReference">
    <w:name w:val="annotation reference"/>
    <w:basedOn w:val="DefaultParagraphFont"/>
    <w:uiPriority w:val="99"/>
    <w:unhideWhenUsed/>
    <w:qFormat/>
    <w:rsid w:val="00DB2ED2"/>
    <w:rPr>
      <w:sz w:val="16"/>
      <w:szCs w:val="16"/>
    </w:rPr>
  </w:style>
  <w:style w:type="character" w:customStyle="1" w:styleId="Italic">
    <w:name w:val="Italic"/>
    <w:uiPriority w:val="19"/>
    <w:qFormat/>
    <w:rsid w:val="000921E6"/>
    <w:rPr>
      <w:i/>
      <w:color w:val="auto"/>
    </w:rPr>
  </w:style>
  <w:style w:type="character" w:customStyle="1" w:styleId="Italicbold">
    <w:name w:val="Italic bold"/>
    <w:uiPriority w:val="19"/>
    <w:qFormat/>
    <w:rsid w:val="000921E6"/>
    <w:rPr>
      <w:b/>
      <w:i/>
      <w:color w:val="auto"/>
    </w:rPr>
  </w:style>
  <w:style w:type="paragraph" w:customStyle="1" w:styleId="Bulletlist-level1">
    <w:name w:val="Bullet list - level 1"/>
    <w:uiPriority w:val="24"/>
    <w:qFormat/>
    <w:rsid w:val="00567A81"/>
    <w:pPr>
      <w:numPr>
        <w:numId w:val="21"/>
      </w:numPr>
      <w:spacing w:before="120" w:after="120"/>
    </w:pPr>
    <w:rPr>
      <w:color w:val="000000"/>
      <w:sz w:val="22"/>
      <w:szCs w:val="22"/>
      <w:lang w:eastAsia="en-US"/>
    </w:rPr>
  </w:style>
  <w:style w:type="paragraph" w:customStyle="1" w:styleId="BodyText1">
    <w:name w:val="Body Text1"/>
    <w:uiPriority w:val="9"/>
    <w:qFormat/>
    <w:rsid w:val="00D3146D"/>
    <w:pPr>
      <w:spacing w:after="200" w:line="280" w:lineRule="atLeast"/>
    </w:pPr>
    <w:rPr>
      <w:color w:val="000000" w:themeColor="text1"/>
      <w:sz w:val="22"/>
      <w:szCs w:val="22"/>
      <w:lang w:eastAsia="en-US"/>
    </w:rPr>
  </w:style>
  <w:style w:type="paragraph" w:customStyle="1" w:styleId="Numberedlist-level2">
    <w:name w:val="Numbered list - level 2"/>
    <w:link w:val="Numberedlist-level2Char"/>
    <w:uiPriority w:val="21"/>
    <w:qFormat/>
    <w:rsid w:val="00567A81"/>
    <w:pPr>
      <w:numPr>
        <w:ilvl w:val="1"/>
        <w:numId w:val="27"/>
      </w:numPr>
      <w:spacing w:after="120" w:line="276" w:lineRule="auto"/>
      <w:contextualSpacing/>
    </w:pPr>
    <w:rPr>
      <w:rFonts w:asciiTheme="majorHAnsi" w:hAnsiTheme="majorHAnsi"/>
      <w:color w:val="000000" w:themeColor="text1"/>
      <w:sz w:val="22"/>
      <w:szCs w:val="22"/>
      <w:lang w:eastAsia="en-US"/>
    </w:rPr>
  </w:style>
  <w:style w:type="paragraph" w:customStyle="1" w:styleId="Numberedlist-level3">
    <w:name w:val="Numbered list - level 3"/>
    <w:link w:val="Numberedlist-level3Char"/>
    <w:uiPriority w:val="22"/>
    <w:qFormat/>
    <w:rsid w:val="00567A81"/>
    <w:pPr>
      <w:numPr>
        <w:ilvl w:val="2"/>
        <w:numId w:val="27"/>
      </w:numPr>
      <w:spacing w:after="120" w:line="276" w:lineRule="auto"/>
      <w:contextualSpacing/>
    </w:pPr>
    <w:rPr>
      <w:color w:val="000000" w:themeColor="text1"/>
      <w:sz w:val="22"/>
      <w:szCs w:val="22"/>
      <w:lang w:eastAsia="en-US"/>
    </w:rPr>
  </w:style>
  <w:style w:type="character" w:customStyle="1" w:styleId="Numberedlist-level2Char">
    <w:name w:val="Numbered list - level 2 Char"/>
    <w:basedOn w:val="ListParagraphChar"/>
    <w:link w:val="Numberedlist-level2"/>
    <w:uiPriority w:val="21"/>
    <w:rsid w:val="00567A81"/>
    <w:rPr>
      <w:rFonts w:asciiTheme="majorHAnsi" w:hAnsiTheme="majorHAnsi"/>
      <w:color w:val="000000" w:themeColor="text1"/>
      <w:sz w:val="22"/>
      <w:szCs w:val="22"/>
      <w:lang w:eastAsia="en-US"/>
    </w:rPr>
  </w:style>
  <w:style w:type="paragraph" w:customStyle="1" w:styleId="Quote-block">
    <w:name w:val="Quote - block"/>
    <w:next w:val="BodyText1"/>
    <w:uiPriority w:val="28"/>
    <w:qFormat/>
    <w:rsid w:val="00C05EF5"/>
    <w:pPr>
      <w:spacing w:before="120" w:after="120" w:line="240" w:lineRule="atLeast"/>
      <w:ind w:left="567" w:right="567"/>
    </w:pPr>
    <w:rPr>
      <w:iCs/>
      <w:color w:val="000000" w:themeColor="text1"/>
      <w:szCs w:val="22"/>
      <w:lang w:eastAsia="en-US"/>
    </w:rPr>
  </w:style>
  <w:style w:type="character" w:customStyle="1" w:styleId="Numberedlist-level3Char">
    <w:name w:val="Numbered list - level 3 Char"/>
    <w:basedOn w:val="ListParagraphChar"/>
    <w:link w:val="Numberedlist-level3"/>
    <w:uiPriority w:val="22"/>
    <w:rsid w:val="00567A81"/>
    <w:rPr>
      <w:color w:val="000000" w:themeColor="text1"/>
      <w:sz w:val="22"/>
      <w:szCs w:val="22"/>
      <w:lang w:eastAsia="en-US"/>
    </w:rPr>
  </w:style>
  <w:style w:type="character" w:customStyle="1" w:styleId="Bold">
    <w:name w:val="Bold"/>
    <w:uiPriority w:val="19"/>
    <w:qFormat/>
    <w:rsid w:val="004A0AF0"/>
    <w:rPr>
      <w:b/>
    </w:rPr>
  </w:style>
  <w:style w:type="paragraph" w:customStyle="1" w:styleId="Subtitlesupplementarydocumenttitle">
    <w:name w:val="Subtitle/supplementary document title"/>
    <w:next w:val="BodyText1"/>
    <w:uiPriority w:val="29"/>
    <w:qFormat/>
    <w:rsid w:val="00F91FB6"/>
    <w:pPr>
      <w:tabs>
        <w:tab w:val="left" w:pos="1418"/>
      </w:tabs>
      <w:ind w:left="1418"/>
    </w:pPr>
    <w:rPr>
      <w:rFonts w:ascii="Calibri" w:eastAsiaTheme="majorEastAsia" w:hAnsi="Calibri" w:cstheme="majorBidi"/>
      <w:iCs/>
      <w:color w:val="000000" w:themeColor="text1"/>
      <w:spacing w:val="15"/>
      <w:sz w:val="44"/>
      <w:szCs w:val="24"/>
      <w:lang w:eastAsia="en-US"/>
    </w:rPr>
  </w:style>
  <w:style w:type="paragraph" w:customStyle="1" w:styleId="Boxtext">
    <w:name w:val="Box text"/>
    <w:uiPriority w:val="99"/>
    <w:qFormat/>
    <w:rsid w:val="00D141D2"/>
    <w:pPr>
      <w:keepLines/>
      <w:spacing w:before="120" w:after="120"/>
    </w:pPr>
    <w:rPr>
      <w:color w:val="000000" w:themeColor="text1"/>
      <w:sz w:val="19"/>
      <w:szCs w:val="22"/>
      <w:lang w:eastAsia="en-US"/>
    </w:rPr>
  </w:style>
  <w:style w:type="paragraph" w:customStyle="1" w:styleId="Copyrightpageheading">
    <w:name w:val="Copyright page heading"/>
    <w:next w:val="BodyText"/>
    <w:link w:val="CopyrightpageheadingChar"/>
    <w:uiPriority w:val="99"/>
    <w:qFormat/>
    <w:rsid w:val="00C41DD6"/>
    <w:pPr>
      <w:spacing w:after="60"/>
    </w:pPr>
    <w:rPr>
      <w:b/>
      <w:color w:val="000000" w:themeColor="text1"/>
      <w:sz w:val="19"/>
      <w:szCs w:val="22"/>
      <w:lang w:eastAsia="en-US"/>
    </w:rPr>
  </w:style>
  <w:style w:type="character" w:customStyle="1" w:styleId="TabletextChar">
    <w:name w:val="Table text Char"/>
    <w:basedOn w:val="DefaultParagraphFont"/>
    <w:link w:val="Tabletext"/>
    <w:uiPriority w:val="27"/>
    <w:rsid w:val="00D141D2"/>
    <w:rPr>
      <w:color w:val="000000" w:themeColor="text1"/>
      <w:sz w:val="19"/>
      <w:szCs w:val="22"/>
      <w:lang w:eastAsia="en-US"/>
    </w:rPr>
  </w:style>
  <w:style w:type="character" w:customStyle="1" w:styleId="CopyrightpageheadingChar">
    <w:name w:val="Copyright page heading Char"/>
    <w:basedOn w:val="TabletextChar"/>
    <w:link w:val="Copyrightpageheading"/>
    <w:uiPriority w:val="99"/>
    <w:rsid w:val="00C41DD6"/>
    <w:rPr>
      <w:b/>
      <w:color w:val="000000" w:themeColor="text1"/>
      <w:sz w:val="19"/>
      <w:szCs w:val="22"/>
      <w:lang w:eastAsia="en-US"/>
    </w:rPr>
  </w:style>
  <w:style w:type="paragraph" w:styleId="BodyText">
    <w:name w:val="Body Text"/>
    <w:basedOn w:val="Normal"/>
    <w:link w:val="BodyTextChar"/>
    <w:uiPriority w:val="99"/>
    <w:semiHidden/>
    <w:unhideWhenUsed/>
    <w:qFormat/>
    <w:rsid w:val="00C41DD6"/>
    <w:pPr>
      <w:spacing w:after="120"/>
    </w:pPr>
  </w:style>
  <w:style w:type="character" w:customStyle="1" w:styleId="BodyTextChar">
    <w:name w:val="Body Text Char"/>
    <w:basedOn w:val="DefaultParagraphFont"/>
    <w:link w:val="BodyText"/>
    <w:uiPriority w:val="99"/>
    <w:semiHidden/>
    <w:rsid w:val="00C41DD6"/>
    <w:rPr>
      <w:color w:val="000000" w:themeColor="text1"/>
      <w:sz w:val="22"/>
      <w:szCs w:val="22"/>
      <w:lang w:eastAsia="en-US"/>
    </w:rPr>
  </w:style>
  <w:style w:type="paragraph" w:styleId="CommentSubject">
    <w:name w:val="annotation subject"/>
    <w:basedOn w:val="CommentText"/>
    <w:next w:val="CommentText"/>
    <w:link w:val="CommentSubjectChar"/>
    <w:uiPriority w:val="99"/>
    <w:semiHidden/>
    <w:unhideWhenUsed/>
    <w:qFormat/>
    <w:rsid w:val="00A1089C"/>
    <w:rPr>
      <w:b/>
      <w:bCs/>
    </w:rPr>
  </w:style>
  <w:style w:type="character" w:customStyle="1" w:styleId="CommentSubjectChar">
    <w:name w:val="Comment Subject Char"/>
    <w:basedOn w:val="CommentTextChar"/>
    <w:link w:val="CommentSubject"/>
    <w:uiPriority w:val="99"/>
    <w:semiHidden/>
    <w:rsid w:val="00A1089C"/>
    <w:rPr>
      <w:b/>
      <w:bCs/>
      <w:color w:val="000000" w:themeColor="text1"/>
      <w:lang w:eastAsia="en-US"/>
    </w:rPr>
  </w:style>
  <w:style w:type="numbering" w:customStyle="1" w:styleId="ABARESnumberedlist2">
    <w:name w:val="ABARES numbered list 2"/>
    <w:uiPriority w:val="99"/>
    <w:rsid w:val="00567A81"/>
    <w:pPr>
      <w:numPr>
        <w:numId w:val="7"/>
      </w:numPr>
    </w:pPr>
  </w:style>
  <w:style w:type="paragraph" w:customStyle="1" w:styleId="Tablebulletpoint">
    <w:name w:val="Table bullet point"/>
    <w:next w:val="Tabletext"/>
    <w:uiPriority w:val="99"/>
    <w:qFormat/>
    <w:rsid w:val="00C574D3"/>
    <w:pPr>
      <w:numPr>
        <w:numId w:val="8"/>
      </w:numPr>
      <w:spacing w:before="60" w:after="60"/>
      <w:ind w:left="142" w:hanging="142"/>
    </w:pPr>
    <w:rPr>
      <w:color w:val="000000" w:themeColor="text1"/>
      <w:sz w:val="19"/>
      <w:szCs w:val="19"/>
      <w:lang w:eastAsia="en-US"/>
    </w:rPr>
  </w:style>
  <w:style w:type="paragraph" w:customStyle="1" w:styleId="TableBoxtext">
    <w:name w:val="Table/Box text"/>
    <w:next w:val="Normal"/>
    <w:uiPriority w:val="27"/>
    <w:qFormat/>
    <w:rsid w:val="00C574D3"/>
    <w:pPr>
      <w:spacing w:before="40" w:after="40"/>
    </w:pPr>
    <w:rPr>
      <w:rFonts w:asciiTheme="minorHAnsi" w:hAnsiTheme="minorHAnsi"/>
      <w:color w:val="000000" w:themeColor="text1"/>
      <w:sz w:val="18"/>
      <w:szCs w:val="22"/>
      <w:lang w:eastAsia="en-US"/>
    </w:rPr>
  </w:style>
  <w:style w:type="paragraph" w:customStyle="1" w:styleId="numberedbulletintable">
    <w:name w:val="numbered bullet in table"/>
    <w:basedOn w:val="TableBoxtext"/>
    <w:qFormat/>
    <w:rsid w:val="00C574D3"/>
    <w:pPr>
      <w:ind w:left="227" w:hanging="227"/>
    </w:pPr>
    <w:rPr>
      <w:rFonts w:ascii="Cambria" w:hAnsi="Cambria"/>
      <w:szCs w:val="20"/>
      <w:lang w:eastAsia="en-AU"/>
    </w:rPr>
  </w:style>
  <w:style w:type="paragraph" w:customStyle="1" w:styleId="Tablenumberedlist">
    <w:name w:val="Table numbered list"/>
    <w:uiPriority w:val="99"/>
    <w:qFormat/>
    <w:rsid w:val="00902730"/>
    <w:pPr>
      <w:numPr>
        <w:numId w:val="9"/>
      </w:numPr>
      <w:contextualSpacing/>
    </w:pPr>
    <w:rPr>
      <w:color w:val="000000" w:themeColor="text1"/>
      <w:sz w:val="19"/>
      <w:szCs w:val="22"/>
      <w:lang w:eastAsia="en-US"/>
    </w:rPr>
  </w:style>
  <w:style w:type="paragraph" w:customStyle="1" w:styleId="Appendixheading">
    <w:name w:val="Appendix heading"/>
    <w:next w:val="BodyText1"/>
    <w:link w:val="AppendixheadingChar"/>
    <w:uiPriority w:val="99"/>
    <w:qFormat/>
    <w:rsid w:val="001B62DE"/>
    <w:pPr>
      <w:keepNext/>
      <w:keepLines/>
      <w:pageBreakBefore/>
      <w:numPr>
        <w:numId w:val="10"/>
      </w:numPr>
      <w:spacing w:after="284" w:line="180" w:lineRule="auto"/>
      <w:ind w:left="0" w:firstLine="0"/>
      <w:outlineLvl w:val="0"/>
    </w:pPr>
    <w:rPr>
      <w:rFonts w:asciiTheme="minorHAnsi" w:hAnsiTheme="minorHAnsi"/>
      <w:color w:val="000000" w:themeColor="text1"/>
      <w:sz w:val="56"/>
      <w:szCs w:val="22"/>
      <w:lang w:eastAsia="en-US"/>
    </w:rPr>
  </w:style>
  <w:style w:type="character" w:customStyle="1" w:styleId="AppendixheadingChar">
    <w:name w:val="Appendix heading Char"/>
    <w:basedOn w:val="Heading1unnumberedchapterChar"/>
    <w:link w:val="Appendixheading"/>
    <w:uiPriority w:val="99"/>
    <w:rsid w:val="001B62DE"/>
    <w:rPr>
      <w:rFonts w:asciiTheme="minorHAnsi" w:hAnsiTheme="minorHAnsi"/>
      <w:color w:val="000000" w:themeColor="text1"/>
      <w:sz w:val="56"/>
      <w:szCs w:val="22"/>
      <w:lang w:eastAsia="en-US"/>
    </w:rPr>
  </w:style>
  <w:style w:type="paragraph" w:styleId="TOC4">
    <w:name w:val="toc 4"/>
    <w:basedOn w:val="Normal"/>
    <w:next w:val="Normal"/>
    <w:autoRedefine/>
    <w:uiPriority w:val="39"/>
    <w:unhideWhenUsed/>
    <w:qFormat/>
    <w:rsid w:val="00286A96"/>
    <w:pPr>
      <w:tabs>
        <w:tab w:val="left" w:pos="425"/>
        <w:tab w:val="right" w:pos="9060"/>
      </w:tabs>
      <w:spacing w:after="100"/>
    </w:pPr>
    <w:rPr>
      <w:b/>
    </w:rPr>
  </w:style>
  <w:style w:type="character" w:styleId="PageNumber">
    <w:name w:val="page number"/>
    <w:basedOn w:val="DefaultParagraphFont"/>
    <w:uiPriority w:val="99"/>
    <w:semiHidden/>
    <w:unhideWhenUsed/>
    <w:qFormat/>
    <w:rsid w:val="00F46D1D"/>
  </w:style>
  <w:style w:type="paragraph" w:styleId="IntenseQuote">
    <w:name w:val="Intense Quote"/>
    <w:basedOn w:val="Normal"/>
    <w:next w:val="Normal"/>
    <w:link w:val="IntenseQuoteChar"/>
    <w:uiPriority w:val="30"/>
    <w:semiHidden/>
    <w:qFormat/>
    <w:locked/>
    <w:rsid w:val="00B52F07"/>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semiHidden/>
    <w:rsid w:val="00B52F07"/>
    <w:rPr>
      <w:b/>
      <w:bCs/>
      <w:i/>
      <w:iCs/>
      <w:color w:val="4F81BD" w:themeColor="accent1"/>
      <w:sz w:val="22"/>
      <w:szCs w:val="22"/>
      <w:lang w:eastAsia="en-US"/>
    </w:rPr>
  </w:style>
  <w:style w:type="paragraph" w:styleId="Date">
    <w:name w:val="Date"/>
    <w:basedOn w:val="Normal"/>
    <w:next w:val="Normal"/>
    <w:link w:val="DateChar"/>
    <w:uiPriority w:val="99"/>
    <w:unhideWhenUsed/>
    <w:qFormat/>
    <w:rsid w:val="008A363D"/>
  </w:style>
  <w:style w:type="character" w:customStyle="1" w:styleId="DateChar">
    <w:name w:val="Date Char"/>
    <w:basedOn w:val="DefaultParagraphFont"/>
    <w:link w:val="Date"/>
    <w:uiPriority w:val="99"/>
    <w:rsid w:val="008A363D"/>
    <w:rPr>
      <w:color w:val="000000" w:themeColor="text1"/>
      <w:sz w:val="22"/>
      <w:szCs w:val="22"/>
      <w:lang w:eastAsia="en-US"/>
    </w:rPr>
  </w:style>
  <w:style w:type="character" w:styleId="EndnoteReference">
    <w:name w:val="endnote reference"/>
    <w:basedOn w:val="DefaultParagraphFont"/>
    <w:uiPriority w:val="99"/>
    <w:unhideWhenUsed/>
    <w:qFormat/>
    <w:rsid w:val="008A363D"/>
    <w:rPr>
      <w:vertAlign w:val="superscript"/>
    </w:rPr>
  </w:style>
  <w:style w:type="character" w:styleId="HTMLVariable">
    <w:name w:val="HTML Variable"/>
    <w:basedOn w:val="DefaultParagraphFont"/>
    <w:uiPriority w:val="99"/>
    <w:unhideWhenUsed/>
    <w:qFormat/>
    <w:rsid w:val="008A363D"/>
    <w:rPr>
      <w:i/>
      <w:iCs/>
    </w:rPr>
  </w:style>
  <w:style w:type="paragraph" w:styleId="ListContinue">
    <w:name w:val="List Continue"/>
    <w:basedOn w:val="Normal"/>
    <w:uiPriority w:val="99"/>
    <w:unhideWhenUsed/>
    <w:qFormat/>
    <w:rsid w:val="008A363D"/>
    <w:pPr>
      <w:spacing w:after="120"/>
      <w:ind w:left="283"/>
      <w:contextualSpacing/>
    </w:pPr>
  </w:style>
  <w:style w:type="paragraph" w:styleId="BodyTextFirstIndent">
    <w:name w:val="Body Text First Indent"/>
    <w:basedOn w:val="BodyText"/>
    <w:link w:val="BodyTextFirstIndentChar"/>
    <w:uiPriority w:val="99"/>
    <w:unhideWhenUsed/>
    <w:qFormat/>
    <w:rsid w:val="008A363D"/>
    <w:pPr>
      <w:spacing w:after="200"/>
      <w:ind w:firstLine="360"/>
    </w:pPr>
  </w:style>
  <w:style w:type="character" w:customStyle="1" w:styleId="BodyTextFirstIndentChar">
    <w:name w:val="Body Text First Indent Char"/>
    <w:basedOn w:val="BodyTextChar"/>
    <w:link w:val="BodyTextFirstIndent"/>
    <w:uiPriority w:val="99"/>
    <w:rsid w:val="008A363D"/>
    <w:rPr>
      <w:color w:val="000000" w:themeColor="text1"/>
      <w:sz w:val="22"/>
      <w:szCs w:val="22"/>
      <w:lang w:eastAsia="en-US"/>
    </w:rPr>
  </w:style>
  <w:style w:type="paragraph" w:styleId="List2">
    <w:name w:val="List 2"/>
    <w:basedOn w:val="Normal"/>
    <w:uiPriority w:val="99"/>
    <w:unhideWhenUsed/>
    <w:qFormat/>
    <w:rsid w:val="00D76108"/>
    <w:pPr>
      <w:ind w:left="566" w:hanging="283"/>
      <w:contextualSpacing/>
    </w:pPr>
  </w:style>
  <w:style w:type="paragraph" w:styleId="ListContinue2">
    <w:name w:val="List Continue 2"/>
    <w:basedOn w:val="Normal"/>
    <w:uiPriority w:val="99"/>
    <w:unhideWhenUsed/>
    <w:qFormat/>
    <w:rsid w:val="00D76108"/>
    <w:pPr>
      <w:spacing w:after="120"/>
      <w:ind w:left="566"/>
      <w:contextualSpacing/>
    </w:pPr>
  </w:style>
  <w:style w:type="paragraph" w:styleId="ListContinue3">
    <w:name w:val="List Continue 3"/>
    <w:basedOn w:val="Normal"/>
    <w:uiPriority w:val="99"/>
    <w:unhideWhenUsed/>
    <w:qFormat/>
    <w:rsid w:val="00D76108"/>
    <w:pPr>
      <w:spacing w:after="120"/>
      <w:ind w:left="849"/>
      <w:contextualSpacing/>
    </w:pPr>
  </w:style>
  <w:style w:type="paragraph" w:styleId="ListNumber2">
    <w:name w:val="List Number 2"/>
    <w:basedOn w:val="Normal"/>
    <w:uiPriority w:val="10"/>
    <w:unhideWhenUsed/>
    <w:qFormat/>
    <w:rsid w:val="00D76108"/>
    <w:pPr>
      <w:numPr>
        <w:numId w:val="16"/>
      </w:numPr>
      <w:contextualSpacing/>
    </w:pPr>
  </w:style>
  <w:style w:type="paragraph" w:styleId="ListNumber3">
    <w:name w:val="List Number 3"/>
    <w:basedOn w:val="Normal"/>
    <w:uiPriority w:val="11"/>
    <w:unhideWhenUsed/>
    <w:qFormat/>
    <w:rsid w:val="00D76108"/>
    <w:pPr>
      <w:numPr>
        <w:numId w:val="17"/>
      </w:numPr>
      <w:contextualSpacing/>
    </w:pPr>
  </w:style>
  <w:style w:type="paragraph" w:styleId="ListNumber4">
    <w:name w:val="List Number 4"/>
    <w:basedOn w:val="Normal"/>
    <w:uiPriority w:val="99"/>
    <w:unhideWhenUsed/>
    <w:qFormat/>
    <w:rsid w:val="00D76108"/>
    <w:pPr>
      <w:numPr>
        <w:numId w:val="18"/>
      </w:numPr>
      <w:contextualSpacing/>
    </w:pPr>
  </w:style>
  <w:style w:type="paragraph" w:styleId="ListNumber5">
    <w:name w:val="List Number 5"/>
    <w:basedOn w:val="Normal"/>
    <w:uiPriority w:val="99"/>
    <w:unhideWhenUsed/>
    <w:qFormat/>
    <w:rsid w:val="00D76108"/>
    <w:pPr>
      <w:numPr>
        <w:numId w:val="19"/>
      </w:numPr>
      <w:contextualSpacing/>
    </w:pPr>
  </w:style>
  <w:style w:type="table" w:styleId="PlainTable1">
    <w:name w:val="Plain Table 1"/>
    <w:basedOn w:val="TableNormal"/>
    <w:uiPriority w:val="41"/>
    <w:rsid w:val="00FB7EA6"/>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FB7EA6"/>
    <w:rPr>
      <w:rFonts w:asciiTheme="minorHAnsi" w:eastAsiaTheme="minorHAnsi" w:hAnsiTheme="minorHAnsi" w:cstheme="minorBidi"/>
      <w:sz w:val="22"/>
      <w:szCs w:val="22"/>
      <w:lang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Bullet2">
    <w:name w:val="List Bullet 2"/>
    <w:basedOn w:val="Normal"/>
    <w:uiPriority w:val="8"/>
    <w:qFormat/>
    <w:rsid w:val="00FB7EA6"/>
    <w:pPr>
      <w:spacing w:before="120" w:after="120" w:line="240" w:lineRule="auto"/>
      <w:ind w:left="794" w:hanging="369"/>
      <w:contextualSpacing/>
    </w:pPr>
    <w:rPr>
      <w:color w:val="auto"/>
    </w:rPr>
  </w:style>
  <w:style w:type="paragraph" w:styleId="ListBullet4">
    <w:name w:val="List Bullet 4"/>
    <w:basedOn w:val="Normal"/>
    <w:uiPriority w:val="99"/>
    <w:unhideWhenUsed/>
    <w:rsid w:val="00FB7EA6"/>
    <w:pPr>
      <w:tabs>
        <w:tab w:val="num" w:pos="1209"/>
      </w:tabs>
      <w:spacing w:before="120" w:after="0" w:line="240" w:lineRule="auto"/>
      <w:ind w:left="1209" w:hanging="360"/>
      <w:contextualSpacing/>
    </w:pPr>
    <w:rPr>
      <w:color w:val="auto"/>
    </w:rPr>
  </w:style>
  <w:style w:type="paragraph" w:styleId="ListBullet3">
    <w:name w:val="List Bullet 3"/>
    <w:basedOn w:val="Normal"/>
    <w:uiPriority w:val="99"/>
    <w:unhideWhenUsed/>
    <w:rsid w:val="00FB7EA6"/>
    <w:pPr>
      <w:tabs>
        <w:tab w:val="num" w:pos="794"/>
      </w:tabs>
      <w:spacing w:before="120" w:after="0" w:line="240" w:lineRule="auto"/>
      <w:ind w:left="1219" w:hanging="425"/>
      <w:contextualSpacing/>
    </w:pPr>
    <w:rPr>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96749">
      <w:bodyDiv w:val="1"/>
      <w:marLeft w:val="0"/>
      <w:marRight w:val="0"/>
      <w:marTop w:val="0"/>
      <w:marBottom w:val="0"/>
      <w:divBdr>
        <w:top w:val="none" w:sz="0" w:space="0" w:color="auto"/>
        <w:left w:val="none" w:sz="0" w:space="0" w:color="auto"/>
        <w:bottom w:val="none" w:sz="0" w:space="0" w:color="auto"/>
        <w:right w:val="none" w:sz="0" w:space="0" w:color="auto"/>
      </w:divBdr>
    </w:div>
    <w:div w:id="63651492">
      <w:bodyDiv w:val="1"/>
      <w:marLeft w:val="0"/>
      <w:marRight w:val="0"/>
      <w:marTop w:val="0"/>
      <w:marBottom w:val="0"/>
      <w:divBdr>
        <w:top w:val="none" w:sz="0" w:space="0" w:color="auto"/>
        <w:left w:val="none" w:sz="0" w:space="0" w:color="auto"/>
        <w:bottom w:val="none" w:sz="0" w:space="0" w:color="auto"/>
        <w:right w:val="none" w:sz="0" w:space="0" w:color="auto"/>
      </w:divBdr>
    </w:div>
    <w:div w:id="205218312">
      <w:bodyDiv w:val="1"/>
      <w:marLeft w:val="0"/>
      <w:marRight w:val="0"/>
      <w:marTop w:val="0"/>
      <w:marBottom w:val="0"/>
      <w:divBdr>
        <w:top w:val="none" w:sz="0" w:space="0" w:color="auto"/>
        <w:left w:val="none" w:sz="0" w:space="0" w:color="auto"/>
        <w:bottom w:val="none" w:sz="0" w:space="0" w:color="auto"/>
        <w:right w:val="none" w:sz="0" w:space="0" w:color="auto"/>
      </w:divBdr>
    </w:div>
    <w:div w:id="316735939">
      <w:bodyDiv w:val="1"/>
      <w:marLeft w:val="0"/>
      <w:marRight w:val="0"/>
      <w:marTop w:val="0"/>
      <w:marBottom w:val="0"/>
      <w:divBdr>
        <w:top w:val="none" w:sz="0" w:space="0" w:color="auto"/>
        <w:left w:val="none" w:sz="0" w:space="0" w:color="auto"/>
        <w:bottom w:val="none" w:sz="0" w:space="0" w:color="auto"/>
        <w:right w:val="none" w:sz="0" w:space="0" w:color="auto"/>
      </w:divBdr>
    </w:div>
    <w:div w:id="334572691">
      <w:bodyDiv w:val="1"/>
      <w:marLeft w:val="0"/>
      <w:marRight w:val="0"/>
      <w:marTop w:val="0"/>
      <w:marBottom w:val="0"/>
      <w:divBdr>
        <w:top w:val="none" w:sz="0" w:space="0" w:color="auto"/>
        <w:left w:val="none" w:sz="0" w:space="0" w:color="auto"/>
        <w:bottom w:val="none" w:sz="0" w:space="0" w:color="auto"/>
        <w:right w:val="none" w:sz="0" w:space="0" w:color="auto"/>
      </w:divBdr>
      <w:divsChild>
        <w:div w:id="1487671064">
          <w:marLeft w:val="0"/>
          <w:marRight w:val="0"/>
          <w:marTop w:val="0"/>
          <w:marBottom w:val="0"/>
          <w:divBdr>
            <w:top w:val="none" w:sz="0" w:space="0" w:color="auto"/>
            <w:left w:val="none" w:sz="0" w:space="0" w:color="auto"/>
            <w:bottom w:val="none" w:sz="0" w:space="0" w:color="auto"/>
            <w:right w:val="none" w:sz="0" w:space="0" w:color="auto"/>
          </w:divBdr>
          <w:divsChild>
            <w:div w:id="1820228672">
              <w:marLeft w:val="0"/>
              <w:marRight w:val="0"/>
              <w:marTop w:val="0"/>
              <w:marBottom w:val="0"/>
              <w:divBdr>
                <w:top w:val="none" w:sz="0" w:space="0" w:color="auto"/>
                <w:left w:val="none" w:sz="0" w:space="0" w:color="auto"/>
                <w:bottom w:val="none" w:sz="0" w:space="0" w:color="auto"/>
                <w:right w:val="none" w:sz="0" w:space="0" w:color="auto"/>
              </w:divBdr>
              <w:divsChild>
                <w:div w:id="1250580052">
                  <w:marLeft w:val="0"/>
                  <w:marRight w:val="0"/>
                  <w:marTop w:val="0"/>
                  <w:marBottom w:val="0"/>
                  <w:divBdr>
                    <w:top w:val="none" w:sz="0" w:space="0" w:color="auto"/>
                    <w:left w:val="none" w:sz="0" w:space="0" w:color="auto"/>
                    <w:bottom w:val="none" w:sz="0" w:space="0" w:color="auto"/>
                    <w:right w:val="none" w:sz="0" w:space="0" w:color="auto"/>
                  </w:divBdr>
                  <w:divsChild>
                    <w:div w:id="2144345832">
                      <w:marLeft w:val="0"/>
                      <w:marRight w:val="0"/>
                      <w:marTop w:val="0"/>
                      <w:marBottom w:val="0"/>
                      <w:divBdr>
                        <w:top w:val="none" w:sz="0" w:space="0" w:color="auto"/>
                        <w:left w:val="none" w:sz="0" w:space="0" w:color="auto"/>
                        <w:bottom w:val="none" w:sz="0" w:space="0" w:color="auto"/>
                        <w:right w:val="none" w:sz="0" w:space="0" w:color="auto"/>
                      </w:divBdr>
                      <w:divsChild>
                        <w:div w:id="1778603154">
                          <w:marLeft w:val="0"/>
                          <w:marRight w:val="0"/>
                          <w:marTop w:val="0"/>
                          <w:marBottom w:val="0"/>
                          <w:divBdr>
                            <w:top w:val="none" w:sz="0" w:space="0" w:color="auto"/>
                            <w:left w:val="none" w:sz="0" w:space="0" w:color="auto"/>
                            <w:bottom w:val="none" w:sz="0" w:space="0" w:color="auto"/>
                            <w:right w:val="none" w:sz="0" w:space="0" w:color="auto"/>
                          </w:divBdr>
                          <w:divsChild>
                            <w:div w:id="730159533">
                              <w:marLeft w:val="0"/>
                              <w:marRight w:val="0"/>
                              <w:marTop w:val="0"/>
                              <w:marBottom w:val="0"/>
                              <w:divBdr>
                                <w:top w:val="none" w:sz="0" w:space="0" w:color="auto"/>
                                <w:left w:val="none" w:sz="0" w:space="0" w:color="auto"/>
                                <w:bottom w:val="none" w:sz="0" w:space="0" w:color="auto"/>
                                <w:right w:val="none" w:sz="0" w:space="0" w:color="auto"/>
                              </w:divBdr>
                              <w:divsChild>
                                <w:div w:id="1433358246">
                                  <w:marLeft w:val="0"/>
                                  <w:marRight w:val="0"/>
                                  <w:marTop w:val="0"/>
                                  <w:marBottom w:val="0"/>
                                  <w:divBdr>
                                    <w:top w:val="none" w:sz="0" w:space="0" w:color="auto"/>
                                    <w:left w:val="none" w:sz="0" w:space="0" w:color="auto"/>
                                    <w:bottom w:val="none" w:sz="0" w:space="0" w:color="auto"/>
                                    <w:right w:val="none" w:sz="0" w:space="0" w:color="auto"/>
                                  </w:divBdr>
                                  <w:divsChild>
                                    <w:div w:id="249240090">
                                      <w:marLeft w:val="0"/>
                                      <w:marRight w:val="0"/>
                                      <w:marTop w:val="0"/>
                                      <w:marBottom w:val="0"/>
                                      <w:divBdr>
                                        <w:top w:val="none" w:sz="0" w:space="0" w:color="auto"/>
                                        <w:left w:val="none" w:sz="0" w:space="0" w:color="auto"/>
                                        <w:bottom w:val="none" w:sz="0" w:space="0" w:color="auto"/>
                                        <w:right w:val="none" w:sz="0" w:space="0" w:color="auto"/>
                                      </w:divBdr>
                                      <w:divsChild>
                                        <w:div w:id="1375693899">
                                          <w:marLeft w:val="0"/>
                                          <w:marRight w:val="0"/>
                                          <w:marTop w:val="0"/>
                                          <w:marBottom w:val="0"/>
                                          <w:divBdr>
                                            <w:top w:val="none" w:sz="0" w:space="0" w:color="auto"/>
                                            <w:left w:val="none" w:sz="0" w:space="0" w:color="auto"/>
                                            <w:bottom w:val="none" w:sz="0" w:space="0" w:color="auto"/>
                                            <w:right w:val="none" w:sz="0" w:space="0" w:color="auto"/>
                                          </w:divBdr>
                                          <w:divsChild>
                                            <w:div w:id="222373916">
                                              <w:marLeft w:val="0"/>
                                              <w:marRight w:val="0"/>
                                              <w:marTop w:val="0"/>
                                              <w:marBottom w:val="0"/>
                                              <w:divBdr>
                                                <w:top w:val="none" w:sz="0" w:space="0" w:color="auto"/>
                                                <w:left w:val="none" w:sz="0" w:space="0" w:color="auto"/>
                                                <w:bottom w:val="none" w:sz="0" w:space="0" w:color="auto"/>
                                                <w:right w:val="none" w:sz="0" w:space="0" w:color="auto"/>
                                              </w:divBdr>
                                              <w:divsChild>
                                                <w:div w:id="1273635259">
                                                  <w:marLeft w:val="0"/>
                                                  <w:marRight w:val="0"/>
                                                  <w:marTop w:val="0"/>
                                                  <w:marBottom w:val="0"/>
                                                  <w:divBdr>
                                                    <w:top w:val="none" w:sz="0" w:space="0" w:color="auto"/>
                                                    <w:left w:val="none" w:sz="0" w:space="0" w:color="auto"/>
                                                    <w:bottom w:val="none" w:sz="0" w:space="0" w:color="auto"/>
                                                    <w:right w:val="none" w:sz="0" w:space="0" w:color="auto"/>
                                                  </w:divBdr>
                                                  <w:divsChild>
                                                    <w:div w:id="1673990471">
                                                      <w:marLeft w:val="0"/>
                                                      <w:marRight w:val="0"/>
                                                      <w:marTop w:val="0"/>
                                                      <w:marBottom w:val="0"/>
                                                      <w:divBdr>
                                                        <w:top w:val="none" w:sz="0" w:space="0" w:color="auto"/>
                                                        <w:left w:val="none" w:sz="0" w:space="0" w:color="auto"/>
                                                        <w:bottom w:val="none" w:sz="0" w:space="0" w:color="auto"/>
                                                        <w:right w:val="none" w:sz="0" w:space="0" w:color="auto"/>
                                                      </w:divBdr>
                                                      <w:divsChild>
                                                        <w:div w:id="28465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42524327">
      <w:bodyDiv w:val="1"/>
      <w:marLeft w:val="0"/>
      <w:marRight w:val="0"/>
      <w:marTop w:val="0"/>
      <w:marBottom w:val="0"/>
      <w:divBdr>
        <w:top w:val="none" w:sz="0" w:space="0" w:color="auto"/>
        <w:left w:val="none" w:sz="0" w:space="0" w:color="auto"/>
        <w:bottom w:val="none" w:sz="0" w:space="0" w:color="auto"/>
        <w:right w:val="none" w:sz="0" w:space="0" w:color="auto"/>
      </w:divBdr>
    </w:div>
    <w:div w:id="621495162">
      <w:bodyDiv w:val="1"/>
      <w:marLeft w:val="0"/>
      <w:marRight w:val="0"/>
      <w:marTop w:val="0"/>
      <w:marBottom w:val="0"/>
      <w:divBdr>
        <w:top w:val="none" w:sz="0" w:space="0" w:color="auto"/>
        <w:left w:val="none" w:sz="0" w:space="0" w:color="auto"/>
        <w:bottom w:val="none" w:sz="0" w:space="0" w:color="auto"/>
        <w:right w:val="none" w:sz="0" w:space="0" w:color="auto"/>
      </w:divBdr>
    </w:div>
    <w:div w:id="642127842">
      <w:bodyDiv w:val="1"/>
      <w:marLeft w:val="0"/>
      <w:marRight w:val="0"/>
      <w:marTop w:val="0"/>
      <w:marBottom w:val="0"/>
      <w:divBdr>
        <w:top w:val="none" w:sz="0" w:space="0" w:color="auto"/>
        <w:left w:val="none" w:sz="0" w:space="0" w:color="auto"/>
        <w:bottom w:val="none" w:sz="0" w:space="0" w:color="auto"/>
        <w:right w:val="none" w:sz="0" w:space="0" w:color="auto"/>
      </w:divBdr>
    </w:div>
    <w:div w:id="771434278">
      <w:bodyDiv w:val="1"/>
      <w:marLeft w:val="0"/>
      <w:marRight w:val="0"/>
      <w:marTop w:val="0"/>
      <w:marBottom w:val="0"/>
      <w:divBdr>
        <w:top w:val="none" w:sz="0" w:space="0" w:color="auto"/>
        <w:left w:val="none" w:sz="0" w:space="0" w:color="auto"/>
        <w:bottom w:val="none" w:sz="0" w:space="0" w:color="auto"/>
        <w:right w:val="none" w:sz="0" w:space="0" w:color="auto"/>
      </w:divBdr>
    </w:div>
    <w:div w:id="782648239">
      <w:bodyDiv w:val="1"/>
      <w:marLeft w:val="0"/>
      <w:marRight w:val="0"/>
      <w:marTop w:val="0"/>
      <w:marBottom w:val="0"/>
      <w:divBdr>
        <w:top w:val="none" w:sz="0" w:space="0" w:color="auto"/>
        <w:left w:val="none" w:sz="0" w:space="0" w:color="auto"/>
        <w:bottom w:val="none" w:sz="0" w:space="0" w:color="auto"/>
        <w:right w:val="none" w:sz="0" w:space="0" w:color="auto"/>
      </w:divBdr>
    </w:div>
    <w:div w:id="791092983">
      <w:bodyDiv w:val="1"/>
      <w:marLeft w:val="0"/>
      <w:marRight w:val="0"/>
      <w:marTop w:val="0"/>
      <w:marBottom w:val="0"/>
      <w:divBdr>
        <w:top w:val="none" w:sz="0" w:space="0" w:color="auto"/>
        <w:left w:val="none" w:sz="0" w:space="0" w:color="auto"/>
        <w:bottom w:val="none" w:sz="0" w:space="0" w:color="auto"/>
        <w:right w:val="none" w:sz="0" w:space="0" w:color="auto"/>
      </w:divBdr>
      <w:divsChild>
        <w:div w:id="15926694">
          <w:marLeft w:val="0"/>
          <w:marRight w:val="0"/>
          <w:marTop w:val="0"/>
          <w:marBottom w:val="0"/>
          <w:divBdr>
            <w:top w:val="none" w:sz="0" w:space="0" w:color="auto"/>
            <w:left w:val="none" w:sz="0" w:space="0" w:color="auto"/>
            <w:bottom w:val="none" w:sz="0" w:space="0" w:color="auto"/>
            <w:right w:val="none" w:sz="0" w:space="0" w:color="auto"/>
          </w:divBdr>
          <w:divsChild>
            <w:div w:id="1076320519">
              <w:marLeft w:val="0"/>
              <w:marRight w:val="0"/>
              <w:marTop w:val="0"/>
              <w:marBottom w:val="0"/>
              <w:divBdr>
                <w:top w:val="none" w:sz="0" w:space="0" w:color="auto"/>
                <w:left w:val="none" w:sz="0" w:space="0" w:color="auto"/>
                <w:bottom w:val="none" w:sz="0" w:space="0" w:color="auto"/>
                <w:right w:val="none" w:sz="0" w:space="0" w:color="auto"/>
              </w:divBdr>
              <w:divsChild>
                <w:div w:id="123890494">
                  <w:marLeft w:val="0"/>
                  <w:marRight w:val="0"/>
                  <w:marTop w:val="0"/>
                  <w:marBottom w:val="0"/>
                  <w:divBdr>
                    <w:top w:val="none" w:sz="0" w:space="0" w:color="auto"/>
                    <w:left w:val="none" w:sz="0" w:space="0" w:color="auto"/>
                    <w:bottom w:val="none" w:sz="0" w:space="0" w:color="auto"/>
                    <w:right w:val="none" w:sz="0" w:space="0" w:color="auto"/>
                  </w:divBdr>
                  <w:divsChild>
                    <w:div w:id="474952574">
                      <w:marLeft w:val="0"/>
                      <w:marRight w:val="0"/>
                      <w:marTop w:val="0"/>
                      <w:marBottom w:val="0"/>
                      <w:divBdr>
                        <w:top w:val="none" w:sz="0" w:space="0" w:color="auto"/>
                        <w:left w:val="none" w:sz="0" w:space="0" w:color="auto"/>
                        <w:bottom w:val="none" w:sz="0" w:space="0" w:color="auto"/>
                        <w:right w:val="none" w:sz="0" w:space="0" w:color="auto"/>
                      </w:divBdr>
                      <w:divsChild>
                        <w:div w:id="1898544341">
                          <w:marLeft w:val="0"/>
                          <w:marRight w:val="0"/>
                          <w:marTop w:val="0"/>
                          <w:marBottom w:val="0"/>
                          <w:divBdr>
                            <w:top w:val="none" w:sz="0" w:space="0" w:color="auto"/>
                            <w:left w:val="none" w:sz="0" w:space="0" w:color="auto"/>
                            <w:bottom w:val="none" w:sz="0" w:space="0" w:color="auto"/>
                            <w:right w:val="none" w:sz="0" w:space="0" w:color="auto"/>
                          </w:divBdr>
                          <w:divsChild>
                            <w:div w:id="1332757542">
                              <w:marLeft w:val="0"/>
                              <w:marRight w:val="0"/>
                              <w:marTop w:val="0"/>
                              <w:marBottom w:val="0"/>
                              <w:divBdr>
                                <w:top w:val="none" w:sz="0" w:space="0" w:color="auto"/>
                                <w:left w:val="none" w:sz="0" w:space="0" w:color="auto"/>
                                <w:bottom w:val="none" w:sz="0" w:space="0" w:color="auto"/>
                                <w:right w:val="none" w:sz="0" w:space="0" w:color="auto"/>
                              </w:divBdr>
                              <w:divsChild>
                                <w:div w:id="951475238">
                                  <w:marLeft w:val="0"/>
                                  <w:marRight w:val="0"/>
                                  <w:marTop w:val="0"/>
                                  <w:marBottom w:val="0"/>
                                  <w:divBdr>
                                    <w:top w:val="none" w:sz="0" w:space="0" w:color="auto"/>
                                    <w:left w:val="none" w:sz="0" w:space="0" w:color="auto"/>
                                    <w:bottom w:val="none" w:sz="0" w:space="0" w:color="auto"/>
                                    <w:right w:val="none" w:sz="0" w:space="0" w:color="auto"/>
                                  </w:divBdr>
                                  <w:divsChild>
                                    <w:div w:id="943926457">
                                      <w:marLeft w:val="0"/>
                                      <w:marRight w:val="0"/>
                                      <w:marTop w:val="0"/>
                                      <w:marBottom w:val="0"/>
                                      <w:divBdr>
                                        <w:top w:val="none" w:sz="0" w:space="0" w:color="auto"/>
                                        <w:left w:val="none" w:sz="0" w:space="0" w:color="auto"/>
                                        <w:bottom w:val="none" w:sz="0" w:space="0" w:color="auto"/>
                                        <w:right w:val="none" w:sz="0" w:space="0" w:color="auto"/>
                                      </w:divBdr>
                                      <w:divsChild>
                                        <w:div w:id="1384139716">
                                          <w:marLeft w:val="0"/>
                                          <w:marRight w:val="0"/>
                                          <w:marTop w:val="0"/>
                                          <w:marBottom w:val="0"/>
                                          <w:divBdr>
                                            <w:top w:val="none" w:sz="0" w:space="0" w:color="auto"/>
                                            <w:left w:val="none" w:sz="0" w:space="0" w:color="auto"/>
                                            <w:bottom w:val="none" w:sz="0" w:space="0" w:color="auto"/>
                                            <w:right w:val="none" w:sz="0" w:space="0" w:color="auto"/>
                                          </w:divBdr>
                                          <w:divsChild>
                                            <w:div w:id="297880416">
                                              <w:marLeft w:val="0"/>
                                              <w:marRight w:val="0"/>
                                              <w:marTop w:val="0"/>
                                              <w:marBottom w:val="0"/>
                                              <w:divBdr>
                                                <w:top w:val="none" w:sz="0" w:space="0" w:color="auto"/>
                                                <w:left w:val="none" w:sz="0" w:space="0" w:color="auto"/>
                                                <w:bottom w:val="none" w:sz="0" w:space="0" w:color="auto"/>
                                                <w:right w:val="none" w:sz="0" w:space="0" w:color="auto"/>
                                              </w:divBdr>
                                              <w:divsChild>
                                                <w:div w:id="13305617">
                                                  <w:marLeft w:val="0"/>
                                                  <w:marRight w:val="0"/>
                                                  <w:marTop w:val="0"/>
                                                  <w:marBottom w:val="0"/>
                                                  <w:divBdr>
                                                    <w:top w:val="none" w:sz="0" w:space="0" w:color="auto"/>
                                                    <w:left w:val="none" w:sz="0" w:space="0" w:color="auto"/>
                                                    <w:bottom w:val="none" w:sz="0" w:space="0" w:color="auto"/>
                                                    <w:right w:val="none" w:sz="0" w:space="0" w:color="auto"/>
                                                  </w:divBdr>
                                                  <w:divsChild>
                                                    <w:div w:id="464930120">
                                                      <w:marLeft w:val="0"/>
                                                      <w:marRight w:val="0"/>
                                                      <w:marTop w:val="0"/>
                                                      <w:marBottom w:val="0"/>
                                                      <w:divBdr>
                                                        <w:top w:val="none" w:sz="0" w:space="0" w:color="auto"/>
                                                        <w:left w:val="none" w:sz="0" w:space="0" w:color="auto"/>
                                                        <w:bottom w:val="none" w:sz="0" w:space="0" w:color="auto"/>
                                                        <w:right w:val="none" w:sz="0" w:space="0" w:color="auto"/>
                                                      </w:divBdr>
                                                      <w:divsChild>
                                                        <w:div w:id="177459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02638873">
      <w:bodyDiv w:val="1"/>
      <w:marLeft w:val="0"/>
      <w:marRight w:val="0"/>
      <w:marTop w:val="0"/>
      <w:marBottom w:val="0"/>
      <w:divBdr>
        <w:top w:val="none" w:sz="0" w:space="0" w:color="auto"/>
        <w:left w:val="none" w:sz="0" w:space="0" w:color="auto"/>
        <w:bottom w:val="none" w:sz="0" w:space="0" w:color="auto"/>
        <w:right w:val="none" w:sz="0" w:space="0" w:color="auto"/>
      </w:divBdr>
      <w:divsChild>
        <w:div w:id="1783919982">
          <w:marLeft w:val="0"/>
          <w:marRight w:val="0"/>
          <w:marTop w:val="0"/>
          <w:marBottom w:val="0"/>
          <w:divBdr>
            <w:top w:val="none" w:sz="0" w:space="0" w:color="auto"/>
            <w:left w:val="none" w:sz="0" w:space="0" w:color="auto"/>
            <w:bottom w:val="none" w:sz="0" w:space="0" w:color="auto"/>
            <w:right w:val="none" w:sz="0" w:space="0" w:color="auto"/>
          </w:divBdr>
          <w:divsChild>
            <w:div w:id="61298623">
              <w:marLeft w:val="0"/>
              <w:marRight w:val="0"/>
              <w:marTop w:val="0"/>
              <w:marBottom w:val="0"/>
              <w:divBdr>
                <w:top w:val="none" w:sz="0" w:space="0" w:color="auto"/>
                <w:left w:val="none" w:sz="0" w:space="0" w:color="auto"/>
                <w:bottom w:val="none" w:sz="0" w:space="0" w:color="auto"/>
                <w:right w:val="none" w:sz="0" w:space="0" w:color="auto"/>
              </w:divBdr>
              <w:divsChild>
                <w:div w:id="2036880430">
                  <w:marLeft w:val="0"/>
                  <w:marRight w:val="0"/>
                  <w:marTop w:val="0"/>
                  <w:marBottom w:val="0"/>
                  <w:divBdr>
                    <w:top w:val="none" w:sz="0" w:space="0" w:color="auto"/>
                    <w:left w:val="none" w:sz="0" w:space="0" w:color="auto"/>
                    <w:bottom w:val="none" w:sz="0" w:space="0" w:color="auto"/>
                    <w:right w:val="none" w:sz="0" w:space="0" w:color="auto"/>
                  </w:divBdr>
                  <w:divsChild>
                    <w:div w:id="64567810">
                      <w:marLeft w:val="0"/>
                      <w:marRight w:val="0"/>
                      <w:marTop w:val="0"/>
                      <w:marBottom w:val="0"/>
                      <w:divBdr>
                        <w:top w:val="none" w:sz="0" w:space="0" w:color="auto"/>
                        <w:left w:val="none" w:sz="0" w:space="0" w:color="auto"/>
                        <w:bottom w:val="none" w:sz="0" w:space="0" w:color="auto"/>
                        <w:right w:val="none" w:sz="0" w:space="0" w:color="auto"/>
                      </w:divBdr>
                      <w:divsChild>
                        <w:div w:id="2090349501">
                          <w:marLeft w:val="0"/>
                          <w:marRight w:val="0"/>
                          <w:marTop w:val="0"/>
                          <w:marBottom w:val="0"/>
                          <w:divBdr>
                            <w:top w:val="none" w:sz="0" w:space="0" w:color="auto"/>
                            <w:left w:val="none" w:sz="0" w:space="0" w:color="auto"/>
                            <w:bottom w:val="none" w:sz="0" w:space="0" w:color="auto"/>
                            <w:right w:val="none" w:sz="0" w:space="0" w:color="auto"/>
                          </w:divBdr>
                          <w:divsChild>
                            <w:div w:id="258147775">
                              <w:marLeft w:val="0"/>
                              <w:marRight w:val="0"/>
                              <w:marTop w:val="0"/>
                              <w:marBottom w:val="0"/>
                              <w:divBdr>
                                <w:top w:val="none" w:sz="0" w:space="0" w:color="auto"/>
                                <w:left w:val="none" w:sz="0" w:space="0" w:color="auto"/>
                                <w:bottom w:val="none" w:sz="0" w:space="0" w:color="auto"/>
                                <w:right w:val="none" w:sz="0" w:space="0" w:color="auto"/>
                              </w:divBdr>
                              <w:divsChild>
                                <w:div w:id="1471363093">
                                  <w:marLeft w:val="0"/>
                                  <w:marRight w:val="0"/>
                                  <w:marTop w:val="0"/>
                                  <w:marBottom w:val="0"/>
                                  <w:divBdr>
                                    <w:top w:val="none" w:sz="0" w:space="0" w:color="auto"/>
                                    <w:left w:val="none" w:sz="0" w:space="0" w:color="auto"/>
                                    <w:bottom w:val="none" w:sz="0" w:space="0" w:color="auto"/>
                                    <w:right w:val="none" w:sz="0" w:space="0" w:color="auto"/>
                                  </w:divBdr>
                                  <w:divsChild>
                                    <w:div w:id="779763682">
                                      <w:marLeft w:val="0"/>
                                      <w:marRight w:val="0"/>
                                      <w:marTop w:val="0"/>
                                      <w:marBottom w:val="0"/>
                                      <w:divBdr>
                                        <w:top w:val="none" w:sz="0" w:space="0" w:color="auto"/>
                                        <w:left w:val="none" w:sz="0" w:space="0" w:color="auto"/>
                                        <w:bottom w:val="none" w:sz="0" w:space="0" w:color="auto"/>
                                        <w:right w:val="none" w:sz="0" w:space="0" w:color="auto"/>
                                      </w:divBdr>
                                      <w:divsChild>
                                        <w:div w:id="1385786960">
                                          <w:marLeft w:val="0"/>
                                          <w:marRight w:val="0"/>
                                          <w:marTop w:val="0"/>
                                          <w:marBottom w:val="0"/>
                                          <w:divBdr>
                                            <w:top w:val="none" w:sz="0" w:space="0" w:color="auto"/>
                                            <w:left w:val="none" w:sz="0" w:space="0" w:color="auto"/>
                                            <w:bottom w:val="none" w:sz="0" w:space="0" w:color="auto"/>
                                            <w:right w:val="none" w:sz="0" w:space="0" w:color="auto"/>
                                          </w:divBdr>
                                          <w:divsChild>
                                            <w:div w:id="1858961092">
                                              <w:marLeft w:val="0"/>
                                              <w:marRight w:val="0"/>
                                              <w:marTop w:val="0"/>
                                              <w:marBottom w:val="0"/>
                                              <w:divBdr>
                                                <w:top w:val="none" w:sz="0" w:space="0" w:color="auto"/>
                                                <w:left w:val="none" w:sz="0" w:space="0" w:color="auto"/>
                                                <w:bottom w:val="none" w:sz="0" w:space="0" w:color="auto"/>
                                                <w:right w:val="none" w:sz="0" w:space="0" w:color="auto"/>
                                              </w:divBdr>
                                              <w:divsChild>
                                                <w:div w:id="439762584">
                                                  <w:marLeft w:val="0"/>
                                                  <w:marRight w:val="0"/>
                                                  <w:marTop w:val="0"/>
                                                  <w:marBottom w:val="0"/>
                                                  <w:divBdr>
                                                    <w:top w:val="none" w:sz="0" w:space="0" w:color="auto"/>
                                                    <w:left w:val="none" w:sz="0" w:space="0" w:color="auto"/>
                                                    <w:bottom w:val="none" w:sz="0" w:space="0" w:color="auto"/>
                                                    <w:right w:val="none" w:sz="0" w:space="0" w:color="auto"/>
                                                  </w:divBdr>
                                                  <w:divsChild>
                                                    <w:div w:id="704672293">
                                                      <w:marLeft w:val="0"/>
                                                      <w:marRight w:val="0"/>
                                                      <w:marTop w:val="0"/>
                                                      <w:marBottom w:val="0"/>
                                                      <w:divBdr>
                                                        <w:top w:val="none" w:sz="0" w:space="0" w:color="auto"/>
                                                        <w:left w:val="none" w:sz="0" w:space="0" w:color="auto"/>
                                                        <w:bottom w:val="none" w:sz="0" w:space="0" w:color="auto"/>
                                                        <w:right w:val="none" w:sz="0" w:space="0" w:color="auto"/>
                                                      </w:divBdr>
                                                      <w:divsChild>
                                                        <w:div w:id="29557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31036207">
      <w:bodyDiv w:val="1"/>
      <w:marLeft w:val="0"/>
      <w:marRight w:val="0"/>
      <w:marTop w:val="0"/>
      <w:marBottom w:val="0"/>
      <w:divBdr>
        <w:top w:val="none" w:sz="0" w:space="0" w:color="auto"/>
        <w:left w:val="none" w:sz="0" w:space="0" w:color="auto"/>
        <w:bottom w:val="none" w:sz="0" w:space="0" w:color="auto"/>
        <w:right w:val="none" w:sz="0" w:space="0" w:color="auto"/>
      </w:divBdr>
    </w:div>
    <w:div w:id="1039627153">
      <w:bodyDiv w:val="1"/>
      <w:marLeft w:val="0"/>
      <w:marRight w:val="0"/>
      <w:marTop w:val="0"/>
      <w:marBottom w:val="0"/>
      <w:divBdr>
        <w:top w:val="none" w:sz="0" w:space="0" w:color="auto"/>
        <w:left w:val="none" w:sz="0" w:space="0" w:color="auto"/>
        <w:bottom w:val="none" w:sz="0" w:space="0" w:color="auto"/>
        <w:right w:val="none" w:sz="0" w:space="0" w:color="auto"/>
      </w:divBdr>
    </w:div>
    <w:div w:id="1047876170">
      <w:bodyDiv w:val="1"/>
      <w:marLeft w:val="0"/>
      <w:marRight w:val="0"/>
      <w:marTop w:val="0"/>
      <w:marBottom w:val="0"/>
      <w:divBdr>
        <w:top w:val="none" w:sz="0" w:space="0" w:color="auto"/>
        <w:left w:val="none" w:sz="0" w:space="0" w:color="auto"/>
        <w:bottom w:val="none" w:sz="0" w:space="0" w:color="auto"/>
        <w:right w:val="none" w:sz="0" w:space="0" w:color="auto"/>
      </w:divBdr>
    </w:div>
    <w:div w:id="1188831649">
      <w:bodyDiv w:val="1"/>
      <w:marLeft w:val="0"/>
      <w:marRight w:val="0"/>
      <w:marTop w:val="0"/>
      <w:marBottom w:val="0"/>
      <w:divBdr>
        <w:top w:val="none" w:sz="0" w:space="0" w:color="auto"/>
        <w:left w:val="none" w:sz="0" w:space="0" w:color="auto"/>
        <w:bottom w:val="none" w:sz="0" w:space="0" w:color="auto"/>
        <w:right w:val="none" w:sz="0" w:space="0" w:color="auto"/>
      </w:divBdr>
    </w:div>
    <w:div w:id="1203320866">
      <w:bodyDiv w:val="1"/>
      <w:marLeft w:val="0"/>
      <w:marRight w:val="0"/>
      <w:marTop w:val="0"/>
      <w:marBottom w:val="0"/>
      <w:divBdr>
        <w:top w:val="none" w:sz="0" w:space="0" w:color="auto"/>
        <w:left w:val="none" w:sz="0" w:space="0" w:color="auto"/>
        <w:bottom w:val="none" w:sz="0" w:space="0" w:color="auto"/>
        <w:right w:val="none" w:sz="0" w:space="0" w:color="auto"/>
      </w:divBdr>
    </w:div>
    <w:div w:id="1214662338">
      <w:bodyDiv w:val="1"/>
      <w:marLeft w:val="0"/>
      <w:marRight w:val="0"/>
      <w:marTop w:val="0"/>
      <w:marBottom w:val="0"/>
      <w:divBdr>
        <w:top w:val="none" w:sz="0" w:space="0" w:color="auto"/>
        <w:left w:val="none" w:sz="0" w:space="0" w:color="auto"/>
        <w:bottom w:val="none" w:sz="0" w:space="0" w:color="auto"/>
        <w:right w:val="none" w:sz="0" w:space="0" w:color="auto"/>
      </w:divBdr>
    </w:div>
    <w:div w:id="1265923795">
      <w:bodyDiv w:val="1"/>
      <w:marLeft w:val="0"/>
      <w:marRight w:val="0"/>
      <w:marTop w:val="0"/>
      <w:marBottom w:val="0"/>
      <w:divBdr>
        <w:top w:val="none" w:sz="0" w:space="0" w:color="auto"/>
        <w:left w:val="none" w:sz="0" w:space="0" w:color="auto"/>
        <w:bottom w:val="none" w:sz="0" w:space="0" w:color="auto"/>
        <w:right w:val="none" w:sz="0" w:space="0" w:color="auto"/>
      </w:divBdr>
    </w:div>
    <w:div w:id="1289555631">
      <w:bodyDiv w:val="1"/>
      <w:marLeft w:val="0"/>
      <w:marRight w:val="0"/>
      <w:marTop w:val="0"/>
      <w:marBottom w:val="0"/>
      <w:divBdr>
        <w:top w:val="none" w:sz="0" w:space="0" w:color="auto"/>
        <w:left w:val="none" w:sz="0" w:space="0" w:color="auto"/>
        <w:bottom w:val="none" w:sz="0" w:space="0" w:color="auto"/>
        <w:right w:val="none" w:sz="0" w:space="0" w:color="auto"/>
      </w:divBdr>
    </w:div>
    <w:div w:id="1462461892">
      <w:bodyDiv w:val="1"/>
      <w:marLeft w:val="0"/>
      <w:marRight w:val="0"/>
      <w:marTop w:val="0"/>
      <w:marBottom w:val="0"/>
      <w:divBdr>
        <w:top w:val="none" w:sz="0" w:space="0" w:color="auto"/>
        <w:left w:val="none" w:sz="0" w:space="0" w:color="auto"/>
        <w:bottom w:val="none" w:sz="0" w:space="0" w:color="auto"/>
        <w:right w:val="none" w:sz="0" w:space="0" w:color="auto"/>
      </w:divBdr>
    </w:div>
    <w:div w:id="1654094329">
      <w:bodyDiv w:val="1"/>
      <w:marLeft w:val="0"/>
      <w:marRight w:val="0"/>
      <w:marTop w:val="0"/>
      <w:marBottom w:val="0"/>
      <w:divBdr>
        <w:top w:val="none" w:sz="0" w:space="0" w:color="auto"/>
        <w:left w:val="none" w:sz="0" w:space="0" w:color="auto"/>
        <w:bottom w:val="none" w:sz="0" w:space="0" w:color="auto"/>
        <w:right w:val="none" w:sz="0" w:space="0" w:color="auto"/>
      </w:divBdr>
    </w:div>
    <w:div w:id="1761637961">
      <w:bodyDiv w:val="1"/>
      <w:marLeft w:val="0"/>
      <w:marRight w:val="0"/>
      <w:marTop w:val="0"/>
      <w:marBottom w:val="0"/>
      <w:divBdr>
        <w:top w:val="none" w:sz="0" w:space="0" w:color="auto"/>
        <w:left w:val="none" w:sz="0" w:space="0" w:color="auto"/>
        <w:bottom w:val="none" w:sz="0" w:space="0" w:color="auto"/>
        <w:right w:val="none" w:sz="0" w:space="0" w:color="auto"/>
      </w:divBdr>
    </w:div>
    <w:div w:id="1898858178">
      <w:bodyDiv w:val="1"/>
      <w:marLeft w:val="0"/>
      <w:marRight w:val="0"/>
      <w:marTop w:val="0"/>
      <w:marBottom w:val="0"/>
      <w:divBdr>
        <w:top w:val="none" w:sz="0" w:space="0" w:color="auto"/>
        <w:left w:val="none" w:sz="0" w:space="0" w:color="auto"/>
        <w:bottom w:val="none" w:sz="0" w:space="0" w:color="auto"/>
        <w:right w:val="none" w:sz="0" w:space="0" w:color="auto"/>
      </w:divBdr>
    </w:div>
    <w:div w:id="1909150398">
      <w:bodyDiv w:val="1"/>
      <w:marLeft w:val="0"/>
      <w:marRight w:val="0"/>
      <w:marTop w:val="0"/>
      <w:marBottom w:val="0"/>
      <w:divBdr>
        <w:top w:val="none" w:sz="0" w:space="0" w:color="auto"/>
        <w:left w:val="none" w:sz="0" w:space="0" w:color="auto"/>
        <w:bottom w:val="none" w:sz="0" w:space="0" w:color="auto"/>
        <w:right w:val="none" w:sz="0" w:space="0" w:color="auto"/>
      </w:divBdr>
    </w:div>
    <w:div w:id="1948386047">
      <w:bodyDiv w:val="1"/>
      <w:marLeft w:val="0"/>
      <w:marRight w:val="0"/>
      <w:marTop w:val="0"/>
      <w:marBottom w:val="0"/>
      <w:divBdr>
        <w:top w:val="none" w:sz="0" w:space="0" w:color="auto"/>
        <w:left w:val="none" w:sz="0" w:space="0" w:color="auto"/>
        <w:bottom w:val="none" w:sz="0" w:space="0" w:color="auto"/>
        <w:right w:val="none" w:sz="0" w:space="0" w:color="auto"/>
      </w:divBdr>
    </w:div>
    <w:div w:id="1954897750">
      <w:bodyDiv w:val="1"/>
      <w:marLeft w:val="0"/>
      <w:marRight w:val="0"/>
      <w:marTop w:val="0"/>
      <w:marBottom w:val="0"/>
      <w:divBdr>
        <w:top w:val="none" w:sz="0" w:space="0" w:color="auto"/>
        <w:left w:val="none" w:sz="0" w:space="0" w:color="auto"/>
        <w:bottom w:val="none" w:sz="0" w:space="0" w:color="auto"/>
        <w:right w:val="none" w:sz="0" w:space="0" w:color="auto"/>
      </w:divBdr>
    </w:div>
    <w:div w:id="1981690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agriculture.gov.au/abares/publications" TargetMode="External"/><Relationship Id="rId18" Type="http://schemas.openxmlformats.org/officeDocument/2006/relationships/footer" Target="footer1.xml"/><Relationship Id="rId26" Type="http://schemas.openxmlformats.org/officeDocument/2006/relationships/image" Target="media/image11.png"/><Relationship Id="rId39" Type="http://schemas.openxmlformats.org/officeDocument/2006/relationships/hyperlink" Target="http://qpc.qld.gov.au/files/uploads/2015/10/Australian-Sugar-Milling-Council-Submission.pdf" TargetMode="External"/><Relationship Id="rId21" Type="http://schemas.openxmlformats.org/officeDocument/2006/relationships/image" Target="media/image6.png"/><Relationship Id="rId34" Type="http://schemas.openxmlformats.org/officeDocument/2006/relationships/hyperlink" Target="mailto:abs.gov.au/AUSSTATS/abs@.nsf/Lookup/6461.0Appendix12011" TargetMode="External"/><Relationship Id="rId42" Type="http://schemas.openxmlformats.org/officeDocument/2006/relationships/hyperlink" Target="http://www.qsl.com.au/sites/default/files/QSL%20FO%20Licht%20presentation%20China%20Sept%202011.pdf" TargetMode="External"/><Relationship Id="rId47" Type="http://schemas.openxmlformats.org/officeDocument/2006/relationships/hyperlink" Target="http://gofutures.com/pdfs/sugar-futures-options.pdf" TargetMode="External"/><Relationship Id="rId50" Type="http://schemas.openxmlformats.org/officeDocument/2006/relationships/hyperlink" Target="http://www.qsl.com.au/media-publications/annual-reports" TargetMode="External"/><Relationship Id="rId55" Type="http://schemas.openxmlformats.org/officeDocument/2006/relationships/hyperlink" Target="http://tiq.qld.gov.au/wp-content/uploads/2015/08/TIQ-782-14-KAFTA-flyer-EndOpps.pdf" TargetMode="External"/><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copyright@agriculture.gov.au" TargetMode="External"/><Relationship Id="rId29" Type="http://schemas.openxmlformats.org/officeDocument/2006/relationships/hyperlink" Target="http://www.agriculture.gov.au/abares/publication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reativecommons.org/licenses/by/3.0/au/deed.en" TargetMode="External"/><Relationship Id="rId24" Type="http://schemas.openxmlformats.org/officeDocument/2006/relationships/image" Target="media/image9.png"/><Relationship Id="rId32" Type="http://schemas.openxmlformats.org/officeDocument/2006/relationships/hyperlink" Target="mailto:abs.gov.au/AUSSTATS/abs@.nsf/productsbyCatalogue/E0E5015B73608361CA25756D0013AF9F?OpenDocument" TargetMode="External"/><Relationship Id="rId37" Type="http://schemas.openxmlformats.org/officeDocument/2006/relationships/hyperlink" Target="http://asmc.com.au/industry-overview/" TargetMode="External"/><Relationship Id="rId40" Type="http://schemas.openxmlformats.org/officeDocument/2006/relationships/hyperlink" Target="http://www.aph.gov.au/Parliamentary_Business/Committees/Senate/Rural_and_Regional_Affairs_and_Transport/Sugar/Submissions" TargetMode="External"/><Relationship Id="rId45" Type="http://schemas.openxmlformats.org/officeDocument/2006/relationships/hyperlink" Target="https://www.theice.com/publicdocs/ICE_Sugar_Brochure.pdf" TargetMode="External"/><Relationship Id="rId53" Type="http://schemas.openxmlformats.org/officeDocument/2006/relationships/hyperlink" Target="http://www.qtlc.com.au/" TargetMode="External"/><Relationship Id="rId58" Type="http://schemas.openxmlformats.org/officeDocument/2006/relationships/hyperlink" Target="https://www.ers.usda.gov/data-products/price-spreads-from-farm-to-consumer/documentation/"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agriculture.gov.au/abares/" TargetMode="External"/><Relationship Id="rId23" Type="http://schemas.openxmlformats.org/officeDocument/2006/relationships/image" Target="media/image8.png"/><Relationship Id="rId28" Type="http://schemas.openxmlformats.org/officeDocument/2006/relationships/hyperlink" Target="http://www.agriculture.gov.au/abares/publications/" TargetMode="External"/><Relationship Id="rId36" Type="http://schemas.openxmlformats.org/officeDocument/2006/relationships/hyperlink" Target="http://asmc.com.au/wp-content/uploads/2013/08/AEC-Combined-Submission.pdf" TargetMode="External"/><Relationship Id="rId49" Type="http://schemas.openxmlformats.org/officeDocument/2006/relationships/hyperlink" Target="http://qpc.qld.gov.au/files/uploads/2015/11/Sugar-RIS-FINAL.pdf" TargetMode="External"/><Relationship Id="rId57" Type="http://schemas.openxmlformats.org/officeDocument/2006/relationships/hyperlink" Target="https://www.ers.usda.gov/data-products/price-spreads-from-farm-to-consumer.aspx" TargetMode="External"/><Relationship Id="rId61"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4.png"/><Relationship Id="rId31" Type="http://schemas.openxmlformats.org/officeDocument/2006/relationships/hyperlink" Target="http://www.agriculture.gov.au/abares/publications/" TargetMode="External"/><Relationship Id="rId44" Type="http://schemas.openxmlformats.org/officeDocument/2006/relationships/hyperlink" Target="http://qpc.qld.gov.au/files/uploads/2015/10/Canegrowers-and-Australian-Cane-Farmers-Association-Joint-Submission.pdf" TargetMode="External"/><Relationship Id="rId52" Type="http://schemas.openxmlformats.org/officeDocument/2006/relationships/hyperlink" Target="http://www.qsl.com.au/sites/default/files/QSL%20RSSA%20Marketing%20Guide.pdf" TargetMode="External"/><Relationship Id="rId60" Type="http://schemas.openxmlformats.org/officeDocument/2006/relationships/header" Target="header2.xml"/><Relationship Id="rId65"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info.abares@agriculture.gov.au" TargetMode="External"/><Relationship Id="rId22" Type="http://schemas.openxmlformats.org/officeDocument/2006/relationships/image" Target="media/image7.png"/><Relationship Id="rId27" Type="http://schemas.openxmlformats.org/officeDocument/2006/relationships/hyperlink" Target="http://www.agriculture.gov.au/abares/publications/" TargetMode="External"/><Relationship Id="rId30" Type="http://schemas.openxmlformats.org/officeDocument/2006/relationships/hyperlink" Target="http://www.agriculture.gov.au/abares/publications/" TargetMode="External"/><Relationship Id="rId35" Type="http://schemas.openxmlformats.org/officeDocument/2006/relationships/hyperlink" Target="http://www.assct.org/journal/JASSCT%20PDF%20Files/volume%2024/M03-03%20Albertson%20final.pdf" TargetMode="External"/><Relationship Id="rId43" Type="http://schemas.openxmlformats.org/officeDocument/2006/relationships/hyperlink" Target="http://www.canegrowers.com.au/page/Industry_Centre/About_Us/statistics-facts-figures/" TargetMode="External"/><Relationship Id="rId48" Type="http://schemas.openxmlformats.org/officeDocument/2006/relationships/hyperlink" Target="http://www.pc.gov.au/inquiries/completed/agriculture/report/agriculture.pdf" TargetMode="External"/><Relationship Id="rId56" Type="http://schemas.openxmlformats.org/officeDocument/2006/relationships/hyperlink" Target="http://www.ers.usda.gov/data-products/sugar-and-sweeteners-yearbook-tables.aspx" TargetMode="External"/><Relationship Id="rId64" Type="http://schemas.openxmlformats.org/officeDocument/2006/relationships/header" Target="header4.xml"/><Relationship Id="rId8" Type="http://schemas.openxmlformats.org/officeDocument/2006/relationships/image" Target="media/image1.jpg"/><Relationship Id="rId51" Type="http://schemas.openxmlformats.org/officeDocument/2006/relationships/hyperlink" Target="http://www.qsl.com.au/sites/default/files/2016%20Shared%20Pool.pdf" TargetMode="External"/><Relationship Id="rId3" Type="http://schemas.openxmlformats.org/officeDocument/2006/relationships/styles" Target="styles.xml"/><Relationship Id="rId12" Type="http://schemas.openxmlformats.org/officeDocument/2006/relationships/hyperlink" Target="http://creativecommons.org/licenses/by/3.0/au/legalcode" TargetMode="External"/><Relationship Id="rId17" Type="http://schemas.openxmlformats.org/officeDocument/2006/relationships/header" Target="header1.xml"/><Relationship Id="rId25" Type="http://schemas.openxmlformats.org/officeDocument/2006/relationships/image" Target="media/image10.png"/><Relationship Id="rId33" Type="http://schemas.openxmlformats.org/officeDocument/2006/relationships/hyperlink" Target="mailto:abs.gov.au/ausstats/abs@.nsf/mf/6403.0.55.001" TargetMode="External"/><Relationship Id="rId38" Type="http://schemas.openxmlformats.org/officeDocument/2006/relationships/hyperlink" Target="http://asmc.com.au/industry-overview/fact-sheets/" TargetMode="External"/><Relationship Id="rId46" Type="http://schemas.openxmlformats.org/officeDocument/2006/relationships/hyperlink" Target="http://www.pc.gov.au/inquiries/completed/sugar/19sugar.pdf" TargetMode="External"/><Relationship Id="rId59" Type="http://schemas.openxmlformats.org/officeDocument/2006/relationships/hyperlink" Target="http://www.aph.gov.au/Parliamentary_Business/Committees/Senate/Rural_and_Regional_Affairs_and_Transport/Sugar/Submissions" TargetMode="External"/><Relationship Id="rId67"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hyperlink" Target="http://bitre.gov.au/publications/index.aspx" TargetMode="External"/><Relationship Id="rId54" Type="http://schemas.openxmlformats.org/officeDocument/2006/relationships/hyperlink" Target="http://nswsugar.com.au/" TargetMode="External"/><Relationship Id="rId6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7D7302-B35A-46F8-8D57-C82B85240F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30</Pages>
  <Words>10724</Words>
  <Characters>61131</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ABARES report template</vt:lpstr>
    </vt:vector>
  </TitlesOfParts>
  <Company>Reading Room Australia</Company>
  <LinksUpToDate>false</LinksUpToDate>
  <CharactersWithSpaces>71712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ABARES report template</dc:title>
  <dc:creator>Goesch, Tim</dc:creator>
  <cp:lastModifiedBy>Goesch, Tim</cp:lastModifiedBy>
  <cp:revision>15</cp:revision>
  <cp:lastPrinted>2017-06-18T22:16:00Z</cp:lastPrinted>
  <dcterms:created xsi:type="dcterms:W3CDTF">2017-07-13T22:08:00Z</dcterms:created>
  <dcterms:modified xsi:type="dcterms:W3CDTF">2017-07-21T05:35:00Z</dcterms:modified>
  <cp:contentStatus>May 2016</cp:contentStatus>
</cp:coreProperties>
</file>