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t>Respuesta a la Pregunta 1: Análisis de Trade-offs (N-Capas vs. Clean/Onion/Hexagonal)</w:t>
      </w:r>
    </w:p>
    <w:p>
      <w:pPr>
        <w:pStyle w:val="TextBody"/>
        <w:bidi w:val="0"/>
        <w:spacing w:lineRule="auto" w:line="276" w:before="0" w:after="140"/>
        <w:jc w:val="left"/>
        <w:rPr/>
      </w:pPr>
      <w:r>
        <w:rPr>
          <w:rStyle w:val="StrongEmphasis"/>
        </w:rPr>
        <w:t>Identificación del error de acoplamiento</w:t>
      </w:r>
      <w:r>
        <w:rPr/>
        <w:br/>
        <w:t xml:space="preserve">El equipo de desarrollo ha caído en el error fundamental de acoplamiento que caracteriza a las implementaciones rígidas de la Arquitectura N-Capas tradicional: </w:t>
      </w:r>
      <w:r>
        <w:rPr>
          <w:rStyle w:val="StrongEmphasis"/>
        </w:rPr>
        <w:t>la dependencia del flujo de control y de las capas externas hacia las internas</w:t>
      </w:r>
      <w:r>
        <w:rPr/>
        <w:t>. En este diseño, la capa de negocio (el núcleo) depende directamente de la capa de datos (base de datos SQL Server) y de la capa de presentación. Esto viola el principio de inversión de dependencias, ya que el núcleo de negocio, que contiene las reglas más valiosas y estables del sistema, está acoplado a los detalles volátiles (tecnología de BD, interfaz de usuario), lo que convierte al sistema en un "monolito" difícil de mantener y probar (Richards, 2015; Martin, 2017).</w:t>
      </w:r>
    </w:p>
    <w:p>
      <w:pPr>
        <w:pStyle w:val="TextBody"/>
        <w:bidi w:val="0"/>
        <w:spacing w:lineRule="auto" w:line="276" w:before="0" w:after="140"/>
        <w:jc w:val="left"/>
        <w:rPr/>
      </w:pPr>
      <w:r>
        <w:rPr>
          <w:rStyle w:val="StrongEmphasis"/>
        </w:rPr>
        <w:t>La solución estructural: Regla de Dependencia y Puertos/Adaptadores</w:t>
      </w:r>
      <w:r>
        <w:rPr/>
        <w:br/>
        <w:t xml:space="preserve">Para resolver esto, la </w:t>
      </w:r>
      <w:r>
        <w:rPr>
          <w:rStyle w:val="StrongEmphasis"/>
        </w:rPr>
        <w:t>Arquitectura Limpia</w:t>
      </w:r>
      <w:r>
        <w:rPr/>
        <w:t xml:space="preserve"> (Martin) establece la </w:t>
      </w:r>
      <w:r>
        <w:rPr>
          <w:rStyle w:val="StrongEmphasis"/>
        </w:rPr>
        <w:t>Regla de Dependencia</w:t>
      </w:r>
      <w:r>
        <w:rPr/>
        <w:t xml:space="preserve">: las dependencias del código fuente solo pueden apuntar hacia adentro, hacia las capas de mayor nivel (Entidades y Casos de Uso). La lógica de negocio no debe saber nada de la base de datos ni de la UI. Por su parte, la </w:t>
      </w:r>
      <w:r>
        <w:rPr>
          <w:rStyle w:val="StrongEmphasis"/>
        </w:rPr>
        <w:t>Arquitectura Hexagonal</w:t>
      </w:r>
      <w:r>
        <w:rPr/>
        <w:t xml:space="preserve"> (Cockburn) propone el uso de </w:t>
      </w:r>
      <w:r>
        <w:rPr>
          <w:rStyle w:val="StrongEmphasis"/>
        </w:rPr>
        <w:t>Puertos y Adaptadores</w:t>
      </w:r>
      <w:r>
        <w:rPr/>
        <w:t>. El núcleo de la aplicación define "puertos" (interfaces) que expresan lo que necesita del exterior (ej. un puerto para guardar un producto). Los "adaptadores" (implementaciones concretas, como el repositorio de SQL Server o MongoDB) se conectan a esos puertos desde el exterior. Así, el flujo de dependencias se invierte: la infraestructura depende de la abstracción del dominio, y no al revés.</w:t>
      </w:r>
    </w:p>
    <w:p>
      <w:pPr>
        <w:pStyle w:val="TextBody"/>
        <w:bidi w:val="0"/>
        <w:spacing w:lineRule="auto" w:line="276" w:before="0" w:after="140"/>
        <w:jc w:val="left"/>
        <w:rPr/>
      </w:pPr>
      <w:r>
        <w:rPr>
          <w:rStyle w:val="StrongEmphasis"/>
        </w:rPr>
        <w:t>Impacto en la testabilidad y el cambio de base de datos</w:t>
      </w:r>
      <w:r>
        <w:rPr/>
        <w:br/>
        <w:t>El impacto es transformador. Al aplicar esta inversión de dependencias, la lógica de negocio (el núcleo) queda completamente aislada.</w:t>
      </w:r>
    </w:p>
    <w:p>
      <w:pPr>
        <w:pStyle w:val="TextBody"/>
        <w:numPr>
          <w:ilvl w:val="0"/>
          <w:numId w:val="1"/>
        </w:numPr>
        <w:tabs>
          <w:tab w:val="clear" w:pos="709"/>
          <w:tab w:val="left" w:pos="709" w:leader="none"/>
        </w:tabs>
        <w:bidi w:val="0"/>
        <w:ind w:left="709" w:hanging="283"/>
        <w:jc w:val="left"/>
        <w:rPr/>
      </w:pPr>
      <w:r>
        <w:rPr>
          <w:rStyle w:val="StrongEmphasis"/>
        </w:rPr>
        <w:t>Testabilidad:</w:t>
      </w:r>
      <w:r>
        <w:rPr/>
        <w:t xml:space="preserve"> Las pruebas unitarias de la lógica de negocio ya no necesitan una base de datos real ni una interfaz de usuario. Se pueden crear "mocks" o simulaciones de los adaptadores, lo que hace que las pruebas sean rapidísimas, frágiles y altamente confiables (Martin, 2017).</w:t>
      </w:r>
    </w:p>
    <w:p>
      <w:pPr>
        <w:pStyle w:val="TextBody"/>
        <w:numPr>
          <w:ilvl w:val="0"/>
          <w:numId w:val="1"/>
        </w:numPr>
        <w:tabs>
          <w:tab w:val="clear" w:pos="709"/>
          <w:tab w:val="left" w:pos="709" w:leader="none"/>
        </w:tabs>
        <w:bidi w:val="0"/>
        <w:ind w:left="709" w:hanging="283"/>
        <w:jc w:val="left"/>
        <w:rPr/>
      </w:pPr>
      <w:r>
        <w:rPr>
          <w:rStyle w:val="StrongEmphasis"/>
        </w:rPr>
        <w:t>Cambio de Base de Datos (SQL Server a MongoDB):</w:t>
      </w:r>
      <w:r>
        <w:rPr/>
        <w:t xml:space="preserve"> Para migrar de base de datos, el equipo solo tendría que crear un nuevo adaptador (por ejemplo, </w:t>
      </w:r>
      <w:r>
        <w:rPr>
          <w:rStyle w:val="SourceText"/>
        </w:rPr>
        <w:t>MongoDBRepository</w:t>
      </w:r>
      <w:r>
        <w:rPr/>
        <w:t>) que implemente la misma interfaz (el puerto) que ya definió el dominio. La lógica de negocio no se tocaría ni una sola línea, ya que sigue apuntando a la abstracción (el puerto) y no a la implementación concreta. Esto cumple con el principio de que "los detalles (la BD) deben depender de las abstracciones (las políticas de negocio)" (Martin, 2017).</w:t>
      </w:r>
    </w:p>
    <w:p>
      <w:pPr>
        <w:pStyle w:val="TextBody"/>
        <w:bidi w:val="0"/>
        <w:jc w:val="left"/>
        <w:rPr/>
      </w:pPr>
      <w:r>
        <w:rPr>
          <w:rStyle w:val="StrongEmphasis"/>
        </w:rPr>
        <w:t>Referencias bibliográficas</w:t>
      </w:r>
    </w:p>
    <w:p>
      <w:pPr>
        <w:pStyle w:val="TextBody"/>
        <w:numPr>
          <w:ilvl w:val="0"/>
          <w:numId w:val="2"/>
        </w:numPr>
        <w:tabs>
          <w:tab w:val="clear" w:pos="709"/>
          <w:tab w:val="left" w:pos="709" w:leader="none"/>
        </w:tabs>
        <w:bidi w:val="0"/>
        <w:ind w:left="709" w:hanging="283"/>
        <w:jc w:val="left"/>
        <w:rPr/>
      </w:pPr>
      <w:r>
        <w:rPr/>
        <w:t xml:space="preserve">Cockburn, A. (2005). </w:t>
      </w:r>
      <w:r>
        <w:rPr>
          <w:rStyle w:val="Emphasis"/>
        </w:rPr>
        <w:t>Hexagonal Architecture (Ports and Adapters)</w:t>
      </w:r>
      <w:r>
        <w:rPr/>
        <w:t xml:space="preserve">. Recuperado de </w:t>
      </w:r>
      <w:hyperlink r:id="rId2" w:tgtFrame="_blank">
        <w:r>
          <w:rPr>
            <w:rStyle w:val="InternetLink"/>
          </w:rPr>
          <w:t>https://alistair.cockburn.us/hexagonal-architecture/</w:t>
        </w:r>
      </w:hyperlink>
    </w:p>
    <w:p>
      <w:pPr>
        <w:pStyle w:val="TextBody"/>
        <w:numPr>
          <w:ilvl w:val="0"/>
          <w:numId w:val="2"/>
        </w:numPr>
        <w:tabs>
          <w:tab w:val="clear" w:pos="709"/>
          <w:tab w:val="left" w:pos="709" w:leader="none"/>
        </w:tabs>
        <w:bidi w:val="0"/>
        <w:ind w:left="709" w:hanging="283"/>
        <w:jc w:val="left"/>
        <w:rPr/>
      </w:pPr>
      <w:r>
        <w:rPr/>
        <w:t xml:space="preserve">Martin, R. C. (2017). </w:t>
      </w:r>
      <w:r>
        <w:rPr>
          <w:rStyle w:val="Emphasis"/>
        </w:rPr>
        <w:t>Clean Architecture: A Craftsman’s Guide to Software Structure and Design</w:t>
      </w:r>
      <w:r>
        <w:rPr/>
        <w:t>. Prentice Hall.</w:t>
      </w:r>
    </w:p>
    <w:p>
      <w:pPr>
        <w:pStyle w:val="TextBody"/>
        <w:numPr>
          <w:ilvl w:val="0"/>
          <w:numId w:val="2"/>
        </w:numPr>
        <w:tabs>
          <w:tab w:val="clear" w:pos="709"/>
          <w:tab w:val="left" w:pos="709" w:leader="none"/>
        </w:tabs>
        <w:bidi w:val="0"/>
        <w:ind w:left="709" w:hanging="283"/>
        <w:jc w:val="left"/>
        <w:rPr/>
      </w:pPr>
      <w:r>
        <w:rPr/>
        <w:t xml:space="preserve">Richards, M. (2015). </w:t>
      </w:r>
      <w:r>
        <w:rPr>
          <w:rStyle w:val="Emphasis"/>
        </w:rPr>
        <w:t>Software Architecture Patterns</w:t>
      </w:r>
      <w:r>
        <w:rPr/>
        <w:t>. O'Reilly Media.</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GB"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listair.cockburn.us/hexagonal-architectur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470</Words>
  <Characters>2550</Characters>
  <CharactersWithSpaces>3005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2026-10-22T12:52:44Z</dcterms:created>
  <dc:creator/>
  <dc:description/>
  <dc:language>en-GB</dc:language>
  <cp:lastModifiedBy/>
  <dcterms:modified xsi:type="dcterms:W3CDTF">2026-10-22T12:53:15Z</dcterms:modified>
  <cp:revision>1</cp:revision>
  <dc:subject/>
  <dc:title/>
</cp:coreProperties>
</file>