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Pregunta 4: Evaluación de la Inversión de Dependencias en la Práctica</w:t>
      </w:r>
    </w:p>
    <w:p>
      <w:pPr/>
      <w:r>
        <w:rPr>
          <w:i/>
        </w:rPr>
        <w:t xml:space="preserve">Seminario de Arquitecturas de Software: Un Análisis Comparativo de Estilos Basados en Capas y Dominio · Ingeniería de Software</w:t>
      </w:r>
    </w:p>
    <w:p>
      <w:pPr>
        <w:pStyle w:val="Heading2"/>
      </w:pPr>
      <w:r>
        <w:t xml:space="preserve">Planteamiento y respuesta resumida</w:t>
      </w:r>
    </w:p>
    <w:p>
      <w:pPr/>
      <w:r>
        <w:t xml:space="preserve">El enunciado sitúa en </w:t>
      </w:r>
      <w:r>
        <w:rPr>
          <w:rStyle w:val="CodeChar"/>
        </w:rPr>
        <w:t xml:space="preserve">OrderProcessor</w:t>
      </w:r>
      <w:r>
        <w:t xml:space="preserve"> la lógica de negocio principal del sistema de pedidos (qué hacer con un pedido cuya dirección es válida, inválida o no verificable), por lo que pertenece al núcleo. Esta clase instancia directamente a </w:t>
      </w:r>
      <w:r>
        <w:rPr>
          <w:rStyle w:val="CodeChar"/>
        </w:rPr>
        <w:t xml:space="preserve">AddressValidatorService</w:t>
      </w:r>
      <w:r>
        <w:t xml:space="preserve">, que usa una librería HTTP concreta para consultar un servicio externo de validación de direcciones. Los ejemplos usan C#, pero el análisis no depende del lenguaje.</w:t>
      </w:r>
    </w:p>
    <w:p>
      <w:pPr/>
      <w:r>
        <w:rPr>
          <w:b/>
        </w:rPr>
        <w:t xml:space="preserve">Tesis.</w:t>
      </w:r>
      <w:r>
        <w:t xml:space="preserve"> El problema no es consumir un servicio externo ni usar HTTP, sino la </w:t>
      </w:r>
      <w:r>
        <w:rPr>
          <w:b/>
        </w:rPr>
        <w:t xml:space="preserve">dirección</w:t>
      </w:r>
      <w:r>
        <w:t xml:space="preserve"> de la dependencia: una política de alto nivel depende de un mecanismo de bajo nivel. Se corrige invirtiéndola en la frontera del núcleo.</w:t>
      </w:r>
    </w:p>
    <w:p>
      <w:pPr>
        <w:pStyle w:val="ListParagraph"/>
        <w:numPr>
          <w:ilvl w:val="0"/>
          <w:numId w:val="2"/>
        </w:numPr>
      </w:pPr>
      <w:r>
        <w:rPr>
          <w:b/>
        </w:rPr>
        <w:t xml:space="preserve">a)</w:t>
      </w:r>
      <w:r>
        <w:t xml:space="preserve"> La cadena </w:t>
      </w:r>
      <w:r>
        <w:rPr>
          <w:rStyle w:val="CodeChar"/>
        </w:rPr>
        <w:t xml:space="preserve">OrderProcessor → AddressValidatorService → librería HTTP</w:t>
      </w:r>
      <w:r>
        <w:t xml:space="preserve"> apunta del núcleo hacia afuera y viola el DIP, la Regla de Dependencia, el aislamiento por puertos y los principios de la Cebolla. Las dependencias del código fuente deben apuntar siempre hacia el núcleo.</w:t>
      </w:r>
    </w:p>
    <w:p>
      <w:pPr>
        <w:pStyle w:val="ListParagraph"/>
        <w:numPr>
          <w:ilvl w:val="0"/>
          <w:numId w:val="2"/>
        </w:numPr>
      </w:pPr>
      <w:r>
        <w:rPr>
          <w:b/>
        </w:rPr>
        <w:t xml:space="preserve">b)</w:t>
      </w:r>
      <w:r>
        <w:t xml:space="preserve"> El núcleo declara y posee el puerto </w:t>
      </w:r>
      <w:r>
        <w:rPr>
          <w:rStyle w:val="CodeChar"/>
        </w:rPr>
        <w:t xml:space="preserve">IAddressValidator</w:t>
      </w:r>
      <w:r>
        <w:t xml:space="preserve">, en lenguaje del dominio. La infraestructura lo implementa con un adaptador que encapsula la librería HTTP, y un punto de composición los conecta por inyección de dependencias.</w:t>
      </w:r>
    </w:p>
    <w:p>
      <w:pPr>
        <w:pStyle w:val="ListParagraph"/>
        <w:numPr>
          <w:ilvl w:val="0"/>
          <w:numId w:val="2"/>
        </w:numPr>
      </w:pPr>
      <w:r>
        <w:rPr>
          <w:b/>
        </w:rPr>
        <w:t xml:space="preserve">c)</w:t>
      </w:r>
      <w:r>
        <w:t xml:space="preserve"> </w:t>
      </w:r>
      <w:r>
        <w:rPr>
          <w:rStyle w:val="CodeChar"/>
        </w:rPr>
        <w:t xml:space="preserve">OrderProcessor</w:t>
      </w:r>
      <w:r>
        <w:t xml:space="preserve"> se prueba en memoria con un doble de prueba, sin red ni librería HTTP. Cambiar de proveedor, de librería o de protocolo se reduce a tocar un adaptador.</w:t>
      </w:r>
    </w:p>
    <w:p>
      <w:pPr>
        <w:pStyle w:val="Heading2"/>
      </w:pPr>
      <w:r>
        <w:t xml:space="preserve">Escenario de partida</w:t>
      </w:r>
    </w:p>
    <w:p>
      <w:pPr>
        <w:pStyle w:val="Code"/>
      </w:pPr>
      <w:bookmarkStart w:id="1" w:name="bongo_lang_csharp_1"/>
      <w:bookmarkEnd w:id="1"/>
      <w:r>
        <w:t xml:space="preserve">// ANTES: el núcleo depende de un detalle concreto y volátil</w:t>
        <w:br/>
        <w:t xml:space="preserve">public class OrderProcessor</w:t>
        <w:br/>
        <w:t xml:space="preserve">{</w:t>
        <w:br/>
        <w:t xml:space="preserve">    public async Task ProcessAsync(Order order)</w:t>
        <w:br/>
        <w:t xml:space="preserve">    {</w:t>
        <w:br/>
        <w:t xml:space="preserve">        var validator = new AddressValidatorService();               // (1)</w:t>
        <w:br/>
        <w:t xml:space="preserve">        if (!await validator.IsValidAsync(order.ShippingAddress))    // (2)</w:t>
        <w:br/>
        <w:t xml:space="preserve">            throw new InvalidOperationException("Dirección inválida");</w:t>
        <w:br/>
        <w:t xml:space="preserve">        // ... resto de las reglas del pedido</w:t>
        <w:br/>
        <w:t xml:space="preserve">    }</w:t>
        <w:br/>
        <w:t xml:space="preserve">}</w:t>
        <w:br/>
        <w:br/>
        <w:t xml:space="preserve">public class AddressValidatorService</w:t>
        <w:br/>
        <w:t xml:space="preserve">{</w:t>
        <w:br/>
        <w:t xml:space="preserve">    public async Task&lt;bool&gt; IsValidAsync(Address address)</w:t>
        <w:br/>
        <w:t xml:space="preserve">    {</w:t>
        <w:br/>
        <w:t xml:space="preserve">        using var http = new HttpClient();                           // (3)</w:t>
        <w:br/>
        <w:t xml:space="preserve">        var response = await http.PostAsJsonAsync(</w:t>
        <w:br/>
        <w:t xml:space="preserve">            "https://api.proveedor.com/v1/validate", address);</w:t>
        <w:br/>
        <w:t xml:space="preserve">        return response.IsSuccessStatusCode;                         // (4)</w:t>
        <w:br/>
        <w:t xml:space="preserve">    }</w:t>
        <w:br/>
        <w:t xml:space="preserve">}</w:t>
      </w:r>
    </w:p>
    <w:p>
      <w:pPr/>
      <w:r>
        <w:t xml:space="preserve">Hay dos acoplamientos distintos, y cada uno exige su propia solución:</w:t>
      </w:r>
    </w:p>
    <w:p>
      <w:pPr>
        <w:pStyle w:val="ListParagraph"/>
        <w:numPr>
          <w:ilvl w:val="0"/>
          <w:numId w:val="3"/>
        </w:numPr>
      </w:pPr>
      <w:r>
        <w:rPr>
          <w:b/>
        </w:rPr>
        <w:t xml:space="preserve">Acoplamiento a la implementación (1, 2):</w:t>
      </w:r>
      <w:r>
        <w:t xml:space="preserve"> </w:t>
      </w:r>
      <w:r>
        <w:rPr>
          <w:rStyle w:val="CodeChar"/>
        </w:rPr>
        <w:t xml:space="preserve">OrderProcessor</w:t>
      </w:r>
      <w:r>
        <w:t xml:space="preserve"> crea y nombra una clase concreta.</w:t>
      </w:r>
    </w:p>
    <w:p>
      <w:pPr>
        <w:pStyle w:val="ListParagraph"/>
        <w:numPr>
          <w:ilvl w:val="0"/>
          <w:numId w:val="3"/>
        </w:numPr>
      </w:pPr>
      <w:r>
        <w:rPr>
          <w:b/>
        </w:rPr>
        <w:t xml:space="preserve">Acoplamiento a la tecnología (3, 4):</w:t>
      </w:r>
      <w:r>
        <w:t xml:space="preserve"> la clase concreta conoce la librería HTTP y devuelve semántica HTTP en lugar de semántica del dominio (un 2xx indica que la petición tuvo éxito, no que la dirección sea válida). Como las dependencias son transitivas, </w:t>
      </w:r>
      <w:r>
        <w:rPr>
          <w:rStyle w:val="CodeChar"/>
        </w:rPr>
        <w:t xml:space="preserve">OrderProcessor</w:t>
      </w:r>
      <w:r>
        <w:t xml:space="preserve"> hereda también las razones de cambio de la librería y del proveedor.</w:t>
      </w:r>
    </w:p>
    <w:p>
      <w:pPr>
        <w:pStyle w:val="Heading2"/>
      </w:pPr>
      <w:r>
        <w:t xml:space="preserve">a) Por qué la dependencia directa viola los principios de las arquitecturas Hexagonal, Limpia y Cebolla</w:t>
      </w:r>
    </w:p>
    <w:p>
      <w:pPr>
        <w:pStyle w:val="Heading3"/>
      </w:pPr>
      <w:r>
        <w:t xml:space="preserve">1. Dirección actual de las dependencias</w:t>
      </w:r>
    </w:p>
    <w:p>
      <w:pPr>
        <w:pStyle w:val="Code"/>
      </w:pPr>
      <w:r>
        <w:t xml:space="preserve">OrderProcessor            (política de negocio)</w:t>
        <w:br/>
        <w:t xml:space="preserve">      |  depende de</w:t>
        <w:br/>
        <w:t xml:space="preserve">      v</w:t>
        <w:br/>
        <w:t xml:space="preserve">AddressValidatorService   (detalle)</w:t>
        <w:br/>
        <w:t xml:space="preserve">      |  depende de</w:t>
        <w:br/>
        <w:t xml:space="preserve">      v</w:t>
        <w:br/>
        <w:t xml:space="preserve">Librería HTTP             (detalle)</w:t>
        <w:br/>
        <w:t xml:space="preserve">      |</w:t>
        <w:br/>
        <w:t xml:space="preserve">      v</w:t>
        <w:br/>
        <w:t xml:space="preserve">Proveedor externo         (exterior)</w:t>
      </w:r>
    </w:p>
    <w:p>
      <w:pPr/>
      <w:r>
        <w:t xml:space="preserve">El flujo de control y las dependencias del código fuente coinciden y apuntan hacia afuera. Es el mismo acoplamiento de arriba hacia abajo que Palermo (2008) critica en las capas tradicionales, donde cada capa queda atada a las inferiores y, al final, a la infraestructura.</w:t>
      </w:r>
    </w:p>
    <w:p>
      <w:pPr>
        <w:pStyle w:val="Heading3"/>
      </w:pPr>
      <w:r>
        <w:t xml:space="preserve">2. Qué principio se viola en cada estilo</w:t>
      </w:r>
    </w:p>
    <w:p>
      <w:pPr>
        <w:pStyle w:val="ListParagraph"/>
        <w:numPr>
          <w:ilvl w:val="0"/>
          <w:numId w:val="4"/>
        </w:numPr>
      </w:pPr>
      <w:r>
        <w:rPr>
          <w:b/>
        </w:rPr>
        <w:t xml:space="preserve">Inversión de Dependencias (DIP).</w:t>
      </w:r>
      <w:r>
        <w:t xml:space="preserve"> Los sistemas más flexibles son aquellos cuyo código fuente se refiere solo a abstracciones y no a concreciones (Martin, 2017, cap. 11). En su formulación clásica: los módulos de alto nivel no deben depender de los de bajo nivel (ambos dependen de abstracciones) y los detalles deben depender de las abstracciones, no al revés. Martin lo resume en no mencionar nunca el nombre de nada concreto y volátil. </w:t>
      </w:r>
      <w:r>
        <w:rPr>
          <w:rStyle w:val="CodeChar"/>
        </w:rPr>
        <w:t xml:space="preserve">AddressValidatorService</w:t>
      </w:r>
      <w:r>
        <w:t xml:space="preserve"> es volátil (un tercero controla su contrato, su transporte y su disponibilidad) y </w:t>
      </w:r>
      <w:r>
        <w:rPr>
          <w:rStyle w:val="CodeChar"/>
        </w:rPr>
        <w:t xml:space="preserve">new AddressValidatorService()</w:t>
      </w:r>
      <w:r>
        <w:t xml:space="preserve"> dentro de </w:t>
      </w:r>
      <w:r>
        <w:rPr>
          <w:rStyle w:val="CodeChar"/>
        </w:rPr>
        <w:t xml:space="preserve">OrderProcessor</w:t>
      </w:r>
      <w:r>
        <w:t xml:space="preserve"> es esa mención. No hay abstracción alguna.</w:t>
      </w:r>
    </w:p>
    <w:p>
      <w:pPr>
        <w:pStyle w:val="ListParagraph"/>
        <w:numPr>
          <w:ilvl w:val="0"/>
          <w:numId w:val="4"/>
        </w:numPr>
      </w:pPr>
      <w:r>
        <w:rPr>
          <w:b/>
        </w:rPr>
        <w:t xml:space="preserve">Arquitectura Limpia: Regla de Dependencia.</w:t>
      </w:r>
      <w:r>
        <w:t xml:space="preserve"> Las dependencias del código fuente solo pueden apuntar hacia adentro, hacia las políticas de mayor nivel, y nada en un círculo interior puede conocer ni nombrar algo declarado en uno exterior (Martin, 2017, cap. 22). </w:t>
      </w:r>
      <w:r>
        <w:rPr>
          <w:rStyle w:val="CodeChar"/>
        </w:rPr>
        <w:t xml:space="preserve">OrderProcessor</w:t>
      </w:r>
      <w:r>
        <w:t xml:space="preserve"> es un caso de uso; </w:t>
      </w:r>
      <w:r>
        <w:rPr>
          <w:rStyle w:val="CodeChar"/>
        </w:rPr>
        <w:t xml:space="preserve">AddressValidatorService</w:t>
      </w:r>
      <w:r>
        <w:t xml:space="preserve"> y la librería HTTP son adaptadores de interfaz y </w:t>
      </w:r>
      <w:r>
        <w:rPr>
          <w:i/>
        </w:rPr>
        <w:t xml:space="preserve">frameworks</w:t>
      </w:r>
      <w:r>
        <w:t xml:space="preserve">, círculos exteriores. Además, el nivel de una política es su distancia a las entradas y salidas del sistema, y las dependencias deben seguir al nivel, no al flujo de datos (cap. 19): que los datos viajen hacia el proveedor no justifica que el negocio dependa del código que habla con él.</w:t>
      </w:r>
    </w:p>
    <w:p>
      <w:pPr>
        <w:pStyle w:val="ListParagraph"/>
        <w:numPr>
          <w:ilvl w:val="0"/>
          <w:numId w:val="4"/>
        </w:numPr>
      </w:pPr>
      <w:r>
        <w:rPr>
          <w:b/>
        </w:rPr>
        <w:t xml:space="preserve">Arquitectura Hexagonal.</w:t>
      </w:r>
      <w:r>
        <w:t xml:space="preserve"> La aplicación solo dialoga con el exterior a través de puertos, con un adaptador por tecnología, para poder ser conducida y probada aislada de los dispositivos y bases de datos reales (Cockburn, 2005). Aquí no hay puerto: el interior habla con un actor externo concreto y en su protocolo. La «conversación» con el proveedor es un detalle tecnológico filtrado hacia dentro, y la aplicación no funciona sin el dispositivo real.</w:t>
      </w:r>
    </w:p>
    <w:p>
      <w:pPr>
        <w:pStyle w:val="ListParagraph"/>
        <w:numPr>
          <w:ilvl w:val="0"/>
          <w:numId w:val="4"/>
        </w:numPr>
      </w:pPr>
      <w:r>
        <w:rPr>
          <w:b/>
        </w:rPr>
        <w:t xml:space="preserve">Arquitectura Cebolla.</w:t>
      </w:r>
      <w:r>
        <w:t xml:space="preserve"> Palermo (2008) fija cuatro principios: modelo de objetos independiente en el centro; interfaces definidas por las capas internas e implementadas por las externas; acoplamiento hacia el centro; núcleo que se compila y ejecuta separado de la infraestructura. El código actual incumple los tres últimos: el núcleo no define ninguna interfaz, el acoplamiento sale del centro y no puede compilarse ni ejecutarse sin </w:t>
      </w:r>
      <w:r>
        <w:rPr>
          <w:rStyle w:val="CodeChar"/>
        </w:rPr>
        <w:t xml:space="preserve">AddressValidatorService</w:t>
      </w:r>
      <w:r>
        <w:t xml:space="preserve"> y, transitivamente, la librería HTTP.</w:t>
      </w:r>
    </w:p>
    <w:p>
      <w:pPr>
        <w:pStyle w:val="Heading3"/>
      </w:pPr>
      <w:r>
        <w:t xml:space="preserve">3. Dirección que deben tener las dependencias</w:t>
      </w:r>
    </w:p>
    <w:p>
      <w:pPr/>
      <w:r>
        <w:rPr>
          <w:b/>
        </w:rPr>
        <w:t xml:space="preserve">Toda dependencia del código fuente que cruce la frontera entre el núcleo y el exterior debe apuntar hacia el núcleo.</w:t>
      </w:r>
      <w:r>
        <w:t xml:space="preserve"> Aquí: </w:t>
      </w:r>
      <w:r>
        <w:rPr>
          <w:rStyle w:val="CodeChar"/>
        </w:rPr>
        <w:t xml:space="preserve">HttpAddressValidatorAdapter → IAddressValidator ← OrderProcessor</w:t>
      </w:r>
      <w:r>
        <w:t xml:space="preserve">, sin ninguna flecha del núcleo hacia la infraestructura. Lo justifica el principio abierto/cerrado: si un componente A debe protegerse de los cambios de otro B, entonces B debe depender de A (Martin, 2017, cap. 8). El núcleo debe protegerse de los cambios de proveedor, de librería y de formato de datos, así que esos detalles dependen de él. El flujo de control sigue yendo hacia afuera; solo se invierte la dependencia del código fuente en el punto de cruce, mediante polimorfismo (Martin, 2017, caps. 5 y 22).</w:t>
      </w:r>
    </w:p>
    <w:p>
      <w:pPr>
        <w:pStyle w:val="Heading3"/>
      </w:pPr>
      <w:r>
        <w:t xml:space="preserve">4. Consecuencias concretas</w:t>
      </w:r>
    </w:p>
    <w:p>
      <w:pPr>
        <w:pStyle w:val="ListParagraph"/>
        <w:numPr>
          <w:ilvl w:val="0"/>
          <w:numId w:val="5"/>
        </w:numPr>
      </w:pPr>
      <w:r>
        <w:rPr>
          <w:b/>
        </w:rPr>
        <w:t xml:space="preserve">Pruebas:</w:t>
      </w:r>
      <w:r>
        <w:t xml:space="preserve"> probar </w:t>
      </w:r>
      <w:r>
        <w:rPr>
          <w:rStyle w:val="CodeChar"/>
        </w:rPr>
        <w:t xml:space="preserve">OrderProcessor</w:t>
      </w:r>
      <w:r>
        <w:t xml:space="preserve"> exige red o simulaciones a nivel de la librería HTTP, lo que las vuelve lentas, no deterministas y frágiles frente a detalles volátiles (Martin, 2017, cap. 28).</w:t>
      </w:r>
    </w:p>
    <w:p>
      <w:pPr>
        <w:pStyle w:val="ListParagraph"/>
        <w:numPr>
          <w:ilvl w:val="0"/>
          <w:numId w:val="5"/>
        </w:numPr>
      </w:pPr>
      <w:r>
        <w:rPr>
          <w:b/>
        </w:rPr>
        <w:t xml:space="preserve">Rigidez:</w:t>
      </w:r>
      <w:r>
        <w:t xml:space="preserve"> cambiar de proveedor, de librería o de formato de respuesta puede obligar a modificar, recompilar y redistribuir también el núcleo.</w:t>
      </w:r>
    </w:p>
    <w:p>
      <w:pPr>
        <w:pStyle w:val="ListParagraph"/>
        <w:numPr>
          <w:ilvl w:val="0"/>
          <w:numId w:val="5"/>
        </w:numPr>
      </w:pPr>
      <w:r>
        <w:rPr>
          <w:b/>
        </w:rPr>
        <w:t xml:space="preserve">Contaminación semántica:</w:t>
      </w:r>
      <w:r>
        <w:t xml:space="preserve"> las reglas de negocio quedan mezcladas con códigos de estado HTTP.</w:t>
      </w:r>
    </w:p>
    <w:p>
      <w:pPr>
        <w:pStyle w:val="ListParagraph"/>
        <w:numPr>
          <w:ilvl w:val="0"/>
          <w:numId w:val="5"/>
        </w:numPr>
      </w:pPr>
      <w:r>
        <w:rPr>
          <w:b/>
        </w:rPr>
        <w:t xml:space="preserve">Errores técnicos dentro del negocio:</w:t>
      </w:r>
      <w:r>
        <w:t xml:space="preserve"> las excepciones de la librería (red, tiempos de espera) llegan a </w:t>
      </w:r>
      <w:r>
        <w:rPr>
          <w:rStyle w:val="CodeChar"/>
        </w:rPr>
        <w:t xml:space="preserve">OrderProcessor</w:t>
      </w:r>
      <w:r>
        <w:t xml:space="preserve"> sin una política de negocio explícita para ellas.</w:t>
      </w:r>
    </w:p>
    <w:p>
      <w:pPr>
        <w:pStyle w:val="Heading2"/>
      </w:pPr>
      <w:r>
        <w:t xml:space="preserve">b) Rediseño de la interacción entre OrderProcessor y AddressValidatorService</w:t>
      </w:r>
    </w:p>
    <w:p>
      <w:pPr>
        <w:pStyle w:val="Heading3"/>
      </w:pPr>
      <w:r>
        <w:t xml:space="preserve">1. Qué reside en el núcleo y qué fuera</w:t>
      </w:r>
    </w:p>
    <w:p>
      <w:pPr>
        <w:pStyle w:val="ListParagraph"/>
        <w:numPr>
          <w:ilvl w:val="0"/>
          <w:numId w:val="6"/>
        </w:numPr>
      </w:pPr>
      <w:r>
        <w:rPr>
          <w:b/>
        </w:rPr>
        <w:t xml:space="preserve">Núcleo (dentro del hexágono):</w:t>
      </w:r>
      <w:r>
        <w:t xml:space="preserve"> la interfaz </w:t>
      </w:r>
      <w:r>
        <w:rPr>
          <w:rStyle w:val="CodeChar"/>
          <w:b/>
        </w:rPr>
        <w:t xml:space="preserve">IAddressValidator</w:t>
      </w:r>
      <w:r>
        <w:t xml:space="preserve"> (puerto de salida), </w:t>
      </w:r>
      <w:r>
        <w:rPr>
          <w:rStyle w:val="CodeChar"/>
        </w:rPr>
        <w:t xml:space="preserve">OrderProcessor</w:t>
      </w:r>
      <w:r>
        <w:t xml:space="preserve">, los tipos del dominio que cruzan el puerto (</w:t>
      </w:r>
      <w:r>
        <w:rPr>
          <w:rStyle w:val="CodeChar"/>
        </w:rPr>
        <w:t xml:space="preserve">Address</w:t>
      </w:r>
      <w:r>
        <w:t xml:space="preserve">, </w:t>
      </w:r>
      <w:r>
        <w:rPr>
          <w:rStyle w:val="CodeChar"/>
        </w:rPr>
        <w:t xml:space="preserve">AddressValidationResult</w:t>
      </w:r>
      <w:r>
        <w:t xml:space="preserve">) y el error de dominio </w:t>
      </w:r>
      <w:r>
        <w:rPr>
          <w:rStyle w:val="CodeChar"/>
        </w:rPr>
        <w:t xml:space="preserve">AddressValidationUnavailableException</w:t>
      </w:r>
      <w:r>
        <w:t xml:space="preserve">.</w:t>
      </w:r>
    </w:p>
    <w:p>
      <w:pPr>
        <w:pStyle w:val="ListParagraph"/>
        <w:numPr>
          <w:ilvl w:val="0"/>
          <w:numId w:val="6"/>
        </w:numPr>
      </w:pPr>
      <w:r>
        <w:rPr>
          <w:b/>
        </w:rPr>
        <w:t xml:space="preserve">Infraestructura (fuera del hexágono):</w:t>
      </w:r>
      <w:r>
        <w:t xml:space="preserve"> </w:t>
      </w:r>
      <w:r>
        <w:rPr>
          <w:rStyle w:val="CodeChar"/>
          <w:b/>
        </w:rPr>
        <w:t xml:space="preserve">HttpAddressValidatorAdapter</w:t>
      </w:r>
      <w:r>
        <w:t xml:space="preserve"> (el antiguo </w:t>
      </w:r>
      <w:r>
        <w:rPr>
          <w:rStyle w:val="CodeChar"/>
        </w:rPr>
        <w:t xml:space="preserve">AddressValidatorService</w:t>
      </w:r>
      <w:r>
        <w:t xml:space="preserve">, convertido en adaptador), los DTO del proveedor y la configuración de la librería HTTP.</w:t>
      </w:r>
    </w:p>
    <w:p>
      <w:pPr>
        <w:pStyle w:val="ListParagraph"/>
        <w:numPr>
          <w:ilvl w:val="0"/>
          <w:numId w:val="6"/>
        </w:numPr>
      </w:pPr>
      <w:r>
        <w:rPr>
          <w:b/>
        </w:rPr>
        <w:t xml:space="preserve">Punto de composición (</w:t>
      </w:r>
      <w:r>
        <w:rPr>
          <w:rStyle w:val="CodeChar"/>
          <w:b/>
        </w:rPr>
        <w:t xml:space="preserve">Main</w:t>
      </w:r>
      <w:r>
        <w:rPr>
          <w:b/>
        </w:rPr>
        <w:t xml:space="preserve"> o </w:t>
      </w:r>
      <w:r>
        <w:rPr>
          <w:rStyle w:val="CodeChar"/>
          <w:b/>
        </w:rPr>
        <w:t xml:space="preserve">Program.cs</w:t>
      </w:r>
      <w:r>
        <w:rPr>
          <w:b/>
        </w:rPr>
        <w:t xml:space="preserve">):</w:t>
      </w:r>
      <w:r>
        <w:t xml:space="preserve"> el único lugar que conoce ambos lados y enlaza la implementación con la abstracción.</w:t>
      </w:r>
    </w:p>
    <w:p>
      <w:pPr>
        <w:pStyle w:val="Code"/>
      </w:pPr>
      <w:r>
        <w:t xml:space="preserve">NÚCLEO</w:t>
        <w:br/>
        <w:t xml:space="preserve">  OrderProcessor</w:t>
        <w:br/>
        <w:t xml:space="preserve">        |  usa</w:t>
        <w:br/>
        <w:t xml:space="preserve">        v</w:t>
        <w:br/>
        <w:t xml:space="preserve">  IAddressValidator      &lt;-- puerto: lo define y lo posee el núcleo</w:t>
        <w:br/>
        <w:t xml:space="preserve">        ^</w:t>
        <w:br/>
        <w:t xml:space="preserve">========|=========== frontera ===========</w:t>
        <w:br/>
        <w:t xml:space="preserve">        |  implementa</w:t>
        <w:br/>
        <w:t xml:space="preserve">  HttpAddressValidatorAdapter</w:t>
        <w:br/>
        <w:t xml:space="preserve">        |  usa</w:t>
        <w:br/>
        <w:t xml:space="preserve">        v</w:t>
        <w:br/>
        <w:t xml:space="preserve">  Librería HTTP --&gt; Proveedor externo</w:t>
        <w:br/>
        <w:t xml:space="preserve">EXTERIOR</w:t>
      </w:r>
    </w:p>
    <w:p>
      <w:pPr/>
      <w:r>
        <w:t xml:space="preserve">Las flechas son dependencias del código fuente: ambas apuntan hacia </w:t>
      </w:r>
      <w:r>
        <w:rPr>
          <w:rStyle w:val="CodeChar"/>
        </w:rPr>
        <w:t xml:space="preserve">IAddressValidator</w:t>
      </w:r>
      <w:r>
        <w:t xml:space="preserve">, es decir, hacia el núcleo. El flujo de control sigue descendiendo hasta el proveedor.</w:t>
      </w:r>
    </w:p>
    <w:p>
      <w:pPr>
        <w:pStyle w:val="Heading3"/>
      </w:pPr>
      <w:r>
        <w:t xml:space="preserve">2. Código del núcleo</w:t>
      </w:r>
    </w:p>
    <w:p>
      <w:pPr>
        <w:pStyle w:val="Code"/>
      </w:pPr>
      <w:bookmarkStart w:id="2" w:name="bongo_lang_csharp_2"/>
      <w:bookmarkEnd w:id="2"/>
      <w:r>
        <w:t xml:space="preserve">// Proyecto Pedidos.Core: sin referencias a HTTP, JSON ni al proveedor</w:t>
        <w:br/>
        <w:t xml:space="preserve">public interface IAddressValidator                         // PUERTO secundario (de salida)</w:t>
        <w:br/>
        <w:t xml:space="preserve">{</w:t>
        <w:br/>
        <w:t xml:space="preserve">    Task&lt;AddressValidationResult&gt; ValidateAsync(Address address);</w:t>
        <w:br/>
        <w:t xml:space="preserve">}</w:t>
        <w:br/>
        <w:br/>
        <w:t xml:space="preserve">public sealed record AddressValidationResult(bool IsValid, string? Reason = null);</w:t>
        <w:br/>
        <w:br/>
        <w:t xml:space="preserve">public class AddressValidationUnavailableException : Exception   // error en términos del dominio</w:t>
        <w:br/>
        <w:t xml:space="preserve">{</w:t>
        <w:br/>
        <w:t xml:space="preserve">    public AddressValidationUnavailableException(string message, Exception? inner = null)</w:t>
        <w:br/>
        <w:t xml:space="preserve">        : base(message, inner) { }</w:t>
        <w:br/>
        <w:t xml:space="preserve">}</w:t>
        <w:br/>
        <w:br/>
        <w:t xml:space="preserve">public class OrderProcessor</w:t>
        <w:br/>
        <w:t xml:space="preserve">{</w:t>
        <w:br/>
        <w:t xml:space="preserve">    private readonly IAddressValidator _addressValidator;      // abstracción, no concreción</w:t>
        <w:br/>
        <w:br/>
        <w:t xml:space="preserve">    public OrderProcessor(IAddressValidator addressValidator)  // inyección por constructor</w:t>
        <w:br/>
        <w:t xml:space="preserve">        =&gt; _addressValidator = addressValidator;</w:t>
        <w:br/>
        <w:br/>
        <w:t xml:space="preserve">    public async Task ProcessAsync(Order order)</w:t>
        <w:br/>
        <w:t xml:space="preserve">    {</w:t>
        <w:br/>
        <w:t xml:space="preserve">        try</w:t>
        <w:br/>
        <w:t xml:space="preserve">        {</w:t>
        <w:br/>
        <w:t xml:space="preserve">            var result = await _addressValidator.ValidateAsync(order.ShippingAddress);</w:t>
        <w:br/>
        <w:t xml:space="preserve">            if (!result.IsValid) { order.Reject(result.Reason); return; }</w:t>
        <w:br/>
        <w:t xml:space="preserve">        }</w:t>
        <w:br/>
        <w:t xml:space="preserve">        catch (AddressValidationUnavailableException)</w:t>
        <w:br/>
        <w:t xml:space="preserve">        {</w:t>
        <w:br/>
        <w:t xml:space="preserve">            order.MarkPendingAddressReview();   // política de negocio ante la indisponibilidad</w:t>
        <w:br/>
        <w:t xml:space="preserve">            return;</w:t>
        <w:br/>
        <w:t xml:space="preserve">        }</w:t>
        <w:br/>
        <w:t xml:space="preserve">        order.Confirm();                        // ... y el resto de las reglas del pedido</w:t>
        <w:br/>
        <w:t xml:space="preserve">    }</w:t>
        <w:br/>
        <w:t xml:space="preserve">}</w:t>
      </w:r>
    </w:p>
    <w:p>
      <w:pPr>
        <w:pStyle w:val="Heading3"/>
      </w:pPr>
      <w:r>
        <w:t xml:space="preserve">3. Código del adaptador y del punto de composición</w:t>
      </w:r>
    </w:p>
    <w:p>
      <w:pPr>
        <w:pStyle w:val="Code"/>
      </w:pPr>
      <w:bookmarkStart w:id="3" w:name="bongo_lang_csharp_3"/>
      <w:bookmarkEnd w:id="3"/>
      <w:r>
        <w:t xml:space="preserve">// Proyecto Pedidos.Infrastructure: referencia a Pedidos.Core, nunca al revés</w:t>
        <w:br/>
        <w:t xml:space="preserve">public class HttpAddressValidatorAdapter : IAddressValidator     // ADAPTADOR secundario</w:t>
        <w:br/>
        <w:t xml:space="preserve">{</w:t>
        <w:br/>
        <w:t xml:space="preserve">    private readonly HttpClient _http;                           // la librería HTTP queda confinada aquí</w:t>
        <w:br/>
        <w:t xml:space="preserve">    public HttpAddressValidatorAdapter(HttpClient http) =&gt; _http = http;</w:t>
        <w:br/>
        <w:br/>
        <w:t xml:space="preserve">    public async Task&lt;AddressValidationResult&gt; ValidateAsync(Address address)</w:t>
        <w:br/>
        <w:t xml:space="preserve">    {</w:t>
        <w:br/>
        <w:t xml:space="preserve">        try</w:t>
        <w:br/>
        <w:t xml:space="preserve">        {</w:t>
        <w:br/>
        <w:t xml:space="preserve">            var request = ProviderMapper.ToRequest(address);      // dominio -&gt; DTO del proveedor</w:t>
        <w:br/>
        <w:t xml:space="preserve">            var response = await _http.PostAsJsonAsync("v1/validate", request);</w:t>
        <w:br/>
        <w:t xml:space="preserve">            response.EnsureSuccessStatusCode();</w:t>
        <w:br/>
        <w:t xml:space="preserve">            var body = await response.Content.ReadFromJsonAsync&lt;ProviderResponse&gt;();</w:t>
        <w:br/>
        <w:t xml:space="preserve">            return ProviderMapper.ToDomain(body!);                // DTO del proveedor -&gt; dominio</w:t>
        <w:br/>
        <w:t xml:space="preserve">        }</w:t>
        <w:br/>
        <w:t xml:space="preserve">        catch (HttpRequestException ex)                           // fallo técnico -&gt; error de dominio</w:t>
        <w:br/>
        <w:t xml:space="preserve">        {</w:t>
        <w:br/>
        <w:t xml:space="preserve">            throw new AddressValidationUnavailableException("Validador no disponible", ex);</w:t>
        <w:br/>
        <w:t xml:space="preserve">        }</w:t>
        <w:br/>
        <w:t xml:space="preserve">    }</w:t>
        <w:br/>
        <w:t xml:space="preserve">}</w:t>
        <w:br/>
        <w:br/>
        <w:t xml:space="preserve">// Proyecto Pedidos.Host (Program.cs): único punto que nombra las concreciones</w:t>
        <w:br/>
        <w:t xml:space="preserve">builder.Services.AddHttpClient&lt;IAddressValidator, HttpAddressValidatorAdapter&gt;(</w:t>
        <w:br/>
        <w:t xml:space="preserve">    c =&gt; c.BaseAddress = new Uri("https://api.proveedor.com/"));</w:t>
        <w:br/>
        <w:t xml:space="preserve">builder.Services.AddScoped&lt;OrderProcessor&gt;();</w:t>
      </w:r>
    </w:p>
    <w:p>
      <w:pPr/>
      <w:r>
        <w:t xml:space="preserve">El punto de composición cumple el papel del componente </w:t>
      </w:r>
      <w:r>
        <w:rPr>
          <w:i/>
        </w:rPr>
        <w:t xml:space="preserve">Main</w:t>
      </w:r>
      <w:r>
        <w:t xml:space="preserve"> (Martin, 2017, cap. 26) y del mecanismo de inyección en tiempo de ejecución que Palermo (2008) requiere para conectar el núcleo con sus implementaciones; en la Guía de De la Torre et al. (2010) ese mecanismo es un contenedor IoC. Las referencias entre proyectos son </w:t>
      </w:r>
      <w:r>
        <w:rPr>
          <w:rStyle w:val="CodeChar"/>
        </w:rPr>
        <w:t xml:space="preserve">Infrastructure → Core</w:t>
      </w:r>
      <w:r>
        <w:t xml:space="preserve"> y </w:t>
      </w:r>
      <w:r>
        <w:rPr>
          <w:rStyle w:val="CodeChar"/>
        </w:rPr>
        <w:t xml:space="preserve">Host → Core, Infrastructure</w:t>
      </w:r>
      <w:r>
        <w:t xml:space="preserve">; </w:t>
      </w:r>
      <w:r>
        <w:rPr>
          <w:rStyle w:val="CodeChar"/>
        </w:rPr>
        <w:t xml:space="preserve">Core</w:t>
      </w:r>
      <w:r>
        <w:t xml:space="preserve"> no referencia a ninguno.</w:t>
      </w:r>
    </w:p>
    <w:p>
      <w:pPr>
        <w:pStyle w:val="Heading3"/>
      </w:pPr>
      <w:r>
        <w:t xml:space="preserve">4. Equivalencia en los tres estilos</w:t>
      </w:r>
    </w:p>
    <w:tbl>
      <w:tblPr>
        <w:tblStyle w:val="TableGrid"/>
        <w:tblW w:w="0" w:type="auto"/>
        <w:tblLayout w:type="fixed"/>
        <w:tblLook w:val="04A0" w:firstRow="1" w:lastRow="0" w:firstColumn="0" w:lastColumn="0" w:noHBand="0" w:noVBand="1"/>
      </w:tblPr>
      <w:tblGrid>
        <w:gridCol w:w="2340"/>
        <w:gridCol w:w="2131"/>
        <w:gridCol w:w="2489"/>
        <w:gridCol w:w="2400"/>
      </w:tblGrid>
      <w:tr>
        <w:trPr>
          <w:tblHeader/>
        </w:trPr>
        <w:tc>
          <w:tcPr>
            <w:tcW w:w="2340" w:type="dxa"/>
            <w:shd w:val="clear" w:color="auto" w:fill="F2F2F2"/>
          </w:tcPr>
          <w:p>
            <w:pPr/>
            <w:r>
              <w:t xml:space="preserve">Elemento</w:t>
            </w:r>
          </w:p>
        </w:tc>
        <w:tc>
          <w:tcPr>
            <w:tcW w:w="2131" w:type="dxa"/>
            <w:shd w:val="clear" w:color="auto" w:fill="F2F2F2"/>
          </w:tcPr>
          <w:p>
            <w:pPr/>
            <w:r>
              <w:t xml:space="preserve">Hexagonal</w:t>
            </w:r>
          </w:p>
        </w:tc>
        <w:tc>
          <w:tcPr>
            <w:tcW w:w="2489" w:type="dxa"/>
            <w:shd w:val="clear" w:color="auto" w:fill="F2F2F2"/>
          </w:tcPr>
          <w:p>
            <w:pPr/>
            <w:r>
              <w:t xml:space="preserve">Limpia</w:t>
            </w:r>
          </w:p>
        </w:tc>
        <w:tc>
          <w:tcPr>
            <w:tcW w:w="2400" w:type="dxa"/>
            <w:shd w:val="clear" w:color="auto" w:fill="F2F2F2"/>
          </w:tcPr>
          <w:p>
            <w:pPr/>
            <w:r>
              <w:t xml:space="preserve">Cebolla</w:t>
            </w:r>
          </w:p>
        </w:tc>
      </w:tr>
      <w:tr>
        <w:tc>
          <w:tcPr>
            <w:tcW w:w="2340" w:type="dxa"/>
          </w:tcPr>
          <w:p>
            <w:pPr/>
            <w:r>
              <w:rPr>
                <w:rStyle w:val="CodeChar"/>
              </w:rPr>
              <w:t xml:space="preserve">OrderProcessor</w:t>
            </w:r>
          </w:p>
        </w:tc>
        <w:tc>
          <w:tcPr>
            <w:tcW w:w="2131" w:type="dxa"/>
          </w:tcPr>
          <w:p>
            <w:pPr/>
            <w:r>
              <w:t xml:space="preserve">Interior del hexágono</w:t>
            </w:r>
          </w:p>
        </w:tc>
        <w:tc>
          <w:tcPr>
            <w:tcW w:w="2489" w:type="dxa"/>
          </w:tcPr>
          <w:p>
            <w:pPr/>
            <w:r>
              <w:t xml:space="preserve">Casos de uso</w:t>
            </w:r>
          </w:p>
        </w:tc>
        <w:tc>
          <w:tcPr>
            <w:tcW w:w="2400" w:type="dxa"/>
          </w:tcPr>
          <w:p>
            <w:pPr/>
            <w:r>
              <w:t xml:space="preserve">Servicios de aplicación y dominio (núcleo)</w:t>
            </w:r>
          </w:p>
        </w:tc>
      </w:tr>
      <w:tr>
        <w:tc>
          <w:tcPr>
            <w:tcW w:w="2340" w:type="dxa"/>
          </w:tcPr>
          <w:p>
            <w:pPr/>
            <w:r>
              <w:rPr>
                <w:rStyle w:val="CodeChar"/>
              </w:rPr>
              <w:t xml:space="preserve">IAddressValidator</w:t>
            </w:r>
          </w:p>
        </w:tc>
        <w:tc>
          <w:tcPr>
            <w:tcW w:w="2131" w:type="dxa"/>
          </w:tcPr>
          <w:p>
            <w:pPr/>
            <w:r>
              <w:t xml:space="preserve">Puerto secundario (de salida)</w:t>
            </w:r>
          </w:p>
        </w:tc>
        <w:tc>
          <w:tcPr>
            <w:tcW w:w="2489" w:type="dxa"/>
          </w:tcPr>
          <w:p>
            <w:pPr/>
            <w:r>
              <w:t xml:space="preserve">Interfaz en el círculo de casos de uso, como el puerto de salida del presentador</w:t>
            </w:r>
          </w:p>
        </w:tc>
        <w:tc>
          <w:tcPr>
            <w:tcW w:w="2400" w:type="dxa"/>
          </w:tcPr>
          <w:p>
            <w:pPr/>
            <w:r>
              <w:t xml:space="preserve">Interfaz definida por el núcleo</w:t>
            </w:r>
          </w:p>
        </w:tc>
      </w:tr>
      <w:tr>
        <w:tc>
          <w:tcPr>
            <w:tcW w:w="2340" w:type="dxa"/>
          </w:tcPr>
          <w:p>
            <w:pPr/>
            <w:r>
              <w:rPr>
                <w:rStyle w:val="CodeChar"/>
              </w:rPr>
              <w:t xml:space="preserve">HttpAddressValidatorAdapter</w:t>
            </w:r>
          </w:p>
        </w:tc>
        <w:tc>
          <w:tcPr>
            <w:tcW w:w="2131" w:type="dxa"/>
          </w:tcPr>
          <w:p>
            <w:pPr/>
            <w:r>
              <w:t xml:space="preserve">Adaptador secundario</w:t>
            </w:r>
          </w:p>
        </w:tc>
        <w:tc>
          <w:tcPr>
            <w:tcW w:w="2489" w:type="dxa"/>
          </w:tcPr>
          <w:p>
            <w:pPr/>
            <w:r>
              <w:t xml:space="preserve">Adaptadores de interfaz</w:t>
            </w:r>
          </w:p>
        </w:tc>
        <w:tc>
          <w:tcPr>
            <w:tcW w:w="2400" w:type="dxa"/>
          </w:tcPr>
          <w:p>
            <w:pPr/>
            <w:r>
              <w:t xml:space="preserve">Infraestructura</w:t>
            </w:r>
          </w:p>
        </w:tc>
      </w:tr>
      <w:tr>
        <w:tc>
          <w:tcPr>
            <w:tcW w:w="2340" w:type="dxa"/>
          </w:tcPr>
          <w:p>
            <w:pPr/>
            <w:r>
              <w:t xml:space="preserve">Librería HTTP y proveedor</w:t>
            </w:r>
          </w:p>
        </w:tc>
        <w:tc>
          <w:tcPr>
            <w:tcW w:w="2131" w:type="dxa"/>
          </w:tcPr>
          <w:p>
            <w:pPr/>
            <w:r>
              <w:t xml:space="preserve">Dispositivo externo</w:t>
            </w:r>
          </w:p>
        </w:tc>
        <w:tc>
          <w:tcPr>
            <w:tcW w:w="2489" w:type="dxa"/>
          </w:tcPr>
          <w:p>
            <w:pPr/>
            <w:r>
              <w:rPr>
                <w:i/>
              </w:rPr>
              <w:t xml:space="preserve">Frameworks</w:t>
            </w:r>
            <w:r>
              <w:t xml:space="preserve"> y </w:t>
            </w:r>
            <w:r>
              <w:rPr>
                <w:i/>
              </w:rPr>
              <w:t xml:space="preserve">drivers</w:t>
            </w:r>
          </w:p>
        </w:tc>
        <w:tc>
          <w:tcPr>
            <w:tcW w:w="2400" w:type="dxa"/>
          </w:tcPr>
          <w:p>
            <w:pPr/>
            <w:r>
              <w:t xml:space="preserve">Infraestructura (exterior)</w:t>
            </w:r>
          </w:p>
        </w:tc>
      </w:tr>
      <w:tr>
        <w:tc>
          <w:tcPr>
            <w:tcW w:w="2340" w:type="dxa"/>
          </w:tcPr>
          <w:p>
            <w:pPr/>
            <w:r>
              <w:rPr>
                <w:rStyle w:val="CodeChar"/>
              </w:rPr>
              <w:t xml:space="preserve">Program.cs</w:t>
            </w:r>
          </w:p>
        </w:tc>
        <w:tc>
          <w:tcPr>
            <w:tcW w:w="2131" w:type="dxa"/>
          </w:tcPr>
          <w:p>
            <w:pPr/>
            <w:r>
              <w:t xml:space="preserve">Ensamblaje de puertos y adaptadores</w:t>
            </w:r>
          </w:p>
        </w:tc>
        <w:tc>
          <w:tcPr>
            <w:tcW w:w="2489" w:type="dxa"/>
          </w:tcPr>
          <w:p>
            <w:pPr/>
            <w:r>
              <w:t xml:space="preserve">Componente </w:t>
            </w:r>
            <w:r>
              <w:rPr>
                <w:i/>
              </w:rPr>
              <w:t xml:space="preserve">Main</w:t>
            </w:r>
          </w:p>
        </w:tc>
        <w:tc>
          <w:tcPr>
            <w:tcW w:w="2400" w:type="dxa"/>
          </w:tcPr>
          <w:p>
            <w:pPr/>
            <w:r>
              <w:t xml:space="preserve">Mecanismo de inyección en ejecución</w:t>
            </w:r>
          </w:p>
        </w:tc>
      </w:tr>
    </w:tbl>
    <w:p>
      <w:pPr/>
      <w:r>
        <w:t xml:space="preserve">Equivalencias según Cockburn (2005), Martin (2017, cap. 22) y Palermo (2008). La Guía de De la Torre et al. (2010) aplica el mismo esquema a repositorios y agentes de servicios externos: contratos en las capas internas, implementaciones en la infraestructura y resolución por IoC/DI.</w:t>
      </w:r>
    </w:p>
    <w:p>
      <w:pPr>
        <w:pStyle w:val="Heading3"/>
      </w:pPr>
      <w:r>
        <w:t xml:space="preserve">5. Criterios de diseño del puerto</w:t>
      </w:r>
    </w:p>
    <w:p>
      <w:pPr>
        <w:pStyle w:val="ListParagraph"/>
        <w:numPr>
          <w:ilvl w:val="0"/>
          <w:numId w:val="7"/>
        </w:numPr>
      </w:pPr>
      <w:r>
        <w:rPr>
          <w:b/>
        </w:rPr>
        <w:t xml:space="preserve">Lo posee el núcleo.</w:t>
      </w:r>
      <w:r>
        <w:t xml:space="preserve"> Se declara en el proyecto del núcleo y según lo que </w:t>
      </w:r>
      <w:r>
        <w:rPr>
          <w:rStyle w:val="CodeChar"/>
        </w:rPr>
        <w:t xml:space="preserve">OrderProcessor</w:t>
      </w:r>
      <w:r>
        <w:t xml:space="preserve"> necesita, no según lo que ofrece el proveedor. Para Cockburn (2005), un puerto identifica una conversación con propósito y puede tener muchos adaptadores, según la tecnología.</w:t>
      </w:r>
    </w:p>
    <w:p>
      <w:pPr>
        <w:pStyle w:val="ListParagraph"/>
        <w:numPr>
          <w:ilvl w:val="0"/>
          <w:numId w:val="7"/>
        </w:numPr>
      </w:pPr>
      <w:r>
        <w:rPr>
          <w:b/>
        </w:rPr>
        <w:t xml:space="preserve">Lenguaje del dominio.</w:t>
      </w:r>
      <w:r>
        <w:t xml:space="preserve"> La firma usa </w:t>
      </w:r>
      <w:r>
        <w:rPr>
          <w:rStyle w:val="CodeChar"/>
        </w:rPr>
        <w:t xml:space="preserve">Address</w:t>
      </w:r>
      <w:r>
        <w:t xml:space="preserve"> y </w:t>
      </w:r>
      <w:r>
        <w:rPr>
          <w:rStyle w:val="CodeChar"/>
        </w:rPr>
        <w:t xml:space="preserve">AddressValidationResult</w:t>
      </w:r>
      <w:r>
        <w:t xml:space="preserve">; ningún tipo HTTP, JSON o DTO del proveedor aparece en ella. Los datos que cruzan la frontera son estructuras simples, en la forma más cómoda para el círculo interior (Martin, 2017, cap. 22).</w:t>
      </w:r>
    </w:p>
    <w:p>
      <w:pPr>
        <w:pStyle w:val="ListParagraph"/>
        <w:numPr>
          <w:ilvl w:val="0"/>
          <w:numId w:val="7"/>
        </w:numPr>
      </w:pPr>
      <w:r>
        <w:rPr>
          <w:b/>
        </w:rPr>
        <w:t xml:space="preserve">Errores del dominio.</w:t>
      </w:r>
      <w:r>
        <w:t xml:space="preserve"> La indisponibilidad se expresa con una excepción del núcleo. Qué hacer ante ella (rechazar, reintentar luego, pasar a revisión manual) es regla de negocio y vive en </w:t>
      </w:r>
      <w:r>
        <w:rPr>
          <w:rStyle w:val="CodeChar"/>
        </w:rPr>
        <w:t xml:space="preserve">OrderProcessor</w:t>
      </w:r>
      <w:r>
        <w:t xml:space="preserve">; cómo se detecta (tiempos de espera, reintentos) es mecánica del adaptador.</w:t>
      </w:r>
    </w:p>
    <w:p>
      <w:pPr>
        <w:pStyle w:val="ListParagraph"/>
        <w:numPr>
          <w:ilvl w:val="0"/>
          <w:numId w:val="7"/>
        </w:numPr>
      </w:pPr>
      <w:r>
        <w:rPr>
          <w:b/>
        </w:rPr>
        <w:t xml:space="preserve">Estrecho y nombrado por capacidad.</w:t>
      </w:r>
      <w:r>
        <w:t xml:space="preserve"> Una sola operación, la que el caso de uso necesita (Martin, 2017, cap. 10), con un nombre que no menciona tecnología ni proveedor.</w:t>
      </w:r>
    </w:p>
    <w:p>
      <w:pPr>
        <w:pStyle w:val="Heading3"/>
      </w:pPr>
      <w:r>
        <w:t xml:space="preserve">6. Justificación: los detalles deben depender de las abstracciones</w:t>
      </w:r>
    </w:p>
    <w:p>
      <w:pPr/>
      <w:r>
        <w:t xml:space="preserve">Antes, el núcleo dependía del detalle. Ahora </w:t>
      </w:r>
      <w:r>
        <w:rPr>
          <w:rStyle w:val="CodeChar"/>
        </w:rPr>
        <w:t xml:space="preserve">OrderProcessor</w:t>
      </w:r>
      <w:r>
        <w:t xml:space="preserve"> (alto nivel) solo conoce </w:t>
      </w:r>
      <w:r>
        <w:rPr>
          <w:rStyle w:val="CodeChar"/>
        </w:rPr>
        <w:t xml:space="preserve">IAddressValidator</w:t>
      </w:r>
      <w:r>
        <w:t xml:space="preserve">; </w:t>
      </w:r>
      <w:r>
        <w:rPr>
          <w:rStyle w:val="CodeChar"/>
        </w:rPr>
        <w:t xml:space="preserve">HttpAddressValidatorAdapter</w:t>
      </w:r>
      <w:r>
        <w:t xml:space="preserve"> (detalle) depende de la abstracción que implementa; y la abstracción no depende de ningún detalle, porque su firma está libre de HTTP. Se cumplen las dos mitades del DIP. Lo decisivo no es «añadir una interfaz» sino </w:t>
      </w:r>
      <w:r>
        <w:rPr>
          <w:b/>
        </w:rPr>
        <w:t xml:space="preserve">quién la posee</w:t>
      </w:r>
      <w:r>
        <w:t xml:space="preserve">: si </w:t>
      </w:r>
      <w:r>
        <w:rPr>
          <w:rStyle w:val="CodeChar"/>
        </w:rPr>
        <w:t xml:space="preserve">IAddressValidator</w:t>
      </w:r>
      <w:r>
        <w:t xml:space="preserve"> viviera junto al adaptador, en infraestructura, el núcleo tendría que referenciarla y la dependencia seguiría apuntando hacia afuera. Con la interfaz en el núcleo, la dependencia entre proyectos pasa a ser Infraestructura → Núcleo y la Regla de Dependencia se vuelve verificable: el proyecto del núcleo no referencia ni la infraestructura ni paquetes HTTP, algo que puede reforzarse con pruebas de arquitectura automáticas en integración continua.</w:t>
      </w:r>
    </w:p>
    <w:p>
      <w:pPr>
        <w:pStyle w:val="Heading3"/>
      </w:pPr>
      <w:r>
        <w:t xml:space="preserve">7. Ruta de refactorización</w:t>
      </w:r>
    </w:p>
    <w:p>
      <w:pPr>
        <w:pStyle w:val="ListParagraph"/>
        <w:numPr>
          <w:ilvl w:val="0"/>
          <w:numId w:val="8"/>
        </w:numPr>
      </w:pPr>
      <w:r>
        <w:t xml:space="preserve">Extraer </w:t>
      </w:r>
      <w:r>
        <w:rPr>
          <w:rStyle w:val="CodeChar"/>
        </w:rPr>
        <w:t xml:space="preserve">IAddressValidator</w:t>
      </w:r>
      <w:r>
        <w:t xml:space="preserve"> con lo que </w:t>
      </w:r>
      <w:r>
        <w:rPr>
          <w:rStyle w:val="CodeChar"/>
        </w:rPr>
        <w:t xml:space="preserve">OrderProcessor</w:t>
      </w:r>
      <w:r>
        <w:t xml:space="preserve"> realmente usa, expresado en tipos del dominio, y alojarla en el núcleo.</w:t>
      </w:r>
    </w:p>
    <w:p>
      <w:pPr>
        <w:pStyle w:val="ListParagraph"/>
        <w:numPr>
          <w:ilvl w:val="0"/>
          <w:numId w:val="8"/>
        </w:numPr>
      </w:pPr>
      <w:r>
        <w:t xml:space="preserve">Hacer que </w:t>
      </w:r>
      <w:r>
        <w:rPr>
          <w:rStyle w:val="CodeChar"/>
        </w:rPr>
        <w:t xml:space="preserve">AddressValidatorService</w:t>
      </w:r>
      <w:r>
        <w:t xml:space="preserve"> implemente la interfaz, renombrarla como adaptador y moverla a infraestructura junto con la librería HTTP y los DTO.</w:t>
      </w:r>
    </w:p>
    <w:p>
      <w:pPr>
        <w:pStyle w:val="ListParagraph"/>
        <w:numPr>
          <w:ilvl w:val="0"/>
          <w:numId w:val="8"/>
        </w:numPr>
      </w:pPr>
      <w:r>
        <w:t xml:space="preserve">Inyectar </w:t>
      </w:r>
      <w:r>
        <w:rPr>
          <w:rStyle w:val="CodeChar"/>
        </w:rPr>
        <w:t xml:space="preserve">IAddressValidator</w:t>
      </w:r>
      <w:r>
        <w:t xml:space="preserve"> por constructor en </w:t>
      </w:r>
      <w:r>
        <w:rPr>
          <w:rStyle w:val="CodeChar"/>
        </w:rPr>
        <w:t xml:space="preserve">OrderProcessor</w:t>
      </w:r>
      <w:r>
        <w:t xml:space="preserve"> y eliminar el </w:t>
      </w:r>
      <w:r>
        <w:rPr>
          <w:rStyle w:val="CodeChar"/>
        </w:rPr>
        <w:t xml:space="preserve">new</w:t>
      </w:r>
      <w:r>
        <w:t xml:space="preserve">.</w:t>
      </w:r>
    </w:p>
    <w:p>
      <w:pPr>
        <w:pStyle w:val="ListParagraph"/>
        <w:numPr>
          <w:ilvl w:val="0"/>
          <w:numId w:val="8"/>
        </w:numPr>
      </w:pPr>
      <w:r>
        <w:t xml:space="preserve">Registrar la implementación en el punto de composición.</w:t>
      </w:r>
    </w:p>
    <w:p>
      <w:pPr>
        <w:pStyle w:val="ListParagraph"/>
        <w:numPr>
          <w:ilvl w:val="0"/>
          <w:numId w:val="8"/>
        </w:numPr>
      </w:pPr>
      <w:r>
        <w:t xml:space="preserve">Escribir las pruebas del núcleo con un doble de prueba y las del adaptador con un manejador HTTP simulado.</w:t>
      </w:r>
    </w:p>
    <w:p>
      <w:pPr>
        <w:pStyle w:val="Heading2"/>
      </w:pPr>
      <w:r>
        <w:t xml:space="preserve">c) Pruebas aisladas y mantenibilidad</w:t>
      </w:r>
    </w:p>
    <w:p>
      <w:pPr>
        <w:pStyle w:val="Heading3"/>
      </w:pPr>
      <w:r>
        <w:t xml:space="preserve">1. Probar OrderProcessor sin red ni librería HTTP</w:t>
      </w:r>
    </w:p>
    <w:p>
      <w:pPr/>
      <w:r>
        <w:rPr>
          <w:rStyle w:val="CodeChar"/>
        </w:rPr>
        <w:t xml:space="preserve">OrderProcessor</w:t>
      </w:r>
      <w:r>
        <w:t xml:space="preserve"> solo conoce </w:t>
      </w:r>
      <w:r>
        <w:rPr>
          <w:rStyle w:val="CodeChar"/>
        </w:rPr>
        <w:t xml:space="preserve">IAddressValidator</w:t>
      </w:r>
      <w:r>
        <w:t xml:space="preserve">, así que en las pruebas se le entrega un doble de prueba en lugar del adaptador. Es lo que busca Cockburn (2005), una aplicación conducida por pruebas automatizadas sin dispositivos reales; lo que exige Palermo (2008) al pedir que el núcleo se ejecute sin infraestructura; y lo que Martin (2017, cap. 28) describe al ubicar las pruebas como el círculo más externo, que depende hacia adentro. La Guía de De la Torre et al. (2010) plantea la inyección de dependencias en esa misma línea, para poder sustituir implementaciones reales por simuladas.</w:t>
      </w:r>
    </w:p>
    <w:p>
      <w:pPr>
        <w:pStyle w:val="Code"/>
      </w:pPr>
      <w:bookmarkStart w:id="4" w:name="bongo_lang_csharp_4"/>
      <w:bookmarkEnd w:id="4"/>
      <w:r>
        <w:t xml:space="preserve">public class FakeAddressValidator : IAddressValidator            // doble de prueba programable</w:t>
        <w:br/>
        <w:t xml:space="preserve">{</w:t>
        <w:br/>
        <w:t xml:space="preserve">    public AddressValidationResult Response { get; set; } = new(true);</w:t>
        <w:br/>
        <w:t xml:space="preserve">    public bool Unavailable { get; set; }</w:t>
        <w:br/>
        <w:br/>
        <w:t xml:space="preserve">    public Task&lt;AddressValidationResult&gt; ValidateAsync(Address address) =&gt;</w:t>
        <w:br/>
        <w:t xml:space="preserve">        Unavailable</w:t>
        <w:br/>
        <w:t xml:space="preserve">            ? Task.FromException&lt;AddressValidationResult&gt;(</w:t>
        <w:br/>
        <w:t xml:space="preserve">                  new AddressValidationUnavailableException("simulado"))</w:t>
        <w:br/>
        <w:t xml:space="preserve">            : Task.FromResult(Response);</w:t>
        <w:br/>
        <w:t xml:space="preserve">}</w:t>
        <w:br/>
        <w:br/>
        <w:t xml:space="preserve">public class OrderProcessorTests          // sin red, sin HTTP, sin la librería HTTP</w:t>
        <w:br/>
        <w:t xml:space="preserve">{</w:t>
        <w:br/>
        <w:t xml:space="preserve">    [Fact]</w:t>
        <w:br/>
        <w:t xml:space="preserve">    public async Task Rechaza_el_pedido_si_la_direccion_es_invalida()</w:t>
        <w:br/>
        <w:t xml:space="preserve">    {</w:t>
        <w:br/>
        <w:t xml:space="preserve">        var validator = new FakeAddressValidator { Response = new(false, "No existe") };</w:t>
        <w:br/>
        <w:t xml:space="preserve">        var order = new OrderBuilder().Build();                  // ayudante de pruebas</w:t>
        <w:br/>
        <w:br/>
        <w:t xml:space="preserve">        await new OrderProcessor(validator).ProcessAsync(order);</w:t>
        <w:br/>
        <w:br/>
        <w:t xml:space="preserve">        Assert.Equal(OrderStatus.Rejected, order.Status);</w:t>
        <w:br/>
        <w:t xml:space="preserve">    }</w:t>
        <w:br/>
        <w:br/>
        <w:t xml:space="preserve">    [Fact]</w:t>
        <w:br/>
        <w:t xml:space="preserve">    public async Task Queda_en_revision_si_el_validador_no_esta_disponible()</w:t>
        <w:br/>
        <w:t xml:space="preserve">    {</w:t>
        <w:br/>
        <w:t xml:space="preserve">        var validator = new FakeAddressValidator { Unavailable = true };</w:t>
        <w:br/>
        <w:t xml:space="preserve">        var order = new OrderBuilder().Build();</w:t>
        <w:br/>
        <w:br/>
        <w:t xml:space="preserve">        await new OrderProcessor(validator).ProcessAsync(order);</w:t>
        <w:br/>
        <w:br/>
        <w:t xml:space="preserve">        Assert.Equal(OrderStatus.PendingAddressReview, order.Status);</w:t>
        <w:br/>
        <w:t xml:space="preserve">    }</w:t>
        <w:br/>
        <w:t xml:space="preserve">}</w:t>
      </w:r>
    </w:p>
    <w:p>
      <w:pPr/>
      <w:r>
        <w:rPr>
          <w:b/>
        </w:rPr>
        <w:t xml:space="preserve">Qué se gana:</w:t>
      </w:r>
    </w:p>
    <w:p>
      <w:pPr>
        <w:pStyle w:val="ListParagraph"/>
        <w:numPr>
          <w:ilvl w:val="0"/>
          <w:numId w:val="9"/>
        </w:numPr>
      </w:pPr>
      <w:r>
        <w:rPr>
          <w:b/>
        </w:rPr>
        <w:t xml:space="preserve">Aislamiento y determinismo:</w:t>
      </w:r>
      <w:r>
        <w:t xml:space="preserve"> el resultado depende solo de la lógica de negocio, no del proveedor ni de la red; sin entrada/salida, las pruebas son repetibles y rápidas.</w:t>
      </w:r>
    </w:p>
    <w:p>
      <w:pPr>
        <w:pStyle w:val="ListParagraph"/>
        <w:numPr>
          <w:ilvl w:val="0"/>
          <w:numId w:val="9"/>
        </w:numPr>
      </w:pPr>
      <w:r>
        <w:rPr>
          <w:b/>
        </w:rPr>
        <w:t xml:space="preserve">Escenarios difíciles:</w:t>
      </w:r>
      <w:r>
        <w:t xml:space="preserve"> se simulan sin esfuerzo la dirección inválida, el tiempo de espera o el proveedor caído, casos raros o costosos de provocar con el servicio real.</w:t>
      </w:r>
    </w:p>
    <w:p>
      <w:pPr>
        <w:pStyle w:val="ListParagraph"/>
        <w:numPr>
          <w:ilvl w:val="0"/>
          <w:numId w:val="9"/>
        </w:numPr>
      </w:pPr>
      <w:r>
        <w:rPr>
          <w:b/>
        </w:rPr>
        <w:t xml:space="preserve">Independencia de la librería:</w:t>
      </w:r>
      <w:r>
        <w:t xml:space="preserve"> el proyecto de pruebas del núcleo no referencia la librería HTTP; actualizarla o sustituirla no lo afecta, porque depende solo del contrato abstracto.</w:t>
      </w:r>
    </w:p>
    <w:p>
      <w:pPr>
        <w:pStyle w:val="Heading3"/>
      </w:pPr>
      <w:r>
        <w:t xml:space="preserve">2. Pruebas del adaptador</w:t>
      </w:r>
    </w:p>
    <w:p>
      <w:pPr/>
      <w:r>
        <w:t xml:space="preserve">HTTP no desaparece de la estrategia de pruebas: queda confinado a un componente delgado. El adaptador se verifica con pocas pruebas de integración (traducción de datos en ambos sentidos y conversión de fallos técnicos en </w:t>
      </w:r>
      <w:r>
        <w:rPr>
          <w:rStyle w:val="CodeChar"/>
        </w:rPr>
        <w:t xml:space="preserve">AddressValidationUnavailableException</w:t>
      </w:r>
      <w:r>
        <w:t xml:space="preserve">), con un manejador HTTP simulado o el entorno de pruebas del proveedor. Un doble de prueba nunca valida al proveedor real, por eso ambos tipos de pruebas se complementan.</w:t>
      </w:r>
    </w:p>
    <w:p>
      <w:pPr>
        <w:pStyle w:val="Heading3"/>
      </w:pPr>
      <w:r>
        <w:t xml:space="preserve">3. Mantenibilidad y cambio del proveedor</w:t>
      </w:r>
    </w:p>
    <w:p>
      <w:pPr/>
      <w:r>
        <w:t xml:space="preserve">Cambiar de proveedor significa escribir otro adaptador (</w:t>
      </w:r>
      <w:r>
        <w:rPr>
          <w:rStyle w:val="CodeChar"/>
        </w:rPr>
        <w:t xml:space="preserve">OtroProveedorAddressValidatorAdapter : IAddressValidator</w:t>
      </w:r>
      <w:r>
        <w:t xml:space="preserve">) y cambiar una línea del punto de composición. </w:t>
      </w:r>
      <w:r>
        <w:rPr>
          <w:rStyle w:val="CodeChar"/>
        </w:rPr>
        <w:t xml:space="preserve">OrderProcessor</w:t>
      </w:r>
      <w:r>
        <w:t xml:space="preserve"> y sus pruebas no se tocan: el núcleo queda cerrado a la modificación y abierto a la extensión (Martin, 2017, cap. 8). Además, un puerto admite varios adaptadores a la vez (Cockburn, 2005): el HTTP de producción, uno en memoria para desarrollo, un segundo proveedor de respaldo o un adaptador que envuelve a otro para añadir caché, todo sin modificar el negocio.</w:t>
      </w:r>
    </w:p>
    <w:tbl>
      <w:tblPr>
        <w:tblStyle w:val="TableGrid"/>
        <w:tblW w:w="0" w:type="auto"/>
        <w:tblLayout w:type="fixed"/>
        <w:tblLook w:val="04A0" w:firstRow="1" w:lastRow="0" w:firstColumn="0" w:lastColumn="0" w:noHBand="0" w:noVBand="1"/>
      </w:tblPr>
      <w:tblGrid>
        <w:gridCol w:w="2543"/>
        <w:gridCol w:w="4029"/>
        <w:gridCol w:w="2788"/>
      </w:tblGrid>
      <w:tr>
        <w:trPr>
          <w:tblHeader/>
        </w:trPr>
        <w:tc>
          <w:tcPr>
            <w:tcW w:w="2543" w:type="dxa"/>
            <w:shd w:val="clear" w:color="auto" w:fill="F2F2F2"/>
          </w:tcPr>
          <w:p>
            <w:pPr/>
            <w:r>
              <w:t xml:space="preserve">Cambio</w:t>
            </w:r>
          </w:p>
        </w:tc>
        <w:tc>
          <w:tcPr>
            <w:tcW w:w="4029" w:type="dxa"/>
            <w:shd w:val="clear" w:color="auto" w:fill="F2F2F2"/>
          </w:tcPr>
          <w:p>
            <w:pPr/>
            <w:r>
              <w:t xml:space="preserve">Antes</w:t>
            </w:r>
          </w:p>
        </w:tc>
        <w:tc>
          <w:tcPr>
            <w:tcW w:w="2788" w:type="dxa"/>
            <w:shd w:val="clear" w:color="auto" w:fill="F2F2F2"/>
          </w:tcPr>
          <w:p>
            <w:pPr/>
            <w:r>
              <w:t xml:space="preserve">Después</w:t>
            </w:r>
          </w:p>
        </w:tc>
      </w:tr>
      <w:tr>
        <w:tc>
          <w:tcPr>
            <w:tcW w:w="2543" w:type="dxa"/>
          </w:tcPr>
          <w:p>
            <w:pPr/>
            <w:r>
              <w:t xml:space="preserve">Cambiar de proveedor</w:t>
            </w:r>
          </w:p>
        </w:tc>
        <w:tc>
          <w:tcPr>
            <w:tcW w:w="4029" w:type="dxa"/>
          </w:tcPr>
          <w:p>
            <w:pPr/>
            <w:r>
              <w:rPr>
                <w:rStyle w:val="CodeChar"/>
              </w:rPr>
              <w:t xml:space="preserve">AddressValidatorService</w:t>
            </w:r>
            <w:r>
              <w:t xml:space="preserve"> y, según cuánto se haya filtrado su semántica, </w:t>
            </w:r>
            <w:r>
              <w:rPr>
                <w:rStyle w:val="CodeChar"/>
              </w:rPr>
              <w:t xml:space="preserve">OrderProcessor</w:t>
            </w:r>
            <w:r>
              <w:t xml:space="preserve"> y sus pruebas</w:t>
            </w:r>
          </w:p>
        </w:tc>
        <w:tc>
          <w:tcPr>
            <w:tcW w:w="2788" w:type="dxa"/>
          </w:tcPr>
          <w:p>
            <w:pPr/>
            <w:r>
              <w:t xml:space="preserve">Un adaptador nuevo y una línea en el punto de composición</w:t>
            </w:r>
          </w:p>
        </w:tc>
      </w:tr>
      <w:tr>
        <w:tc>
          <w:tcPr>
            <w:tcW w:w="2543" w:type="dxa"/>
          </w:tcPr>
          <w:p>
            <w:pPr/>
            <w:r>
              <w:t xml:space="preserve">Actualizar o sustituir la librería HTTP</w:t>
            </w:r>
          </w:p>
        </w:tc>
        <w:tc>
          <w:tcPr>
            <w:tcW w:w="4029" w:type="dxa"/>
          </w:tcPr>
          <w:p>
            <w:pPr/>
            <w:r>
              <w:t xml:space="preserve">La clase concreta; puede afectar al núcleo por la dependencia transitiva</w:t>
            </w:r>
          </w:p>
        </w:tc>
        <w:tc>
          <w:tcPr>
            <w:tcW w:w="2788" w:type="dxa"/>
          </w:tcPr>
          <w:p>
            <w:pPr/>
            <w:r>
              <w:t xml:space="preserve">Solo el adaptador</w:t>
            </w:r>
          </w:p>
        </w:tc>
      </w:tr>
      <w:tr>
        <w:tc>
          <w:tcPr>
            <w:tcW w:w="2543" w:type="dxa"/>
          </w:tcPr>
          <w:p>
            <w:pPr/>
            <w:r>
              <w:t xml:space="preserve">El proveedor cambia su formato de datos</w:t>
            </w:r>
          </w:p>
        </w:tc>
        <w:tc>
          <w:tcPr>
            <w:tcW w:w="4029" w:type="dxa"/>
          </w:tcPr>
          <w:p>
            <w:pPr/>
            <w:r>
              <w:t xml:space="preserve">La clase concreta y todo lo que use su semántica</w:t>
            </w:r>
          </w:p>
        </w:tc>
        <w:tc>
          <w:tcPr>
            <w:tcW w:w="2788" w:type="dxa"/>
          </w:tcPr>
          <w:p>
            <w:pPr/>
            <w:r>
              <w:t xml:space="preserve">Solo el mapeo del adaptador</w:t>
            </w:r>
          </w:p>
        </w:tc>
      </w:tr>
      <w:tr>
        <w:tc>
          <w:tcPr>
            <w:tcW w:w="2543" w:type="dxa"/>
          </w:tcPr>
          <w:p>
            <w:pPr/>
            <w:r>
              <w:t xml:space="preserve">Pasar de HTTP a otro protocolo</w:t>
            </w:r>
          </w:p>
        </w:tc>
        <w:tc>
          <w:tcPr>
            <w:tcW w:w="4029" w:type="dxa"/>
          </w:tcPr>
          <w:p>
            <w:pPr/>
            <w:r>
              <w:t xml:space="preserve">Reescritura con riesgo para el núcleo</w:t>
            </w:r>
          </w:p>
        </w:tc>
        <w:tc>
          <w:tcPr>
            <w:tcW w:w="2788" w:type="dxa"/>
          </w:tcPr>
          <w:p>
            <w:pPr/>
            <w:r>
              <w:t xml:space="preserve">Otro adaptador del mismo puerto</w:t>
            </w:r>
          </w:p>
        </w:tc>
      </w:tr>
      <w:tr>
        <w:tc>
          <w:tcPr>
            <w:tcW w:w="2543" w:type="dxa"/>
          </w:tcPr>
          <w:p>
            <w:pPr/>
            <w:r>
              <w:t xml:space="preserve">Cambiar la política ante indisponibilidad</w:t>
            </w:r>
          </w:p>
        </w:tc>
        <w:tc>
          <w:tcPr>
            <w:tcW w:w="4029" w:type="dxa"/>
          </w:tcPr>
          <w:p>
            <w:pPr/>
            <w:r>
              <w:t xml:space="preserve">Entrelazada con código HTTP</w:t>
            </w:r>
          </w:p>
        </w:tc>
        <w:tc>
          <w:tcPr>
            <w:tcW w:w="2788" w:type="dxa"/>
          </w:tcPr>
          <w:p>
            <w:pPr/>
            <w:r>
              <w:t xml:space="preserve">Una decisión de negocio localizada en </w:t>
            </w:r>
            <w:r>
              <w:rPr>
                <w:rStyle w:val="CodeChar"/>
              </w:rPr>
              <w:t xml:space="preserve">OrderProcessor</w:t>
            </w:r>
          </w:p>
        </w:tc>
      </w:tr>
    </w:tbl>
    <w:p>
      <w:pPr>
        <w:pStyle w:val="Heading3"/>
      </w:pPr>
      <w:r>
        <w:t xml:space="preserve">4. Costos y precauciones</w:t>
      </w:r>
    </w:p>
    <w:p>
      <w:pPr>
        <w:pStyle w:val="ListParagraph"/>
        <w:numPr>
          <w:ilvl w:val="0"/>
          <w:numId w:val="10"/>
        </w:numPr>
      </w:pPr>
      <w:r>
        <w:rPr>
          <w:b/>
        </w:rPr>
        <w:t xml:space="preserve">Costo:</w:t>
      </w:r>
      <w:r>
        <w:t xml:space="preserve"> una interfaz, una clase adaptadora, mapeo y configuración de inyección: más código e indirección. Es un </w:t>
      </w:r>
      <w:r>
        <w:rPr>
          <w:i/>
        </w:rPr>
        <w:t xml:space="preserve">trade-off</w:t>
      </w:r>
      <w:r>
        <w:t xml:space="preserve">, como toda decisión arquitectónica (Richards &amp; Ford, 2020, cap. 1); se justifica ante dependencias volátiles y externas como esta, no ante clases estables (Martin, 2017, cap. 11).</w:t>
      </w:r>
    </w:p>
    <w:p>
      <w:pPr>
        <w:pStyle w:val="ListParagraph"/>
        <w:numPr>
          <w:ilvl w:val="0"/>
          <w:numId w:val="10"/>
        </w:numPr>
      </w:pPr>
      <w:r>
        <w:rPr>
          <w:b/>
        </w:rPr>
        <w:t xml:space="preserve">Abstracción con fugas:</w:t>
      </w:r>
      <w:r>
        <w:t xml:space="preserve"> si el puerto expone tipos HTTP o del proveedor, el aislamiento es solo aparente.</w:t>
      </w:r>
    </w:p>
    <w:p>
      <w:pPr>
        <w:pStyle w:val="ListParagraph"/>
        <w:numPr>
          <w:ilvl w:val="0"/>
          <w:numId w:val="10"/>
        </w:numPr>
      </w:pPr>
      <w:r>
        <w:rPr>
          <w:b/>
        </w:rPr>
        <w:t xml:space="preserve">Interfaz mal ubicada:</w:t>
      </w:r>
      <w:r>
        <w:t xml:space="preserve"> declarada junto a su implementación, no invierte nada.</w:t>
      </w:r>
    </w:p>
    <w:p>
      <w:pPr>
        <w:pStyle w:val="ListParagraph"/>
        <w:numPr>
          <w:ilvl w:val="0"/>
          <w:numId w:val="10"/>
        </w:numPr>
      </w:pPr>
      <w:r>
        <w:rPr>
          <w:b/>
        </w:rPr>
        <w:t xml:space="preserve">Dobles que mienten:</w:t>
      </w:r>
      <w:r>
        <w:t xml:space="preserve"> un doble no equivale al proveedor real; por eso se mantienen las pruebas del adaptador.</w:t>
      </w:r>
    </w:p>
    <w:p>
      <w:pPr>
        <w:pStyle w:val="ListParagraph"/>
        <w:numPr>
          <w:ilvl w:val="0"/>
          <w:numId w:val="10"/>
        </w:numPr>
      </w:pPr>
      <w:r>
        <w:rPr>
          <w:b/>
        </w:rPr>
        <w:t xml:space="preserve">Dependencias ocultas:</w:t>
      </w:r>
      <w:r>
        <w:t xml:space="preserve"> conviene preferir la inyección por constructor a </w:t>
      </w:r>
      <w:r>
        <w:rPr>
          <w:rStyle w:val="CodeChar"/>
        </w:rPr>
        <w:t xml:space="preserve">new</w:t>
      </w:r>
      <w:r>
        <w:t xml:space="preserve"> o a localizadores de servicios; solo el punto de composición nombra clases concretas (Martin, 2017, cap. 26).</w:t>
      </w:r>
    </w:p>
    <w:p>
      <w:pPr>
        <w:pStyle w:val="Heading2"/>
      </w:pPr>
      <w:r>
        <w:t xml:space="preserve">Conclusión</w:t>
      </w:r>
    </w:p>
    <w:p>
      <w:pPr/>
      <w:r>
        <w:t xml:space="preserve">La implementación original no falla por usar un servicio externo, sino por la dirección de su dependencia: el negocio depende de un detalle. Invertirla (puerto en el núcleo, adaptador en la infraestructura y composición en el borde) hace coincidir a las arquitecturas Hexagonal, Limpia y Cebolla en lo esencial: un núcleo independiente de la tecnología, detalles intercambiables y pruebas rápidas y aisladas. El precio es una indirección adicional, que vale la pena en fronteras volátiles como esta.</w:t>
      </w:r>
    </w:p>
    <w:p>
      <w:pPr>
        <w:pStyle w:val="Heading2"/>
      </w:pPr>
      <w:r>
        <w:t xml:space="preserve">Referencias</w:t>
      </w:r>
    </w:p>
    <w:p>
      <w:pPr>
        <w:pStyle w:val="ListParagraph"/>
        <w:numPr>
          <w:ilvl w:val="0"/>
          <w:numId w:val="11"/>
        </w:numPr>
      </w:pPr>
      <w:r>
        <w:t xml:space="preserve">Cockburn, A. (2005). </w:t>
      </w:r>
      <w:r>
        <w:rPr>
          <w:i/>
        </w:rPr>
        <w:t xml:space="preserve">Hexagonal architecture (Ports and Adapters)</w:t>
      </w:r>
      <w:r>
        <w:t xml:space="preserve">. https://alistair.cockburn.us/hexagonal-architecture/</w:t>
      </w:r>
    </w:p>
    <w:p>
      <w:pPr>
        <w:pStyle w:val="ListParagraph"/>
        <w:numPr>
          <w:ilvl w:val="0"/>
          <w:numId w:val="11"/>
        </w:numPr>
      </w:pPr>
      <w:r>
        <w:t xml:space="preserve">De la Torre Llorente, C., Zorrilla Castro, U., Ramos Barroso, M. A., &amp; Calvarro Nelson, J. (2010). </w:t>
      </w:r>
      <w:r>
        <w:rPr>
          <w:i/>
        </w:rPr>
        <w:t xml:space="preserve">Guía de Arquitectura N-Capas orientada al Dominio con .NET 4.0</w:t>
      </w:r>
      <w:r>
        <w:t xml:space="preserve"> (Borrador). Microsoft Ibérica.</w:t>
      </w:r>
    </w:p>
    <w:p>
      <w:pPr>
        <w:pStyle w:val="ListParagraph"/>
        <w:numPr>
          <w:ilvl w:val="0"/>
          <w:numId w:val="11"/>
        </w:numPr>
      </w:pPr>
      <w:r>
        <w:t xml:space="preserve">Martin, R. C. (2017). </w:t>
      </w:r>
      <w:r>
        <w:rPr>
          <w:i/>
        </w:rPr>
        <w:t xml:space="preserve">Clean Architecture: A Craftsman’s Guide to Software Structure and Design</w:t>
      </w:r>
      <w:r>
        <w:t xml:space="preserve">. Prentice Hall.</w:t>
      </w:r>
    </w:p>
    <w:p>
      <w:pPr>
        <w:pStyle w:val="ListParagraph"/>
        <w:numPr>
          <w:ilvl w:val="0"/>
          <w:numId w:val="11"/>
        </w:numPr>
      </w:pPr>
      <w:r>
        <w:t xml:space="preserve">Palermo, J. (2008). </w:t>
      </w:r>
      <w:r>
        <w:rPr>
          <w:i/>
        </w:rPr>
        <w:t xml:space="preserve">The Onion Architecture: Part 1</w:t>
      </w:r>
      <w:r>
        <w:t xml:space="preserve">. https://jeffreypalermo.com/2008/07/the-onion-architecture-part-1/</w:t>
      </w:r>
    </w:p>
    <w:p>
      <w:pPr>
        <w:pStyle w:val="ListParagraph"/>
        <w:numPr>
          <w:ilvl w:val="0"/>
          <w:numId w:val="11"/>
        </w:numPr>
      </w:pPr>
      <w:r>
        <w:t xml:space="preserve">Richards, M., &amp; Ford, N. (2020). </w:t>
      </w:r>
      <w:r>
        <w:rPr>
          <w:i/>
        </w:rPr>
        <w:t xml:space="preserve">Fundamentals of Software Architecture: An Engineering Approach</w:t>
      </w:r>
      <w:r>
        <w:t xml:space="preserve">. O’Reilly Media.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Pregunta 4 Evaluación de la Inversión de Dependencias en la Práctica</dc:title>
  <dc:description>Claude Docs node/5b2a1812-ac5b@1 docx-w7</dc:description>
  <cp:revision>1</cp:revision>
</cp:coreProperties>
</file>