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60"/>
      </w:pPr>
      <w:r>
        <w:rPr>
          <w:rFonts w:ascii="Arial" w:cs="Arial" w:eastAsia="Arial" w:hAnsi="Arial"/>
          <w:b/>
          <w:bCs/>
          <w:caps/>
          <w:color w:val="B11F4B"/>
          <w:sz w:val="20"/>
          <w:szCs w:val="20"/>
        </w:rPr>
        <w:t xml:space="preserve">Industry AI Days</w:t>
      </w:r>
    </w:p>
    <w:p>
      <w:pPr>
        <w:pStyle w:val="Title"/>
        <w:spacing w:after="90" w:before="0" w:line="480"/>
      </w:pPr>
      <w:r>
        <w:rPr>
          <w:rFonts w:ascii="Arial" w:cs="Arial" w:eastAsia="Arial" w:hAnsi="Arial"/>
          <w:b/>
          <w:bCs/>
          <w:color w:val="242424"/>
          <w:sz w:val="42"/>
          <w:szCs w:val="42"/>
        </w:rPr>
        <w:t xml:space="preserve">Bounded Agency Scenario Worksheet</w:t>
      </w:r>
    </w:p>
    <w:p>
      <w:pPr>
        <w:spacing w:after="220" w:before="0" w:line="300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Use this canvas to leave the session with one strategic workflow, one bounded agent role, one human triage model, and one partner/SI-ready pilot path.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70" w:before="0" w:line="260"/>
            </w:pPr>
            <w:r>
              <w:rPr>
                <w:rFonts w:ascii="Arial" w:cs="Arial" w:eastAsia="Arial" w:hAnsi="Arial"/>
                <w:b/>
                <w:bCs/>
                <w:caps/>
                <w:color w:val="B11F4B"/>
                <w:sz w:val="17"/>
                <w:szCs w:val="17"/>
              </w:rPr>
              <w:t xml:space="preserve">Industry / customer</w:t>
            </w:r>
          </w:p>
          <w:p>
            <w:pPr>
              <w:spacing w:after="80" w:before="0" w:line="230"/>
            </w:pPr>
            <w:r>
              <w:rPr>
                <w:rFonts w:ascii="Arial" w:cs="Arial" w:eastAsia="Arial" w:hAnsi="Arial"/>
                <w:color w:val="5C5C5C"/>
                <w:sz w:val="18"/>
                <w:szCs w:val="18"/>
              </w:rPr>
              <w:t xml:space="preserve">Name the industry lens, customer, or business unit.</w:t>
            </w:r>
          </w:p>
          <w:p>
            <w:pPr>
              <w:spacing w:after="42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70" w:before="0" w:line="260"/>
            </w:pPr>
            <w:r>
              <w:rPr>
                <w:rFonts w:ascii="Arial" w:cs="Arial" w:eastAsia="Arial" w:hAnsi="Arial"/>
                <w:b/>
                <w:bCs/>
                <w:caps/>
                <w:color w:val="B11F4B"/>
                <w:sz w:val="17"/>
                <w:szCs w:val="17"/>
              </w:rPr>
              <w:t xml:space="preserve">Strategic priority</w:t>
            </w:r>
          </w:p>
          <w:p>
            <w:pPr>
              <w:spacing w:after="80" w:before="0" w:line="230"/>
            </w:pPr>
            <w:r>
              <w:rPr>
                <w:rFonts w:ascii="Arial" w:cs="Arial" w:eastAsia="Arial" w:hAnsi="Arial"/>
                <w:color w:val="5C5C5C"/>
                <w:sz w:val="18"/>
                <w:szCs w:val="18"/>
              </w:rPr>
              <w:t xml:space="preserve">Retention, backlog, revenue, safety, compliance, service quality, etc.</w:t>
            </w:r>
          </w:p>
          <w:p>
            <w:pPr>
              <w:spacing w:after="42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70" w:before="0" w:line="260"/>
            </w:pPr>
            <w:r>
              <w:rPr>
                <w:rFonts w:ascii="Arial" w:cs="Arial" w:eastAsia="Arial" w:hAnsi="Arial"/>
                <w:b/>
                <w:bCs/>
                <w:caps/>
                <w:color w:val="B11F4B"/>
                <w:sz w:val="17"/>
                <w:szCs w:val="17"/>
              </w:rPr>
              <w:t xml:space="preserve">Workflow name</w:t>
            </w:r>
          </w:p>
          <w:p>
            <w:pPr>
              <w:spacing w:after="80" w:before="0" w:line="230"/>
            </w:pPr>
            <w:r>
              <w:rPr>
                <w:rFonts w:ascii="Arial" w:cs="Arial" w:eastAsia="Arial" w:hAnsi="Arial"/>
                <w:color w:val="5C5C5C"/>
                <w:sz w:val="18"/>
                <w:szCs w:val="18"/>
              </w:rPr>
              <w:t xml:space="preserve">Give the workflow a plain-English name.</w:t>
            </w:r>
          </w:p>
          <w:p>
            <w:pPr>
              <w:spacing w:after="42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70" w:before="0" w:line="260"/>
            </w:pPr>
            <w:r>
              <w:rPr>
                <w:rFonts w:ascii="Arial" w:cs="Arial" w:eastAsia="Arial" w:hAnsi="Arial"/>
                <w:b/>
                <w:bCs/>
                <w:caps/>
                <w:color w:val="B11F4B"/>
                <w:sz w:val="17"/>
                <w:szCs w:val="17"/>
              </w:rPr>
              <w:t xml:space="preserve">Pilot owner</w:t>
            </w:r>
          </w:p>
          <w:p>
            <w:pPr>
              <w:spacing w:after="80" w:before="0" w:line="230"/>
            </w:pPr>
            <w:r>
              <w:rPr>
                <w:rFonts w:ascii="Arial" w:cs="Arial" w:eastAsia="Arial" w:hAnsi="Arial"/>
                <w:color w:val="5C5C5C"/>
                <w:sz w:val="18"/>
                <w:szCs w:val="18"/>
              </w:rPr>
              <w:t xml:space="preserve">Who owns the next step after the workshop?</w:t>
            </w:r>
          </w:p>
          <w:p>
            <w:pPr>
              <w:spacing w:after="42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180" w:line="260"/>
      </w:pPr>
      <w:r>
        <w:rPr>
          <w:rFonts w:ascii="Arial" w:cs="Arial" w:eastAsia="Arial" w:hAnsi="Arial"/>
          <w:b/>
          <w:bCs/>
          <w:color w:val="242424"/>
          <w:sz w:val="28"/>
          <w:szCs w:val="28"/>
        </w:rPr>
        <w:t xml:space="preserve">1. Outcome and workflow pain</w:t>
      </w:r>
    </w:p>
    <w:p>
      <w:pPr>
        <w:spacing w:after="160" w:before="0" w:line="240"/>
      </w:pPr>
      <w:r>
        <w:rPr>
          <w:rFonts w:ascii="Arial" w:cs="Arial" w:eastAsia="Arial" w:hAnsi="Arial"/>
          <w:color w:val="5C5C5C"/>
          <w:sz w:val="19"/>
          <w:szCs w:val="19"/>
        </w:rPr>
        <w:t xml:space="preserve">Start with the business result, not the tool. Name the organizational outcome and the painful workflow that blocks it.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80"/>
        <w:gridCol w:w="240"/>
        <w:gridCol w:w="5280"/>
      </w:tblGrid>
      <w:tr>
        <w:tc>
          <w:tcPr>
            <w:tcW w:type="dxa" w:w="528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70" w:before="0" w:line="260"/>
            </w:pPr>
            <w:r>
              <w:rPr>
                <w:rFonts w:ascii="Arial" w:cs="Arial" w:eastAsia="Arial" w:hAnsi="Arial"/>
                <w:b/>
                <w:bCs/>
                <w:caps/>
                <w:color w:val="B11F4B"/>
                <w:sz w:val="17"/>
                <w:szCs w:val="17"/>
              </w:rPr>
              <w:t xml:space="preserve">Outcome</w:t>
            </w:r>
          </w:p>
          <w:p>
            <w:pPr>
              <w:spacing w:after="80" w:before="0" w:line="230"/>
            </w:pPr>
            <w:r>
              <w:rPr>
                <w:rFonts w:ascii="Arial" w:cs="Arial" w:eastAsia="Arial" w:hAnsi="Arial"/>
                <w:color w:val="5C5C5C"/>
                <w:sz w:val="18"/>
                <w:szCs w:val="18"/>
              </w:rPr>
              <w:t xml:space="preserve">What strategic outcome should improve if this workflow gets better?</w:t>
            </w:r>
          </w:p>
          <w:p>
            <w:pPr>
              <w:spacing w:after="98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before="0" w:line="260"/>
            </w:pPr>
            <w:r>
              <w:t xml:space="preserve"/>
            </w:r>
          </w:p>
        </w:tc>
        <w:tc>
          <w:tcPr>
            <w:tcW w:type="dxa" w:w="528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70" w:before="0" w:line="260"/>
            </w:pPr>
            <w:r>
              <w:rPr>
                <w:rFonts w:ascii="Arial" w:cs="Arial" w:eastAsia="Arial" w:hAnsi="Arial"/>
                <w:b/>
                <w:bCs/>
                <w:caps/>
                <w:color w:val="B11F4B"/>
                <w:sz w:val="17"/>
                <w:szCs w:val="17"/>
              </w:rPr>
              <w:t xml:space="preserve">Workflow pain</w:t>
            </w:r>
          </w:p>
          <w:p>
            <w:pPr>
              <w:spacing w:after="80" w:before="0" w:line="230"/>
            </w:pPr>
            <w:r>
              <w:rPr>
                <w:rFonts w:ascii="Arial" w:cs="Arial" w:eastAsia="Arial" w:hAnsi="Arial"/>
                <w:color w:val="5C5C5C"/>
                <w:sz w:val="18"/>
                <w:szCs w:val="18"/>
              </w:rPr>
              <w:t xml:space="preserve">Where does work get stuck, repeated, delayed, rerouted, or re-explained?</w:t>
            </w:r>
          </w:p>
          <w:p>
            <w:pPr>
              <w:spacing w:after="98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180" w:line="260"/>
      </w:pPr>
      <w:r>
        <w:rPr>
          <w:rFonts w:ascii="Arial" w:cs="Arial" w:eastAsia="Arial" w:hAnsi="Arial"/>
          <w:b/>
          <w:bCs/>
          <w:color w:val="242424"/>
          <w:sz w:val="28"/>
          <w:szCs w:val="28"/>
        </w:rPr>
        <w:t xml:space="preserve">2. Work as task bundles</w:t>
      </w:r>
    </w:p>
    <w:p>
      <w:pPr>
        <w:spacing w:after="160" w:before="0" w:line="240"/>
      </w:pPr>
      <w:r>
        <w:rPr>
          <w:rFonts w:ascii="Arial" w:cs="Arial" w:eastAsia="Arial" w:hAnsi="Arial"/>
          <w:color w:val="5C5C5C"/>
          <w:sz w:val="19"/>
          <w:szCs w:val="19"/>
        </w:rPr>
        <w:t xml:space="preserve">Break the workflow into task steps before deciding what an agent should do.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70" w:before="0" w:line="260"/>
            </w:pPr>
            <w:r>
              <w:rPr>
                <w:rFonts w:ascii="Arial" w:cs="Arial" w:eastAsia="Arial" w:hAnsi="Arial"/>
                <w:b/>
                <w:bCs/>
                <w:caps/>
                <w:color w:val="B11F4B"/>
                <w:sz w:val="17"/>
                <w:szCs w:val="17"/>
              </w:rPr>
              <w:t xml:space="preserve">Current workflow map</w:t>
            </w:r>
          </w:p>
          <w:p>
            <w:pPr>
              <w:spacing w:after="80" w:before="0" w:line="230"/>
            </w:pPr>
            <w:r>
              <w:rPr>
                <w:rFonts w:ascii="Arial" w:cs="Arial" w:eastAsia="Arial" w:hAnsi="Arial"/>
                <w:color w:val="5C5C5C"/>
                <w:sz w:val="18"/>
                <w:szCs w:val="18"/>
              </w:rPr>
              <w:t xml:space="preserve">List the steps from trigger to outcome. Include handoffs, systems, decisions, approvals, and common failure points.</w:t>
            </w:r>
          </w:p>
          <w:p>
            <w:pPr>
              <w:spacing w:after="115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180" w:line="260"/>
      </w:pPr>
      <w:r>
        <w:rPr>
          <w:rFonts w:ascii="Arial" w:cs="Arial" w:eastAsia="Arial" w:hAnsi="Arial"/>
          <w:b/>
          <w:bCs/>
          <w:color w:val="242424"/>
          <w:sz w:val="28"/>
          <w:szCs w:val="28"/>
        </w:rPr>
        <w:t xml:space="preserve">3. Human / agent triage</w:t>
      </w:r>
    </w:p>
    <w:p>
      <w:pPr>
        <w:spacing w:after="160" w:before="0" w:line="240"/>
      </w:pPr>
      <w:r>
        <w:rPr>
          <w:rFonts w:ascii="Arial" w:cs="Arial" w:eastAsia="Arial" w:hAnsi="Arial"/>
          <w:color w:val="5C5C5C"/>
          <w:sz w:val="19"/>
          <w:szCs w:val="19"/>
        </w:rPr>
        <w:t xml:space="preserve">Be explicit about which work can be delegated and where the work must come back to a human.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2900"/>
        <w:gridCol w:w="2700"/>
      </w:tblGrid>
      <w:tr>
        <w:trPr>
          <w:tblHeader/>
        </w:trPr>
        <w:tc>
          <w:tcPr>
            <w:tcW w:type="dxa" w:w="2500"/>
            <w:tcBorders>
              <w:top w:val="single" w:color="B11F4B" w:sz="12"/>
              <w:left w:val="single" w:color="CFCFCF" w:sz="8"/>
              <w:bottom w:val="single" w:color="CFCFCF" w:sz="8"/>
              <w:right w:val="single" w:color="CFCFCF" w:sz="8"/>
            </w:tcBorders>
            <w:shd w:fill="F8EA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B11F4B"/>
                <w:sz w:val="19"/>
                <w:szCs w:val="19"/>
              </w:rPr>
              <w:t xml:space="preserve">Task or step</w:t>
            </w:r>
          </w:p>
        </w:tc>
        <w:tc>
          <w:tcPr>
            <w:tcW w:type="dxa" w:w="2700"/>
            <w:tcBorders>
              <w:top w:val="single" w:color="B11F4B" w:sz="12"/>
              <w:left w:val="single" w:color="CFCFCF" w:sz="8"/>
              <w:bottom w:val="single" w:color="CFCFCF" w:sz="8"/>
              <w:right w:val="single" w:color="CFCFCF" w:sz="8"/>
            </w:tcBorders>
            <w:shd w:fill="F8EA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B11F4B"/>
                <w:sz w:val="19"/>
                <w:szCs w:val="19"/>
              </w:rPr>
              <w:t xml:space="preserve">Agent delegation</w:t>
            </w:r>
          </w:p>
        </w:tc>
        <w:tc>
          <w:tcPr>
            <w:tcW w:type="dxa" w:w="2900"/>
            <w:tcBorders>
              <w:top w:val="single" w:color="B11F4B" w:sz="12"/>
              <w:left w:val="single" w:color="CFCFCF" w:sz="8"/>
              <w:bottom w:val="single" w:color="CFCFCF" w:sz="8"/>
              <w:right w:val="single" w:color="CFCFCF" w:sz="8"/>
            </w:tcBorders>
            <w:shd w:fill="F8EA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B11F4B"/>
                <w:sz w:val="19"/>
                <w:szCs w:val="19"/>
              </w:rPr>
              <w:t xml:space="preserve">Human judgment</w:t>
            </w:r>
          </w:p>
        </w:tc>
        <w:tc>
          <w:tcPr>
            <w:tcW w:type="dxa" w:w="2700"/>
            <w:tcBorders>
              <w:top w:val="single" w:color="B11F4B" w:sz="12"/>
              <w:left w:val="single" w:color="CFCFCF" w:sz="8"/>
              <w:bottom w:val="single" w:color="CFCFCF" w:sz="8"/>
              <w:right w:val="single" w:color="CFCFCF" w:sz="8"/>
            </w:tcBorders>
            <w:shd w:fill="F8EA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B11F4B"/>
                <w:sz w:val="19"/>
                <w:szCs w:val="19"/>
              </w:rPr>
              <w:t xml:space="preserve">Escalation trigger</w:t>
            </w:r>
          </w:p>
        </w:tc>
      </w:tr>
      <w:tr>
        <w:trPr>
          <w:trHeight w:val="760" w:hRule="atLeast"/>
        </w:trPr>
        <w:tc>
          <w:tcPr>
            <w:tcW w:type="dxa" w:w="250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52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52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  <w:tc>
          <w:tcPr>
            <w:tcW w:type="dxa" w:w="290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52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52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</w:tr>
      <w:tr>
        <w:trPr>
          <w:trHeight w:val="760" w:hRule="atLeast"/>
        </w:trPr>
        <w:tc>
          <w:tcPr>
            <w:tcW w:type="dxa" w:w="250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52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52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  <w:tc>
          <w:tcPr>
            <w:tcW w:type="dxa" w:w="290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52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52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</w:tr>
      <w:tr>
        <w:trPr>
          <w:trHeight w:val="760" w:hRule="atLeast"/>
        </w:trPr>
        <w:tc>
          <w:tcPr>
            <w:tcW w:type="dxa" w:w="250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52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52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  <w:tc>
          <w:tcPr>
            <w:tcW w:type="dxa" w:w="290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52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52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</w:tr>
      <w:tr>
        <w:trPr>
          <w:trHeight w:val="760" w:hRule="atLeast"/>
        </w:trPr>
        <w:tc>
          <w:tcPr>
            <w:tcW w:type="dxa" w:w="250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52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52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  <w:tc>
          <w:tcPr>
            <w:tcW w:type="dxa" w:w="290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52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52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</w:tr>
      <w:tr>
        <w:trPr>
          <w:trHeight w:val="760" w:hRule="atLeast"/>
        </w:trPr>
        <w:tc>
          <w:tcPr>
            <w:tcW w:type="dxa" w:w="250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52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52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  <w:tc>
          <w:tcPr>
            <w:tcW w:type="dxa" w:w="290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52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  <w:tc>
          <w:tcPr>
            <w:tcW w:type="dxa" w:w="270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52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180" w:line="260"/>
      </w:pPr>
      <w:r>
        <w:rPr>
          <w:rFonts w:ascii="Arial" w:cs="Arial" w:eastAsia="Arial" w:hAnsi="Arial"/>
          <w:b/>
          <w:bCs/>
          <w:color w:val="242424"/>
          <w:sz w:val="28"/>
          <w:szCs w:val="28"/>
        </w:rPr>
        <w:t xml:space="preserve">4. Bounded agency design</w:t>
      </w:r>
    </w:p>
    <w:p>
      <w:pPr>
        <w:spacing w:after="160" w:before="0" w:line="240"/>
      </w:pPr>
      <w:r>
        <w:rPr>
          <w:rFonts w:ascii="Arial" w:cs="Arial" w:eastAsia="Arial" w:hAnsi="Arial"/>
          <w:color w:val="5C5C5C"/>
          <w:sz w:val="19"/>
          <w:szCs w:val="19"/>
        </w:rPr>
        <w:t xml:space="preserve">Context plus constraints equals bounded agency. Define what the agent may do, what it must not do, and when it escalates.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80"/>
        <w:gridCol w:w="240"/>
        <w:gridCol w:w="5280"/>
      </w:tblGrid>
      <w:tr>
        <w:tc>
          <w:tcPr>
            <w:tcW w:type="dxa" w:w="528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70" w:before="0" w:line="260"/>
            </w:pPr>
            <w:r>
              <w:rPr>
                <w:rFonts w:ascii="Arial" w:cs="Arial" w:eastAsia="Arial" w:hAnsi="Arial"/>
                <w:b/>
                <w:bCs/>
                <w:caps/>
                <w:color w:val="B11F4B"/>
                <w:sz w:val="17"/>
                <w:szCs w:val="17"/>
              </w:rPr>
              <w:t xml:space="preserve">Context</w:t>
            </w:r>
          </w:p>
          <w:p>
            <w:pPr>
              <w:spacing w:after="80" w:before="0" w:line="230"/>
            </w:pPr>
            <w:r>
              <w:rPr>
                <w:rFonts w:ascii="Arial" w:cs="Arial" w:eastAsia="Arial" w:hAnsi="Arial"/>
                <w:color w:val="5C5C5C"/>
                <w:sz w:val="18"/>
                <w:szCs w:val="18"/>
              </w:rPr>
              <w:t xml:space="preserve">Which systems of record, documents, policies, history, owners, or current-state signals does the agent need?</w:t>
            </w:r>
          </w:p>
          <w:p>
            <w:pPr>
              <w:spacing w:after="94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before="0" w:line="260"/>
            </w:pPr>
            <w:r>
              <w:t xml:space="preserve"/>
            </w:r>
          </w:p>
        </w:tc>
        <w:tc>
          <w:tcPr>
            <w:tcW w:type="dxa" w:w="528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70" w:before="0" w:line="260"/>
            </w:pPr>
            <w:r>
              <w:rPr>
                <w:rFonts w:ascii="Arial" w:cs="Arial" w:eastAsia="Arial" w:hAnsi="Arial"/>
                <w:b/>
                <w:bCs/>
                <w:caps/>
                <w:color w:val="B11F4B"/>
                <w:sz w:val="17"/>
                <w:szCs w:val="17"/>
              </w:rPr>
              <w:t xml:space="preserve">Constraints</w:t>
            </w:r>
          </w:p>
          <w:p>
            <w:pPr>
              <w:spacing w:after="80" w:before="0" w:line="230"/>
            </w:pPr>
            <w:r>
              <w:rPr>
                <w:rFonts w:ascii="Arial" w:cs="Arial" w:eastAsia="Arial" w:hAnsi="Arial"/>
                <w:color w:val="5C5C5C"/>
                <w:sz w:val="18"/>
                <w:szCs w:val="18"/>
              </w:rPr>
              <w:t xml:space="preserve">Which permissions, approval gates, risk thresholds, data boundaries, and escalation rules keep the workflow safe?</w:t>
            </w:r>
          </w:p>
          <w:p>
            <w:pPr>
              <w:spacing w:after="94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80"/>
        <w:gridCol w:w="240"/>
        <w:gridCol w:w="5280"/>
      </w:tblGrid>
      <w:tr>
        <w:tc>
          <w:tcPr>
            <w:tcW w:type="dxa" w:w="528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70" w:before="0" w:line="260"/>
            </w:pPr>
            <w:r>
              <w:rPr>
                <w:rFonts w:ascii="Arial" w:cs="Arial" w:eastAsia="Arial" w:hAnsi="Arial"/>
                <w:b/>
                <w:bCs/>
                <w:caps/>
                <w:color w:val="B11F4B"/>
                <w:sz w:val="17"/>
                <w:szCs w:val="17"/>
              </w:rPr>
              <w:t xml:space="preserve">Agent actions</w:t>
            </w:r>
          </w:p>
          <w:p>
            <w:pPr>
              <w:spacing w:after="80" w:before="0" w:line="230"/>
            </w:pPr>
            <w:r>
              <w:rPr>
                <w:rFonts w:ascii="Arial" w:cs="Arial" w:eastAsia="Arial" w:hAnsi="Arial"/>
                <w:color w:val="5C5C5C"/>
                <w:sz w:val="18"/>
                <w:szCs w:val="18"/>
              </w:rPr>
              <w:t xml:space="preserve">Summarize, classify, retrieve, compare, draft, recommend, route, create task, prepare checklist, trigger notification.</w:t>
            </w:r>
          </w:p>
          <w:p>
            <w:pPr>
              <w:spacing w:after="94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before="0" w:line="260"/>
            </w:pPr>
            <w:r>
              <w:t xml:space="preserve"/>
            </w:r>
          </w:p>
        </w:tc>
        <w:tc>
          <w:tcPr>
            <w:tcW w:type="dxa" w:w="528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70" w:before="0" w:line="260"/>
            </w:pPr>
            <w:r>
              <w:rPr>
                <w:rFonts w:ascii="Arial" w:cs="Arial" w:eastAsia="Arial" w:hAnsi="Arial"/>
                <w:b/>
                <w:bCs/>
                <w:caps/>
                <w:color w:val="B11F4B"/>
                <w:sz w:val="17"/>
                <w:szCs w:val="17"/>
              </w:rPr>
              <w:t xml:space="preserve">Human approval boundary</w:t>
            </w:r>
          </w:p>
          <w:p>
            <w:pPr>
              <w:spacing w:after="80" w:before="0" w:line="230"/>
            </w:pPr>
            <w:r>
              <w:rPr>
                <w:rFonts w:ascii="Arial" w:cs="Arial" w:eastAsia="Arial" w:hAnsi="Arial"/>
                <w:color w:val="5C5C5C"/>
                <w:sz w:val="18"/>
                <w:szCs w:val="18"/>
              </w:rPr>
              <w:t xml:space="preserve">Which decisions, exceptions, sensitive responses, relationship moments, or final actions stay human-owned?</w:t>
            </w:r>
          </w:p>
          <w:p>
            <w:pPr>
              <w:spacing w:after="94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180" w:line="260"/>
      </w:pPr>
      <w:r>
        <w:rPr>
          <w:rFonts w:ascii="Arial" w:cs="Arial" w:eastAsia="Arial" w:hAnsi="Arial"/>
          <w:b/>
          <w:bCs/>
          <w:color w:val="242424"/>
          <w:sz w:val="28"/>
          <w:szCs w:val="28"/>
        </w:rPr>
        <w:t xml:space="preserve">5. Pilot-ready SOW starter</w:t>
      </w:r>
    </w:p>
    <w:p>
      <w:pPr>
        <w:spacing w:after="160" w:before="0" w:line="240"/>
      </w:pPr>
      <w:r>
        <w:rPr>
          <w:rFonts w:ascii="Arial" w:cs="Arial" w:eastAsia="Arial" w:hAnsi="Arial"/>
          <w:color w:val="5C5C5C"/>
          <w:sz w:val="19"/>
          <w:szCs w:val="19"/>
        </w:rPr>
        <w:t xml:space="preserve">Translate the workshop output into something a partner or SI can scope for an immediate proof of concept.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8450"/>
      </w:tblGrid>
      <w:tr>
        <w:trPr>
          <w:trHeight w:val="720" w:hRule="atLeast"/>
        </w:trPr>
        <w:tc>
          <w:tcPr>
            <w:tcW w:type="dxa" w:w="235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8EA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B11F4B"/>
                <w:sz w:val="19"/>
                <w:szCs w:val="19"/>
              </w:rPr>
              <w:t xml:space="preserve">Pilot owner</w:t>
            </w:r>
          </w:p>
        </w:tc>
        <w:tc>
          <w:tcPr>
            <w:tcW w:type="dxa" w:w="845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 w:before="0" w:line="230"/>
            </w:pPr>
            <w:r>
              <w:rPr>
                <w:rFonts w:ascii="Arial" w:cs="Arial" w:eastAsia="Arial" w:hAnsi="Arial"/>
                <w:color w:val="5C5C5C"/>
                <w:sz w:val="18"/>
                <w:szCs w:val="18"/>
              </w:rPr>
              <w:t xml:space="preserve">Who owns the workflow, decision rights, and follow-through?</w:t>
            </w:r>
          </w:p>
          <w:p>
            <w:pPr>
              <w:spacing w:after="26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235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8EA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B11F4B"/>
                <w:sz w:val="19"/>
                <w:szCs w:val="19"/>
              </w:rPr>
              <w:t xml:space="preserve">Pilot group</w:t>
            </w:r>
          </w:p>
        </w:tc>
        <w:tc>
          <w:tcPr>
            <w:tcW w:type="dxa" w:w="845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 w:before="0" w:line="230"/>
            </w:pPr>
            <w:r>
              <w:rPr>
                <w:rFonts w:ascii="Arial" w:cs="Arial" w:eastAsia="Arial" w:hAnsi="Arial"/>
                <w:color w:val="5C5C5C"/>
                <w:sz w:val="18"/>
                <w:szCs w:val="18"/>
              </w:rPr>
              <w:t xml:space="preserve">Which team, role, location, or account will test the first version?</w:t>
            </w:r>
          </w:p>
          <w:p>
            <w:pPr>
              <w:spacing w:after="26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235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8EA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B11F4B"/>
                <w:sz w:val="19"/>
                <w:szCs w:val="19"/>
              </w:rPr>
              <w:t xml:space="preserve">Data boundary</w:t>
            </w:r>
          </w:p>
        </w:tc>
        <w:tc>
          <w:tcPr>
            <w:tcW w:type="dxa" w:w="845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 w:before="0" w:line="230"/>
            </w:pPr>
            <w:r>
              <w:rPr>
                <w:rFonts w:ascii="Arial" w:cs="Arial" w:eastAsia="Arial" w:hAnsi="Arial"/>
                <w:color w:val="5C5C5C"/>
                <w:sz w:val="18"/>
                <w:szCs w:val="18"/>
              </w:rPr>
              <w:t xml:space="preserve">Which systems and data are in scope, out of scope, or approval-gated?</w:t>
            </w:r>
          </w:p>
          <w:p>
            <w:pPr>
              <w:spacing w:after="26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235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8EA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B11F4B"/>
                <w:sz w:val="19"/>
                <w:szCs w:val="19"/>
              </w:rPr>
              <w:t xml:space="preserve">Success measure</w:t>
            </w:r>
          </w:p>
        </w:tc>
        <w:tc>
          <w:tcPr>
            <w:tcW w:type="dxa" w:w="845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 w:before="0" w:line="230"/>
            </w:pPr>
            <w:r>
              <w:rPr>
                <w:rFonts w:ascii="Arial" w:cs="Arial" w:eastAsia="Arial" w:hAnsi="Arial"/>
                <w:color w:val="5C5C5C"/>
                <w:sz w:val="18"/>
                <w:szCs w:val="18"/>
              </w:rPr>
              <w:t xml:space="preserve">What should improve in 30-60 days: speed, quality, consistency, backlog, access, compliance, service experience?</w:t>
            </w:r>
          </w:p>
          <w:p>
            <w:pPr>
              <w:spacing w:after="26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235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8EA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B11F4B"/>
                <w:sz w:val="19"/>
                <w:szCs w:val="19"/>
              </w:rPr>
              <w:t xml:space="preserve">Build path</w:t>
            </w:r>
          </w:p>
        </w:tc>
        <w:tc>
          <w:tcPr>
            <w:tcW w:type="dxa" w:w="845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 w:before="0" w:line="230"/>
            </w:pPr>
            <w:r>
              <w:rPr>
                <w:rFonts w:ascii="Arial" w:cs="Arial" w:eastAsia="Arial" w:hAnsi="Arial"/>
                <w:color w:val="5C5C5C"/>
                <w:sz w:val="18"/>
                <w:szCs w:val="18"/>
              </w:rPr>
              <w:t xml:space="preserve">What should a partner or SI configure, connect, govern, test, and document?</w:t>
            </w:r>
          </w:p>
          <w:p>
            <w:pPr>
              <w:spacing w:after="26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</w:tr>
      <w:tr>
        <w:trPr>
          <w:trHeight w:val="720" w:hRule="atLeast"/>
        </w:trPr>
        <w:tc>
          <w:tcPr>
            <w:tcW w:type="dxa" w:w="235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8EA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B11F4B"/>
                <w:sz w:val="19"/>
                <w:szCs w:val="19"/>
              </w:rPr>
              <w:t xml:space="preserve">Next checkpoint</w:t>
            </w:r>
          </w:p>
        </w:tc>
        <w:tc>
          <w:tcPr>
            <w:tcW w:type="dxa" w:w="8450"/>
            <w:tcBorders>
              <w:top w:val="single" w:color="CFCFCF" w:sz="8"/>
              <w:left w:val="single" w:color="CFCFCF" w:sz="8"/>
              <w:bottom w:val="single" w:color="CFCFCF" w:sz="8"/>
              <w:right w:val="single" w:color="CFCFCF" w:sz="8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 w:before="0" w:line="230"/>
            </w:pPr>
            <w:r>
              <w:rPr>
                <w:rFonts w:ascii="Arial" w:cs="Arial" w:eastAsia="Arial" w:hAnsi="Arial"/>
                <w:color w:val="5C5C5C"/>
                <w:sz w:val="18"/>
                <w:szCs w:val="18"/>
              </w:rPr>
              <w:t xml:space="preserve">What meeting, owner action, or artifact moves this from workshop idea to POC?</w:t>
            </w:r>
          </w:p>
          <w:p>
            <w:pPr>
              <w:spacing w:after="260" w:before="0" w:line="260"/>
            </w:pPr>
            <w:r>
              <w:rPr>
                <w:rFonts w:ascii="Arial" w:cs="Arial" w:eastAsia="Arial" w:hAnsi="Arial"/>
                <w:color w:val="242424"/>
                <w:sz w:val="18"/>
                <w:szCs w:val="18"/>
              </w:rPr>
              <w:t xml:space="preserve"> </w:t>
            </w:r>
          </w:p>
        </w:tc>
      </w:tr>
    </w:tbl>
    <w:p>
      <w:pPr>
        <w:spacing w:after="70" w:before="180" w:line="260"/>
      </w:pPr>
      <w:r>
        <w:rPr>
          <w:rFonts w:ascii="Arial" w:cs="Arial" w:eastAsia="Arial" w:hAnsi="Arial"/>
          <w:b/>
          <w:bCs/>
          <w:caps/>
          <w:color w:val="B11F4B"/>
          <w:sz w:val="20"/>
          <w:szCs w:val="20"/>
        </w:rPr>
        <w:t xml:space="preserve">Close the loop</w:t>
      </w:r>
    </w:p>
    <w:p>
      <w:pPr>
        <w:spacing w:after="0" w:before="0" w:line="290"/>
      </w:pPr>
      <w:r>
        <w:rPr>
          <w:rFonts w:ascii="Arial" w:cs="Arial" w:eastAsia="Arial" w:hAnsi="Arial"/>
          <w:b/>
          <w:bCs/>
          <w:color w:val="242424"/>
          <w:sz w:val="22"/>
          <w:szCs w:val="22"/>
        </w:rPr>
        <w:t xml:space="preserve">If this worksheet is complete, the customer should be able to say: we have one high-value workflow, grounded in our systems of record, with bounded agent tasks, clear human triage, and a practical POC path.</w:t>
      </w:r>
    </w:p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C5C5C"/>
        <w:sz w:val="16"/>
        <w:szCs w:val="16"/>
      </w:rPr>
      <w:t xml:space="preserve">Industry AI Days Scenario Worksheet | Page </w:t>
    </w:r>
    <w:r>
      <w:rPr>
        <w:rFonts w:ascii="Arial" w:cs="Arial" w:eastAsia="Arial" w:hAnsi="Arial"/>
        <w:color w:val="5C5C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242424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90" w:before="220"/>
      <w:outlineLvl w:val="0"/>
    </w:pPr>
    <w:rPr>
      <w:rFonts w:ascii="Arial" w:cs="Arial" w:eastAsia="Arial" w:hAnsi="Arial"/>
      <w:b/>
      <w:bCs/>
      <w:color w:val="24242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Industry AI Days Bounded Agency Scenario Worksheet</dc:title>
  <dc:creator>GitHub Copilot</dc:creator>
  <dc:description>A box-based workflow canvas for industry AI Days sessions.</dc:description>
  <cp:lastModifiedBy>Un-named</cp:lastModifiedBy>
  <cp:revision>1</cp:revision>
  <dcterms:created xsi:type="dcterms:W3CDTF">2026-07-07T12:34:06.550Z</dcterms:created>
  <dcterms:modified xsi:type="dcterms:W3CDTF">2026-07-07T12:34:06.553Z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