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 xml:space="preserve">A Statistical and Geographical Analysis </w:t>
      </w:r>
      <w:proofErr w:type="gramStart"/>
      <w:r w:rsidRPr="00911887">
        <w:rPr>
          <w:rFonts w:ascii="Times New Roman" w:hAnsi="Times New Roman" w:cs="Times New Roman"/>
          <w:b/>
          <w:sz w:val="24"/>
          <w:szCs w:val="24"/>
        </w:rPr>
        <w:t>On</w:t>
      </w:r>
      <w:proofErr w:type="gramEnd"/>
      <w:r w:rsidRPr="00911887">
        <w:rPr>
          <w:rFonts w:ascii="Times New Roman" w:hAnsi="Times New Roman" w:cs="Times New Roman"/>
          <w:b/>
          <w:sz w:val="24"/>
          <w:szCs w:val="24"/>
        </w:rPr>
        <w:t xml:space="preserve"> the Demographics of a City </w:t>
      </w:r>
    </w:p>
    <w:p w:rsidR="00911887" w:rsidRPr="00911887" w:rsidRDefault="00911887" w:rsidP="00911887">
      <w:pPr>
        <w:jc w:val="center"/>
        <w:rPr>
          <w:rFonts w:ascii="Times New Roman" w:hAnsi="Times New Roman" w:cs="Times New Roman"/>
          <w:b/>
          <w:sz w:val="24"/>
          <w:szCs w:val="24"/>
        </w:rPr>
      </w:pPr>
      <w:proofErr w:type="gramStart"/>
      <w:r w:rsidRPr="00911887">
        <w:rPr>
          <w:rFonts w:ascii="Times New Roman" w:hAnsi="Times New Roman" w:cs="Times New Roman"/>
          <w:b/>
          <w:sz w:val="24"/>
          <w:szCs w:val="24"/>
        </w:rPr>
        <w:t>and</w:t>
      </w:r>
      <w:proofErr w:type="gramEnd"/>
      <w:r w:rsidRPr="00911887">
        <w:rPr>
          <w:rFonts w:ascii="Times New Roman" w:hAnsi="Times New Roman" w:cs="Times New Roman"/>
          <w:b/>
          <w:sz w:val="24"/>
          <w:szCs w:val="24"/>
        </w:rPr>
        <w:t xml:space="preserve"> Its Effects On Crime Rates On Campuses</w:t>
      </w:r>
    </w:p>
    <w:p w:rsidR="00911887" w:rsidRPr="00911887" w:rsidRDefault="00911887" w:rsidP="00911887">
      <w:pPr>
        <w:jc w:val="center"/>
        <w:rPr>
          <w:rFonts w:ascii="Times New Roman" w:hAnsi="Times New Roman" w:cs="Times New Roman"/>
          <w:b/>
          <w:sz w:val="24"/>
          <w:szCs w:val="24"/>
        </w:rPr>
      </w:pP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 xml:space="preserve">Elaine Perrin, Travis Sellers, Lorena Hernandez Maxwell, Malachi Morgan, </w:t>
      </w:r>
      <w:proofErr w:type="spellStart"/>
      <w:r w:rsidRPr="00911887">
        <w:rPr>
          <w:rFonts w:ascii="Times New Roman" w:hAnsi="Times New Roman" w:cs="Times New Roman"/>
          <w:b/>
          <w:sz w:val="24"/>
          <w:szCs w:val="24"/>
        </w:rPr>
        <w:t>Sherod</w:t>
      </w:r>
      <w:proofErr w:type="spellEnd"/>
      <w:r w:rsidRPr="00911887">
        <w:rPr>
          <w:rFonts w:ascii="Times New Roman" w:hAnsi="Times New Roman" w:cs="Times New Roman"/>
          <w:b/>
          <w:sz w:val="24"/>
          <w:szCs w:val="24"/>
        </w:rPr>
        <w:t>-Malik Davis, Cynthia Cook, Dr. Monica C. Jackson</w:t>
      </w:r>
      <w:bookmarkStart w:id="0" w:name="_GoBack"/>
      <w:bookmarkEnd w:id="0"/>
    </w:p>
    <w:p w:rsidR="00911887" w:rsidRPr="00911887" w:rsidRDefault="00911887" w:rsidP="00911887">
      <w:pPr>
        <w:jc w:val="center"/>
        <w:rPr>
          <w:rFonts w:ascii="Times New Roman" w:hAnsi="Times New Roman" w:cs="Times New Roman"/>
          <w:b/>
          <w:sz w:val="24"/>
          <w:szCs w:val="24"/>
        </w:rPr>
      </w:pP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Miami University</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Department of Mathematics and Statistics</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Oxford, OH, 45056, U.S.A.</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Maryville College</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Department of Mathematics</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Maryville, TN, 37804, U.S.A</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Rose-</w:t>
      </w:r>
      <w:proofErr w:type="spellStart"/>
      <w:r w:rsidRPr="00911887">
        <w:rPr>
          <w:rFonts w:ascii="Times New Roman" w:hAnsi="Times New Roman" w:cs="Times New Roman"/>
          <w:b/>
          <w:sz w:val="24"/>
          <w:szCs w:val="24"/>
        </w:rPr>
        <w:t>Hulman</w:t>
      </w:r>
      <w:proofErr w:type="spellEnd"/>
      <w:r w:rsidRPr="00911887">
        <w:rPr>
          <w:rFonts w:ascii="Times New Roman" w:hAnsi="Times New Roman" w:cs="Times New Roman"/>
          <w:b/>
          <w:sz w:val="24"/>
          <w:szCs w:val="24"/>
        </w:rPr>
        <w:t xml:space="preserve"> Institute of Technology</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Department of Mathematics</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Terre Haute, IN, 47803, U.S.A</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Morehouse College</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Department of Mathematics</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Atlanta, Georgia, 30314, U.S.A</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American University</w:t>
      </w:r>
    </w:p>
    <w:p w:rsidR="00911887" w:rsidRP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Department of Mathematics and Statistics</w:t>
      </w:r>
    </w:p>
    <w:p w:rsidR="00911887" w:rsidRDefault="00911887" w:rsidP="00911887">
      <w:pPr>
        <w:jc w:val="center"/>
        <w:rPr>
          <w:rFonts w:ascii="Times New Roman" w:hAnsi="Times New Roman" w:cs="Times New Roman"/>
          <w:b/>
          <w:sz w:val="24"/>
          <w:szCs w:val="24"/>
        </w:rPr>
      </w:pPr>
      <w:r w:rsidRPr="00911887">
        <w:rPr>
          <w:rFonts w:ascii="Times New Roman" w:hAnsi="Times New Roman" w:cs="Times New Roman"/>
          <w:b/>
          <w:sz w:val="24"/>
          <w:szCs w:val="24"/>
        </w:rPr>
        <w:t>Washington, DC, 20016, U.S.A.</w:t>
      </w:r>
    </w:p>
    <w:p w:rsidR="00911887" w:rsidRDefault="00911887">
      <w:pPr>
        <w:rPr>
          <w:rFonts w:ascii="Times New Roman" w:hAnsi="Times New Roman" w:cs="Times New Roman"/>
          <w:b/>
          <w:sz w:val="24"/>
          <w:szCs w:val="24"/>
        </w:rPr>
      </w:pPr>
      <w:r>
        <w:rPr>
          <w:rFonts w:ascii="Times New Roman" w:hAnsi="Times New Roman" w:cs="Times New Roman"/>
          <w:b/>
          <w:sz w:val="24"/>
          <w:szCs w:val="24"/>
        </w:rPr>
        <w:br w:type="page"/>
      </w:r>
    </w:p>
    <w:p w:rsidR="0024152B" w:rsidRPr="0024152B" w:rsidRDefault="0024152B" w:rsidP="0024152B">
      <w:pPr>
        <w:jc w:val="center"/>
        <w:rPr>
          <w:rFonts w:ascii="Times New Roman" w:hAnsi="Times New Roman" w:cs="Times New Roman"/>
          <w:b/>
          <w:sz w:val="24"/>
          <w:szCs w:val="24"/>
        </w:rPr>
      </w:pPr>
      <w:r w:rsidRPr="0024152B">
        <w:rPr>
          <w:rFonts w:ascii="Times New Roman" w:hAnsi="Times New Roman" w:cs="Times New Roman"/>
          <w:b/>
          <w:sz w:val="24"/>
          <w:szCs w:val="24"/>
        </w:rPr>
        <w:lastRenderedPageBreak/>
        <w:t>Abstract</w:t>
      </w:r>
    </w:p>
    <w:p w:rsidR="0024152B" w:rsidRPr="0024152B" w:rsidRDefault="0024152B" w:rsidP="0024152B">
      <w:pPr>
        <w:spacing w:line="480" w:lineRule="auto"/>
        <w:rPr>
          <w:rFonts w:ascii="Times New Roman" w:hAnsi="Times New Roman" w:cs="Times New Roman"/>
          <w:sz w:val="24"/>
          <w:szCs w:val="24"/>
        </w:rPr>
      </w:pPr>
      <w:r w:rsidRPr="0024152B">
        <w:rPr>
          <w:rFonts w:ascii="Times New Roman" w:hAnsi="Times New Roman" w:cs="Times New Roman"/>
          <w:sz w:val="24"/>
          <w:szCs w:val="24"/>
        </w:rPr>
        <w:tab/>
        <w:t xml:space="preserve">Campus crime rates are </w:t>
      </w:r>
      <w:r w:rsidR="002670AC">
        <w:rPr>
          <w:rFonts w:ascii="Times New Roman" w:hAnsi="Times New Roman" w:cs="Times New Roman"/>
          <w:sz w:val="24"/>
          <w:szCs w:val="24"/>
        </w:rPr>
        <w:t xml:space="preserve">generally </w:t>
      </w:r>
      <w:r w:rsidR="00DC2A4E">
        <w:rPr>
          <w:rFonts w:ascii="Times New Roman" w:hAnsi="Times New Roman" w:cs="Times New Roman"/>
          <w:sz w:val="24"/>
          <w:szCs w:val="24"/>
        </w:rPr>
        <w:t>lower than the national average;</w:t>
      </w:r>
      <w:r w:rsidR="002670AC">
        <w:rPr>
          <w:rFonts w:ascii="Times New Roman" w:hAnsi="Times New Roman" w:cs="Times New Roman"/>
          <w:sz w:val="24"/>
          <w:szCs w:val="24"/>
        </w:rPr>
        <w:t xml:space="preserve"> however thousands of crimes take place on college campuses daily.</w:t>
      </w:r>
      <w:r w:rsidRPr="0024152B">
        <w:rPr>
          <w:rFonts w:ascii="Times New Roman" w:hAnsi="Times New Roman" w:cs="Times New Roman"/>
          <w:sz w:val="24"/>
          <w:szCs w:val="24"/>
        </w:rPr>
        <w:t xml:space="preserve"> Cities that are notoriously dangerous would likely be undesirable locations for a college campus. This study examined the crime rates on campuses throughout the United States and whether or not they were significantly affected by surrounding cities. A multivariate regression analysis was performed to investigate which characteristics of a city, along with a few chosen demographics of a school, impacted the crime rate on a college campus. Our study suggested that the percentage of males of a population, and the diversity index of a city affected the number of crimes that occur on campuses. </w:t>
      </w:r>
      <w:proofErr w:type="gramStart"/>
      <w:r w:rsidRPr="0024152B">
        <w:rPr>
          <w:rFonts w:ascii="Times New Roman" w:hAnsi="Times New Roman" w:cs="Times New Roman"/>
          <w:sz w:val="24"/>
          <w:szCs w:val="24"/>
        </w:rPr>
        <w:t>Whether a city was considered to be urban or rural played a role in determining crime rates as well.</w:t>
      </w:r>
      <w:proofErr w:type="gramEnd"/>
      <w:r w:rsidRPr="0024152B">
        <w:rPr>
          <w:rFonts w:ascii="Times New Roman" w:hAnsi="Times New Roman" w:cs="Times New Roman"/>
          <w:sz w:val="24"/>
          <w:szCs w:val="24"/>
        </w:rPr>
        <w:t xml:space="preserve"> Our study also showed the higher percentage of students involved in Greek life, the more crimes were likely to occur. We also examined if a geographical pattern existed among the crime rates and among wheth</w:t>
      </w:r>
      <w:r w:rsidR="002670AC">
        <w:rPr>
          <w:rFonts w:ascii="Times New Roman" w:hAnsi="Times New Roman" w:cs="Times New Roman"/>
          <w:sz w:val="24"/>
          <w:szCs w:val="24"/>
        </w:rPr>
        <w:t xml:space="preserve">er a city was urban or rural. </w:t>
      </w:r>
    </w:p>
    <w:p w:rsidR="00257A2B" w:rsidRPr="00257A2B" w:rsidRDefault="00257A2B" w:rsidP="00257A2B">
      <w:pPr>
        <w:pStyle w:val="ListParagraph"/>
        <w:numPr>
          <w:ilvl w:val="0"/>
          <w:numId w:val="5"/>
        </w:numPr>
        <w:spacing w:line="480" w:lineRule="auto"/>
        <w:rPr>
          <w:rFonts w:ascii="Times New Roman" w:hAnsi="Times New Roman"/>
          <w:b/>
          <w:sz w:val="24"/>
          <w:szCs w:val="24"/>
        </w:rPr>
      </w:pPr>
      <w:r w:rsidRPr="00257A2B">
        <w:rPr>
          <w:rFonts w:ascii="Times New Roman" w:hAnsi="Times New Roman"/>
          <w:b/>
          <w:sz w:val="24"/>
          <w:szCs w:val="24"/>
        </w:rPr>
        <w:t>Introduction</w:t>
      </w:r>
    </w:p>
    <w:p w:rsidR="004D0F4C" w:rsidRPr="00030308" w:rsidRDefault="002670AC" w:rsidP="00030308">
      <w:pPr>
        <w:spacing w:line="480" w:lineRule="auto"/>
        <w:ind w:firstLine="720"/>
        <w:rPr>
          <w:rFonts w:ascii="Times New Roman" w:hAnsi="Times New Roman"/>
          <w:i/>
          <w:iCs/>
          <w:sz w:val="24"/>
          <w:szCs w:val="24"/>
        </w:rPr>
      </w:pPr>
      <w:r>
        <w:rPr>
          <w:rFonts w:ascii="Times New Roman" w:hAnsi="Times New Roman"/>
          <w:sz w:val="24"/>
          <w:szCs w:val="24"/>
        </w:rPr>
        <w:t>Crime on college campuses began to receive special attention due to recent mass crime events occurring at major universities in the United States. Although campus crime rates are generally lower than the national average, they do pose a problem for academic communities which are often assumed to be safe.</w:t>
      </w:r>
      <w:r w:rsidR="004D0F4C" w:rsidRPr="004D0F4C">
        <w:rPr>
          <w:rFonts w:ascii="Times New Roman" w:hAnsi="Times New Roman"/>
          <w:sz w:val="24"/>
          <w:szCs w:val="24"/>
        </w:rPr>
        <w:t xml:space="preserve"> Crime can be classified into several categories such as theft, burglary, rape, murder, vandalism</w:t>
      </w:r>
      <w:r w:rsidR="001A3AC1">
        <w:rPr>
          <w:rFonts w:ascii="Times New Roman" w:hAnsi="Times New Roman"/>
          <w:sz w:val="24"/>
          <w:szCs w:val="24"/>
        </w:rPr>
        <w:t>, etc</w:t>
      </w:r>
      <w:r w:rsidR="004E4AFB">
        <w:rPr>
          <w:rFonts w:ascii="Times New Roman" w:hAnsi="Times New Roman"/>
          <w:sz w:val="24"/>
          <w:szCs w:val="24"/>
        </w:rPr>
        <w:t>. Unfortunately, these crime</w:t>
      </w:r>
      <w:r w:rsidR="003C5B04">
        <w:rPr>
          <w:rFonts w:ascii="Times New Roman" w:hAnsi="Times New Roman"/>
          <w:sz w:val="24"/>
          <w:szCs w:val="24"/>
        </w:rPr>
        <w:t>s</w:t>
      </w:r>
      <w:r w:rsidR="004D0F4C" w:rsidRPr="004D0F4C">
        <w:rPr>
          <w:rFonts w:ascii="Times New Roman" w:hAnsi="Times New Roman"/>
          <w:sz w:val="24"/>
          <w:szCs w:val="24"/>
        </w:rPr>
        <w:t xml:space="preserve"> can occur </w:t>
      </w:r>
      <w:r w:rsidR="004E4AFB">
        <w:rPr>
          <w:rFonts w:ascii="Times New Roman" w:hAnsi="Times New Roman"/>
          <w:sz w:val="24"/>
          <w:szCs w:val="24"/>
        </w:rPr>
        <w:t xml:space="preserve">just as easily </w:t>
      </w:r>
      <w:r w:rsidR="004D0F4C" w:rsidRPr="004D0F4C">
        <w:rPr>
          <w:rFonts w:ascii="Times New Roman" w:hAnsi="Times New Roman"/>
          <w:sz w:val="24"/>
          <w:szCs w:val="24"/>
        </w:rPr>
        <w:t xml:space="preserve">on campus. </w:t>
      </w:r>
      <w:r w:rsidR="00F53A1B">
        <w:rPr>
          <w:rFonts w:ascii="Times New Roman" w:hAnsi="Times New Roman"/>
          <w:sz w:val="24"/>
          <w:szCs w:val="24"/>
        </w:rPr>
        <w:t>As a response to crime on campus, c</w:t>
      </w:r>
      <w:r w:rsidR="00A60BCC">
        <w:rPr>
          <w:rFonts w:ascii="Times New Roman" w:hAnsi="Times New Roman"/>
          <w:iCs/>
          <w:sz w:val="24"/>
          <w:szCs w:val="24"/>
        </w:rPr>
        <w:t xml:space="preserve">olleges and universities that receive Title IV funding are required to report their campus crime statistics to the public under </w:t>
      </w:r>
      <w:r w:rsidR="004D0F4C" w:rsidRPr="00A60BCC">
        <w:rPr>
          <w:rFonts w:ascii="Times New Roman" w:hAnsi="Times New Roman"/>
          <w:iCs/>
          <w:sz w:val="24"/>
          <w:szCs w:val="24"/>
        </w:rPr>
        <w:t xml:space="preserve">the Jeanne </w:t>
      </w:r>
      <w:proofErr w:type="spellStart"/>
      <w:r w:rsidR="004D0F4C" w:rsidRPr="00A60BCC">
        <w:rPr>
          <w:rFonts w:ascii="Times New Roman" w:hAnsi="Times New Roman"/>
          <w:iCs/>
          <w:sz w:val="24"/>
          <w:szCs w:val="24"/>
        </w:rPr>
        <w:t>Clery</w:t>
      </w:r>
      <w:proofErr w:type="spellEnd"/>
      <w:r w:rsidR="004D0F4C" w:rsidRPr="00A60BCC">
        <w:rPr>
          <w:rFonts w:ascii="Times New Roman" w:hAnsi="Times New Roman"/>
          <w:iCs/>
          <w:sz w:val="24"/>
          <w:szCs w:val="24"/>
        </w:rPr>
        <w:t xml:space="preserve"> Disclosure of Campus Security Policy and Campus Crime Statistics Act</w:t>
      </w:r>
      <w:r w:rsidR="00A60BCC">
        <w:rPr>
          <w:rFonts w:ascii="Times New Roman" w:hAnsi="Times New Roman"/>
          <w:iCs/>
          <w:sz w:val="24"/>
          <w:szCs w:val="24"/>
        </w:rPr>
        <w:t xml:space="preserve">. </w:t>
      </w:r>
      <w:r w:rsidR="006A6F2B">
        <w:rPr>
          <w:rFonts w:ascii="Times New Roman" w:hAnsi="Times New Roman"/>
          <w:iCs/>
          <w:sz w:val="24"/>
          <w:szCs w:val="24"/>
        </w:rPr>
        <w:t>T</w:t>
      </w:r>
      <w:r w:rsidR="004D0F4C" w:rsidRPr="00A60BCC">
        <w:rPr>
          <w:rFonts w:ascii="Times New Roman" w:hAnsi="Times New Roman"/>
          <w:iCs/>
          <w:sz w:val="24"/>
          <w:szCs w:val="24"/>
        </w:rPr>
        <w:t>his</w:t>
      </w:r>
      <w:r w:rsidR="006A6F2B">
        <w:rPr>
          <w:rFonts w:ascii="Times New Roman" w:hAnsi="Times New Roman"/>
          <w:iCs/>
          <w:sz w:val="24"/>
          <w:szCs w:val="24"/>
        </w:rPr>
        <w:t xml:space="preserve"> act</w:t>
      </w:r>
      <w:r w:rsidR="004D0F4C" w:rsidRPr="00A60BCC">
        <w:rPr>
          <w:rFonts w:ascii="Times New Roman" w:hAnsi="Times New Roman"/>
          <w:iCs/>
          <w:sz w:val="24"/>
          <w:szCs w:val="24"/>
        </w:rPr>
        <w:t xml:space="preserve"> </w:t>
      </w:r>
      <w:r w:rsidR="00B43019">
        <w:rPr>
          <w:rFonts w:ascii="Times New Roman" w:hAnsi="Times New Roman"/>
          <w:iCs/>
          <w:sz w:val="24"/>
          <w:szCs w:val="24"/>
        </w:rPr>
        <w:t>required</w:t>
      </w:r>
      <w:r w:rsidR="006A6F2B">
        <w:rPr>
          <w:rFonts w:ascii="Times New Roman" w:hAnsi="Times New Roman"/>
          <w:iCs/>
          <w:sz w:val="24"/>
          <w:szCs w:val="24"/>
        </w:rPr>
        <w:t xml:space="preserve"> schools to distribute</w:t>
      </w:r>
      <w:r w:rsidR="004D0F4C" w:rsidRPr="00A60BCC">
        <w:rPr>
          <w:rFonts w:ascii="Times New Roman" w:hAnsi="Times New Roman"/>
          <w:iCs/>
          <w:sz w:val="24"/>
          <w:szCs w:val="24"/>
        </w:rPr>
        <w:t xml:space="preserve"> procedures of criminal actions report, types and frequency of security </w:t>
      </w:r>
      <w:r w:rsidR="004D0F4C" w:rsidRPr="00A60BCC">
        <w:rPr>
          <w:rFonts w:ascii="Times New Roman" w:hAnsi="Times New Roman"/>
          <w:iCs/>
          <w:sz w:val="24"/>
          <w:szCs w:val="24"/>
        </w:rPr>
        <w:lastRenderedPageBreak/>
        <w:t>policies, and crime prevention programs on an annual basis</w:t>
      </w:r>
      <w:r w:rsidR="007D03F8">
        <w:rPr>
          <w:rFonts w:ascii="Times New Roman" w:hAnsi="Times New Roman"/>
          <w:iCs/>
          <w:sz w:val="24"/>
          <w:szCs w:val="24"/>
        </w:rPr>
        <w:t xml:space="preserve"> (Fisher, Hartman, Cullen, Turner</w:t>
      </w:r>
      <w:r w:rsidR="007D03F8" w:rsidRPr="00A60BCC">
        <w:rPr>
          <w:rFonts w:ascii="Times New Roman" w:hAnsi="Times New Roman"/>
          <w:iCs/>
          <w:sz w:val="24"/>
          <w:szCs w:val="24"/>
        </w:rPr>
        <w:t>,</w:t>
      </w:r>
      <w:r w:rsidR="007D03F8">
        <w:rPr>
          <w:rFonts w:ascii="Times New Roman" w:hAnsi="Times New Roman"/>
          <w:iCs/>
          <w:sz w:val="24"/>
          <w:szCs w:val="24"/>
        </w:rPr>
        <w:t xml:space="preserve"> 2002/2003</w:t>
      </w:r>
      <w:r w:rsidR="007D03F8" w:rsidRPr="00A60BCC">
        <w:rPr>
          <w:rFonts w:ascii="Times New Roman" w:hAnsi="Times New Roman"/>
          <w:iCs/>
          <w:sz w:val="24"/>
          <w:szCs w:val="24"/>
        </w:rPr>
        <w:t>)</w:t>
      </w:r>
      <w:r w:rsidR="006A6F2B" w:rsidRPr="00A60BCC">
        <w:rPr>
          <w:rFonts w:ascii="Times New Roman" w:hAnsi="Times New Roman"/>
          <w:iCs/>
          <w:sz w:val="24"/>
          <w:szCs w:val="24"/>
        </w:rPr>
        <w:t xml:space="preserve">. </w:t>
      </w:r>
      <w:r w:rsidR="007D03F8">
        <w:rPr>
          <w:rFonts w:ascii="Times New Roman" w:hAnsi="Times New Roman"/>
          <w:iCs/>
          <w:sz w:val="24"/>
          <w:szCs w:val="24"/>
        </w:rPr>
        <w:t xml:space="preserve">The act was brought about after </w:t>
      </w:r>
      <w:r w:rsidR="007D03F8">
        <w:rPr>
          <w:rFonts w:ascii="Times New Roman" w:hAnsi="Times New Roman" w:cs="Georgia"/>
          <w:color w:val="000000"/>
          <w:sz w:val="24"/>
          <w:szCs w:val="24"/>
        </w:rPr>
        <w:t xml:space="preserve">Jeanne </w:t>
      </w:r>
      <w:proofErr w:type="spellStart"/>
      <w:r w:rsidR="007D03F8">
        <w:rPr>
          <w:rFonts w:ascii="Times New Roman" w:hAnsi="Times New Roman" w:cs="Georgia"/>
          <w:color w:val="000000"/>
          <w:sz w:val="24"/>
          <w:szCs w:val="24"/>
        </w:rPr>
        <w:t>Clery</w:t>
      </w:r>
      <w:proofErr w:type="spellEnd"/>
      <w:r w:rsidR="007D03F8">
        <w:rPr>
          <w:rFonts w:ascii="Times New Roman" w:hAnsi="Times New Roman" w:cs="Georgia"/>
          <w:color w:val="000000"/>
          <w:sz w:val="24"/>
          <w:szCs w:val="24"/>
        </w:rPr>
        <w:t xml:space="preserve"> was found murdered in her dorm room. Her</w:t>
      </w:r>
      <w:r w:rsidR="004D0F4C" w:rsidRPr="004D0F4C">
        <w:rPr>
          <w:rFonts w:ascii="Times New Roman" w:hAnsi="Times New Roman" w:cs="Georgia"/>
          <w:color w:val="000000"/>
          <w:sz w:val="24"/>
          <w:szCs w:val="24"/>
        </w:rPr>
        <w:t xml:space="preserve"> parents </w:t>
      </w:r>
      <w:r w:rsidR="007D03F8">
        <w:rPr>
          <w:rFonts w:ascii="Times New Roman" w:hAnsi="Times New Roman" w:cs="Georgia"/>
          <w:color w:val="000000"/>
          <w:sz w:val="24"/>
          <w:szCs w:val="24"/>
        </w:rPr>
        <w:t xml:space="preserve">felt that if they had been aware of past violent-crime incidents at Lehigh University, they could have made a more informed decision about the </w:t>
      </w:r>
      <w:proofErr w:type="gramStart"/>
      <w:r w:rsidR="007D03F8">
        <w:rPr>
          <w:rFonts w:ascii="Times New Roman" w:hAnsi="Times New Roman" w:cs="Georgia"/>
          <w:color w:val="000000"/>
          <w:sz w:val="24"/>
          <w:szCs w:val="24"/>
        </w:rPr>
        <w:t xml:space="preserve">location </w:t>
      </w:r>
      <w:r w:rsidR="00A53206">
        <w:rPr>
          <w:rFonts w:ascii="Times New Roman" w:hAnsi="Times New Roman" w:cs="Georgia"/>
          <w:color w:val="000000"/>
          <w:sz w:val="24"/>
          <w:szCs w:val="24"/>
        </w:rPr>
        <w:t xml:space="preserve"> of</w:t>
      </w:r>
      <w:proofErr w:type="gramEnd"/>
      <w:r w:rsidR="00A53206">
        <w:rPr>
          <w:rFonts w:ascii="Times New Roman" w:hAnsi="Times New Roman" w:cs="Georgia"/>
          <w:color w:val="000000"/>
          <w:sz w:val="24"/>
          <w:szCs w:val="24"/>
        </w:rPr>
        <w:t xml:space="preserve"> </w:t>
      </w:r>
      <w:r w:rsidR="007D03F8">
        <w:rPr>
          <w:rFonts w:ascii="Times New Roman" w:hAnsi="Times New Roman" w:cs="Georgia"/>
          <w:color w:val="000000"/>
          <w:sz w:val="24"/>
          <w:szCs w:val="24"/>
        </w:rPr>
        <w:t>Jeanne’s</w:t>
      </w:r>
      <w:r w:rsidR="00A53206">
        <w:rPr>
          <w:rFonts w:ascii="Times New Roman" w:hAnsi="Times New Roman" w:cs="Georgia"/>
          <w:color w:val="000000"/>
          <w:sz w:val="24"/>
          <w:szCs w:val="24"/>
        </w:rPr>
        <w:t xml:space="preserve"> school</w:t>
      </w:r>
      <w:r w:rsidR="004D0F4C" w:rsidRPr="004D0F4C">
        <w:rPr>
          <w:rFonts w:ascii="Times New Roman" w:hAnsi="Times New Roman" w:cs="Georgia"/>
          <w:color w:val="000000"/>
          <w:sz w:val="24"/>
          <w:szCs w:val="24"/>
        </w:rPr>
        <w:t xml:space="preserve"> (Scribner, Mason, </w:t>
      </w:r>
      <w:proofErr w:type="spellStart"/>
      <w:r w:rsidR="004D0F4C" w:rsidRPr="004D0F4C">
        <w:rPr>
          <w:rFonts w:ascii="Times New Roman" w:hAnsi="Times New Roman" w:cs="Georgia"/>
          <w:color w:val="000000"/>
          <w:sz w:val="24"/>
          <w:szCs w:val="24"/>
        </w:rPr>
        <w:t>Simonsen</w:t>
      </w:r>
      <w:proofErr w:type="spellEnd"/>
      <w:r w:rsidR="004D0F4C" w:rsidRPr="004D0F4C">
        <w:rPr>
          <w:rFonts w:ascii="Times New Roman" w:hAnsi="Times New Roman" w:cs="Georgia"/>
          <w:color w:val="000000"/>
          <w:sz w:val="24"/>
          <w:szCs w:val="24"/>
        </w:rPr>
        <w:t xml:space="preserve">, </w:t>
      </w:r>
      <w:proofErr w:type="spellStart"/>
      <w:r w:rsidR="004D0F4C" w:rsidRPr="004D0F4C">
        <w:rPr>
          <w:rFonts w:ascii="Times New Roman" w:hAnsi="Times New Roman" w:cs="Georgia"/>
          <w:color w:val="000000"/>
          <w:sz w:val="24"/>
          <w:szCs w:val="24"/>
        </w:rPr>
        <w:t>Theall</w:t>
      </w:r>
      <w:proofErr w:type="spellEnd"/>
      <w:r w:rsidR="004D0F4C" w:rsidRPr="004D0F4C">
        <w:rPr>
          <w:rFonts w:ascii="Times New Roman" w:hAnsi="Times New Roman" w:cs="Georgia"/>
          <w:color w:val="000000"/>
          <w:sz w:val="24"/>
          <w:szCs w:val="24"/>
        </w:rPr>
        <w:t xml:space="preserve">, </w:t>
      </w:r>
      <w:proofErr w:type="spellStart"/>
      <w:r w:rsidR="004D0F4C" w:rsidRPr="004D0F4C">
        <w:rPr>
          <w:rFonts w:ascii="Times New Roman" w:hAnsi="Times New Roman" w:cs="Georgia"/>
          <w:color w:val="000000"/>
          <w:sz w:val="24"/>
          <w:szCs w:val="24"/>
        </w:rPr>
        <w:t>Chotalia</w:t>
      </w:r>
      <w:proofErr w:type="spellEnd"/>
      <w:r w:rsidR="004D0F4C" w:rsidRPr="004D0F4C">
        <w:rPr>
          <w:rFonts w:ascii="Times New Roman" w:hAnsi="Times New Roman" w:cs="Georgia"/>
          <w:color w:val="000000"/>
          <w:sz w:val="24"/>
          <w:szCs w:val="24"/>
        </w:rPr>
        <w:t xml:space="preserve">, Johnson, Schneider, </w:t>
      </w:r>
      <w:proofErr w:type="spellStart"/>
      <w:r w:rsidR="004D0F4C" w:rsidRPr="004D0F4C">
        <w:rPr>
          <w:rFonts w:ascii="Times New Roman" w:hAnsi="Times New Roman" w:cs="Georgia"/>
          <w:color w:val="000000"/>
          <w:sz w:val="24"/>
          <w:szCs w:val="24"/>
        </w:rPr>
        <w:t>DeJong</w:t>
      </w:r>
      <w:proofErr w:type="spellEnd"/>
      <w:r w:rsidR="004D0F4C" w:rsidRPr="004D0F4C">
        <w:rPr>
          <w:rFonts w:ascii="Times New Roman" w:hAnsi="Times New Roman" w:cs="Georgia"/>
          <w:color w:val="000000"/>
          <w:sz w:val="24"/>
          <w:szCs w:val="24"/>
        </w:rPr>
        <w:t>).</w:t>
      </w:r>
      <w:r w:rsidR="004D0F4C" w:rsidRPr="004D0F4C">
        <w:rPr>
          <w:rFonts w:ascii="Times New Roman" w:hAnsi="Times New Roman"/>
          <w:sz w:val="24"/>
          <w:szCs w:val="24"/>
        </w:rPr>
        <w:t xml:space="preserve"> </w:t>
      </w:r>
    </w:p>
    <w:p w:rsidR="002670AC" w:rsidRDefault="004D0F4C" w:rsidP="004D0F4C">
      <w:pPr>
        <w:spacing w:line="480" w:lineRule="auto"/>
        <w:ind w:firstLine="720"/>
        <w:rPr>
          <w:rFonts w:ascii="Times New Roman" w:hAnsi="Times New Roman"/>
          <w:sz w:val="24"/>
          <w:szCs w:val="24"/>
        </w:rPr>
      </w:pPr>
      <w:r w:rsidRPr="004D0F4C">
        <w:rPr>
          <w:rFonts w:ascii="Times New Roman" w:hAnsi="Times New Roman"/>
          <w:sz w:val="24"/>
          <w:szCs w:val="24"/>
        </w:rPr>
        <w:t>Many studies have been explored to analyze which campuses have the most crime</w:t>
      </w:r>
      <w:r w:rsidR="002F196B">
        <w:rPr>
          <w:rFonts w:ascii="Times New Roman" w:hAnsi="Times New Roman"/>
          <w:sz w:val="24"/>
          <w:szCs w:val="24"/>
        </w:rPr>
        <w:t>,</w:t>
      </w:r>
      <w:r w:rsidRPr="004D0F4C">
        <w:rPr>
          <w:rFonts w:ascii="Times New Roman" w:hAnsi="Times New Roman"/>
          <w:sz w:val="24"/>
          <w:szCs w:val="24"/>
        </w:rPr>
        <w:t xml:space="preserve"> but it is a strong possibility that some statistics may ex</w:t>
      </w:r>
      <w:r w:rsidR="002F196B">
        <w:rPr>
          <w:rFonts w:ascii="Times New Roman" w:hAnsi="Times New Roman"/>
          <w:sz w:val="24"/>
          <w:szCs w:val="24"/>
        </w:rPr>
        <w:t xml:space="preserve">ude a misconception about the crime on </w:t>
      </w:r>
      <w:r w:rsidRPr="004D0F4C">
        <w:rPr>
          <w:rFonts w:ascii="Times New Roman" w:hAnsi="Times New Roman"/>
          <w:sz w:val="24"/>
          <w:szCs w:val="24"/>
        </w:rPr>
        <w:t>certain campuses.</w:t>
      </w:r>
      <w:r w:rsidR="00D63944">
        <w:rPr>
          <w:rFonts w:ascii="Times New Roman" w:hAnsi="Times New Roman"/>
          <w:sz w:val="24"/>
          <w:szCs w:val="24"/>
        </w:rPr>
        <w:t xml:space="preserve"> </w:t>
      </w:r>
      <w:r w:rsidR="0024344D">
        <w:rPr>
          <w:rFonts w:ascii="Times New Roman" w:hAnsi="Times New Roman"/>
          <w:sz w:val="24"/>
          <w:szCs w:val="24"/>
        </w:rPr>
        <w:t>O</w:t>
      </w:r>
      <w:r w:rsidRPr="004D0F4C">
        <w:rPr>
          <w:rFonts w:ascii="Times New Roman" w:hAnsi="Times New Roman"/>
          <w:sz w:val="24"/>
          <w:szCs w:val="24"/>
        </w:rPr>
        <w:t>ur exploration of this topic with an adequate amount of</w:t>
      </w:r>
      <w:r w:rsidR="0024344D">
        <w:rPr>
          <w:rFonts w:ascii="Times New Roman" w:hAnsi="Times New Roman"/>
          <w:sz w:val="24"/>
          <w:szCs w:val="24"/>
        </w:rPr>
        <w:t xml:space="preserve"> explanatory variables will</w:t>
      </w:r>
      <w:r w:rsidRPr="004D0F4C">
        <w:rPr>
          <w:rFonts w:ascii="Times New Roman" w:hAnsi="Times New Roman"/>
          <w:sz w:val="24"/>
          <w:szCs w:val="24"/>
        </w:rPr>
        <w:t xml:space="preserve"> further the study of crime on college campuses. Previous studies have shown with the use of some explanatory variables there have been results showing the correlation </w:t>
      </w:r>
      <w:r w:rsidR="0024344D">
        <w:rPr>
          <w:rFonts w:ascii="Times New Roman" w:hAnsi="Times New Roman"/>
          <w:sz w:val="24"/>
          <w:szCs w:val="24"/>
        </w:rPr>
        <w:t>between these variables</w:t>
      </w:r>
      <w:r w:rsidRPr="004D0F4C">
        <w:rPr>
          <w:rFonts w:ascii="Times New Roman" w:hAnsi="Times New Roman"/>
          <w:sz w:val="24"/>
          <w:szCs w:val="24"/>
        </w:rPr>
        <w:t xml:space="preserve"> and crime. </w:t>
      </w:r>
      <w:proofErr w:type="spellStart"/>
      <w:r w:rsidRPr="004D0F4C">
        <w:rPr>
          <w:rFonts w:ascii="Times New Roman" w:hAnsi="Times New Roman"/>
          <w:bCs/>
          <w:sz w:val="24"/>
          <w:szCs w:val="24"/>
        </w:rPr>
        <w:t>McPheters</w:t>
      </w:r>
      <w:proofErr w:type="spellEnd"/>
      <w:r w:rsidRPr="004D0F4C">
        <w:rPr>
          <w:rFonts w:ascii="Times New Roman" w:hAnsi="Times New Roman"/>
          <w:bCs/>
          <w:sz w:val="24"/>
          <w:szCs w:val="24"/>
        </w:rPr>
        <w:t xml:space="preserve"> found that unemployment rates in a certain urban area affected the crime rates at colleges nearby. Robinson and </w:t>
      </w:r>
      <w:proofErr w:type="spellStart"/>
      <w:r w:rsidRPr="004D0F4C">
        <w:rPr>
          <w:rFonts w:ascii="Times New Roman" w:hAnsi="Times New Roman"/>
          <w:bCs/>
          <w:sz w:val="24"/>
          <w:szCs w:val="24"/>
        </w:rPr>
        <w:t>Roh</w:t>
      </w:r>
      <w:proofErr w:type="spellEnd"/>
      <w:r w:rsidRPr="004D0F4C">
        <w:rPr>
          <w:rFonts w:ascii="Times New Roman" w:hAnsi="Times New Roman"/>
          <w:bCs/>
          <w:sz w:val="24"/>
          <w:szCs w:val="24"/>
        </w:rPr>
        <w:t xml:space="preserve"> found that crime tend</w:t>
      </w:r>
      <w:r w:rsidR="00963926">
        <w:rPr>
          <w:rFonts w:ascii="Times New Roman" w:hAnsi="Times New Roman"/>
          <w:bCs/>
          <w:sz w:val="24"/>
          <w:szCs w:val="24"/>
        </w:rPr>
        <w:t>ed</w:t>
      </w:r>
      <w:r w:rsidRPr="004D0F4C">
        <w:rPr>
          <w:rFonts w:ascii="Times New Roman" w:hAnsi="Times New Roman"/>
          <w:bCs/>
          <w:sz w:val="24"/>
          <w:szCs w:val="24"/>
        </w:rPr>
        <w:t xml:space="preserve"> to clu</w:t>
      </w:r>
      <w:r w:rsidR="00963926">
        <w:rPr>
          <w:rFonts w:ascii="Times New Roman" w:hAnsi="Times New Roman"/>
          <w:bCs/>
          <w:sz w:val="24"/>
          <w:szCs w:val="24"/>
        </w:rPr>
        <w:t>ster</w:t>
      </w:r>
      <w:r w:rsidRPr="004D0F4C">
        <w:rPr>
          <w:rFonts w:ascii="Times New Roman" w:hAnsi="Times New Roman"/>
          <w:bCs/>
          <w:sz w:val="24"/>
          <w:szCs w:val="24"/>
        </w:rPr>
        <w:t xml:space="preserve"> in areas. </w:t>
      </w:r>
      <w:r w:rsidRPr="004D0F4C">
        <w:rPr>
          <w:rFonts w:ascii="Times New Roman" w:hAnsi="Times New Roman"/>
          <w:sz w:val="24"/>
          <w:szCs w:val="24"/>
        </w:rPr>
        <w:t xml:space="preserve"> Fox and Hellman held a study analyzing the college setting including variables such as location, campus size, and scholastic quality. Their results showed that campus size and scholastic quality had a positive correlation to crime</w:t>
      </w:r>
      <w:r w:rsidR="00963926">
        <w:rPr>
          <w:rFonts w:ascii="Times New Roman" w:hAnsi="Times New Roman"/>
          <w:sz w:val="24"/>
          <w:szCs w:val="24"/>
        </w:rPr>
        <w:t>,</w:t>
      </w:r>
      <w:r w:rsidRPr="004D0F4C">
        <w:rPr>
          <w:rFonts w:ascii="Times New Roman" w:hAnsi="Times New Roman"/>
          <w:sz w:val="24"/>
          <w:szCs w:val="24"/>
        </w:rPr>
        <w:t xml:space="preserve"> while loc</w:t>
      </w:r>
      <w:r w:rsidR="00963926">
        <w:rPr>
          <w:rFonts w:ascii="Times New Roman" w:hAnsi="Times New Roman"/>
          <w:sz w:val="24"/>
          <w:szCs w:val="24"/>
        </w:rPr>
        <w:t xml:space="preserve">ation had little to none. </w:t>
      </w:r>
    </w:p>
    <w:p w:rsidR="004D0F4C" w:rsidRDefault="00963926" w:rsidP="004D0F4C">
      <w:pPr>
        <w:spacing w:line="480" w:lineRule="auto"/>
        <w:ind w:firstLine="720"/>
        <w:rPr>
          <w:rFonts w:ascii="Times New Roman" w:hAnsi="Times New Roman"/>
          <w:sz w:val="24"/>
          <w:szCs w:val="24"/>
        </w:rPr>
      </w:pPr>
      <w:r>
        <w:rPr>
          <w:rFonts w:ascii="Times New Roman" w:hAnsi="Times New Roman"/>
          <w:sz w:val="24"/>
          <w:szCs w:val="24"/>
        </w:rPr>
        <w:t>W</w:t>
      </w:r>
      <w:r w:rsidR="004D0F4C" w:rsidRPr="004D0F4C">
        <w:rPr>
          <w:rFonts w:ascii="Times New Roman" w:hAnsi="Times New Roman"/>
          <w:sz w:val="24"/>
          <w:szCs w:val="24"/>
        </w:rPr>
        <w:t>e wi</w:t>
      </w:r>
      <w:r>
        <w:rPr>
          <w:rFonts w:ascii="Times New Roman" w:hAnsi="Times New Roman"/>
          <w:sz w:val="24"/>
          <w:szCs w:val="24"/>
        </w:rPr>
        <w:t xml:space="preserve">sh to further examine this </w:t>
      </w:r>
      <w:r w:rsidR="004D0F4C" w:rsidRPr="004D0F4C">
        <w:rPr>
          <w:rFonts w:ascii="Times New Roman" w:hAnsi="Times New Roman"/>
          <w:sz w:val="24"/>
          <w:szCs w:val="24"/>
        </w:rPr>
        <w:t xml:space="preserve">by analyzing </w:t>
      </w:r>
      <w:r w:rsidR="001C7022">
        <w:rPr>
          <w:rFonts w:ascii="Times New Roman" w:hAnsi="Times New Roman"/>
          <w:sz w:val="24"/>
          <w:szCs w:val="24"/>
        </w:rPr>
        <w:t>certain character</w:t>
      </w:r>
      <w:r w:rsidR="00352882">
        <w:rPr>
          <w:rFonts w:ascii="Times New Roman" w:hAnsi="Times New Roman"/>
          <w:sz w:val="24"/>
          <w:szCs w:val="24"/>
        </w:rPr>
        <w:t>i</w:t>
      </w:r>
      <w:r w:rsidR="001C7022">
        <w:rPr>
          <w:rFonts w:ascii="Times New Roman" w:hAnsi="Times New Roman"/>
          <w:sz w:val="24"/>
          <w:szCs w:val="24"/>
        </w:rPr>
        <w:t>stics of the surrounding</w:t>
      </w:r>
      <w:r w:rsidR="001415E9">
        <w:rPr>
          <w:rFonts w:ascii="Times New Roman" w:hAnsi="Times New Roman"/>
          <w:sz w:val="24"/>
          <w:szCs w:val="24"/>
        </w:rPr>
        <w:t xml:space="preserve"> city and determine whether they</w:t>
      </w:r>
      <w:r w:rsidR="004D0F4C" w:rsidRPr="004D0F4C">
        <w:rPr>
          <w:rFonts w:ascii="Times New Roman" w:hAnsi="Times New Roman"/>
          <w:sz w:val="24"/>
          <w:szCs w:val="24"/>
        </w:rPr>
        <w:t xml:space="preserve"> ha</w:t>
      </w:r>
      <w:r w:rsidR="001415E9">
        <w:rPr>
          <w:rFonts w:ascii="Times New Roman" w:hAnsi="Times New Roman"/>
          <w:sz w:val="24"/>
          <w:szCs w:val="24"/>
        </w:rPr>
        <w:t>ve</w:t>
      </w:r>
      <w:r w:rsidR="00E3336A">
        <w:rPr>
          <w:rFonts w:ascii="Times New Roman" w:hAnsi="Times New Roman"/>
          <w:sz w:val="24"/>
          <w:szCs w:val="24"/>
        </w:rPr>
        <w:t xml:space="preserve"> any correlation with</w:t>
      </w:r>
      <w:r w:rsidR="004D0F4C" w:rsidRPr="004D0F4C">
        <w:rPr>
          <w:rFonts w:ascii="Times New Roman" w:hAnsi="Times New Roman"/>
          <w:sz w:val="24"/>
          <w:szCs w:val="24"/>
        </w:rPr>
        <w:t xml:space="preserve"> crime on campus. </w:t>
      </w:r>
      <w:r w:rsidR="002670AC">
        <w:rPr>
          <w:rFonts w:ascii="Times New Roman" w:hAnsi="Times New Roman"/>
          <w:sz w:val="24"/>
          <w:szCs w:val="24"/>
        </w:rPr>
        <w:t xml:space="preserve">The next </w:t>
      </w:r>
      <w:proofErr w:type="spellStart"/>
      <w:r w:rsidR="002670AC">
        <w:rPr>
          <w:rFonts w:ascii="Times New Roman" w:hAnsi="Times New Roman"/>
          <w:sz w:val="24"/>
          <w:szCs w:val="24"/>
        </w:rPr>
        <w:t>section</w:t>
      </w:r>
      <w:r w:rsidR="00352882">
        <w:rPr>
          <w:rFonts w:ascii="Times New Roman" w:hAnsi="Times New Roman"/>
          <w:sz w:val="24"/>
          <w:szCs w:val="24"/>
        </w:rPr>
        <w:t>of</w:t>
      </w:r>
      <w:proofErr w:type="spellEnd"/>
      <w:r w:rsidR="00352882">
        <w:rPr>
          <w:rFonts w:ascii="Times New Roman" w:hAnsi="Times New Roman"/>
          <w:sz w:val="24"/>
          <w:szCs w:val="24"/>
        </w:rPr>
        <w:t xml:space="preserve"> our paper</w:t>
      </w:r>
      <w:r w:rsidR="002670AC">
        <w:rPr>
          <w:rFonts w:ascii="Times New Roman" w:hAnsi="Times New Roman"/>
          <w:sz w:val="24"/>
          <w:szCs w:val="24"/>
        </w:rPr>
        <w:t xml:space="preserve"> describes the data collected. Section III discusses our exploratory analysis and IV discusses our analysis method. Our paper is </w:t>
      </w:r>
      <w:r w:rsidR="00352882">
        <w:rPr>
          <w:rFonts w:ascii="Times New Roman" w:hAnsi="Times New Roman"/>
          <w:sz w:val="24"/>
          <w:szCs w:val="24"/>
        </w:rPr>
        <w:t xml:space="preserve">then </w:t>
      </w:r>
      <w:r w:rsidR="002670AC">
        <w:rPr>
          <w:rFonts w:ascii="Times New Roman" w:hAnsi="Times New Roman"/>
          <w:sz w:val="24"/>
          <w:szCs w:val="24"/>
        </w:rPr>
        <w:t>concluded with conclusion and discussion sections.</w:t>
      </w:r>
    </w:p>
    <w:p w:rsidR="003C7137" w:rsidRDefault="003C7137" w:rsidP="004D0F4C">
      <w:pPr>
        <w:spacing w:line="480" w:lineRule="auto"/>
        <w:ind w:firstLine="720"/>
        <w:rPr>
          <w:rFonts w:ascii="Times New Roman" w:hAnsi="Times New Roman"/>
          <w:sz w:val="24"/>
          <w:szCs w:val="24"/>
        </w:rPr>
      </w:pPr>
    </w:p>
    <w:p w:rsidR="003C7137" w:rsidRPr="004D0F4C" w:rsidRDefault="003C7137" w:rsidP="004D0F4C">
      <w:pPr>
        <w:spacing w:line="480" w:lineRule="auto"/>
        <w:ind w:firstLine="720"/>
      </w:pPr>
    </w:p>
    <w:p w:rsidR="004D0F4C" w:rsidRPr="00257A2B" w:rsidRDefault="00257A2B" w:rsidP="00257A2B">
      <w:pPr>
        <w:pStyle w:val="ListParagraph"/>
        <w:numPr>
          <w:ilvl w:val="0"/>
          <w:numId w:val="5"/>
        </w:numPr>
        <w:spacing w:line="480" w:lineRule="auto"/>
        <w:rPr>
          <w:rFonts w:ascii="Times New Roman" w:hAnsi="Times New Roman" w:cs="Times New Roman"/>
          <w:b/>
          <w:sz w:val="24"/>
          <w:szCs w:val="24"/>
        </w:rPr>
      </w:pPr>
      <w:r w:rsidRPr="00257A2B">
        <w:rPr>
          <w:rFonts w:ascii="Times New Roman" w:hAnsi="Times New Roman" w:cs="Times New Roman"/>
          <w:b/>
          <w:sz w:val="24"/>
          <w:szCs w:val="24"/>
        </w:rPr>
        <w:lastRenderedPageBreak/>
        <w:t>Data</w:t>
      </w:r>
    </w:p>
    <w:p w:rsidR="004D0F4C" w:rsidRPr="00030308" w:rsidRDefault="004D0F4C" w:rsidP="004D0F4C">
      <w:pPr>
        <w:spacing w:line="480" w:lineRule="auto"/>
        <w:ind w:firstLine="720"/>
        <w:rPr>
          <w:rFonts w:ascii="Times New Roman" w:hAnsi="Times New Roman" w:cs="Times New Roman"/>
          <w:sz w:val="24"/>
          <w:szCs w:val="24"/>
        </w:rPr>
      </w:pPr>
      <w:r w:rsidRPr="00030308">
        <w:rPr>
          <w:rFonts w:ascii="Times New Roman" w:hAnsi="Times New Roman" w:cs="Times New Roman"/>
          <w:sz w:val="24"/>
          <w:szCs w:val="24"/>
        </w:rPr>
        <w:t>There are over 4,000 colleges and universities in the United States. We</w:t>
      </w:r>
      <w:r w:rsidR="00352882">
        <w:rPr>
          <w:rFonts w:ascii="Times New Roman" w:hAnsi="Times New Roman" w:cs="Times New Roman"/>
          <w:sz w:val="24"/>
          <w:szCs w:val="24"/>
        </w:rPr>
        <w:t xml:space="preserve"> considered u</w:t>
      </w:r>
      <w:r w:rsidRPr="00030308">
        <w:rPr>
          <w:rFonts w:ascii="Times New Roman" w:hAnsi="Times New Roman" w:cs="Times New Roman"/>
          <w:sz w:val="24"/>
          <w:szCs w:val="24"/>
        </w:rPr>
        <w:t>niversities that the College Board considered large</w:t>
      </w:r>
      <w:r w:rsidR="00E3336A">
        <w:rPr>
          <w:rFonts w:ascii="Times New Roman" w:hAnsi="Times New Roman" w:cs="Times New Roman"/>
          <w:sz w:val="24"/>
          <w:szCs w:val="24"/>
        </w:rPr>
        <w:t xml:space="preserve"> </w:t>
      </w:r>
      <w:r w:rsidR="00352882">
        <w:rPr>
          <w:rFonts w:ascii="Times New Roman" w:hAnsi="Times New Roman" w:cs="Times New Roman"/>
          <w:sz w:val="24"/>
          <w:szCs w:val="24"/>
        </w:rPr>
        <w:t>which resulted in</w:t>
      </w:r>
      <w:r w:rsidR="00E3336A">
        <w:rPr>
          <w:rFonts w:ascii="Times New Roman" w:hAnsi="Times New Roman" w:cs="Times New Roman"/>
          <w:sz w:val="24"/>
          <w:szCs w:val="24"/>
        </w:rPr>
        <w:t xml:space="preserve"> 144 schools</w:t>
      </w:r>
      <w:r w:rsidRPr="00030308">
        <w:rPr>
          <w:rFonts w:ascii="Times New Roman" w:hAnsi="Times New Roman" w:cs="Times New Roman"/>
          <w:sz w:val="24"/>
          <w:szCs w:val="24"/>
        </w:rPr>
        <w:t>.</w:t>
      </w:r>
      <w:r w:rsidR="002235B3">
        <w:rPr>
          <w:rFonts w:ascii="Times New Roman" w:hAnsi="Times New Roman" w:cs="Times New Roman"/>
          <w:sz w:val="24"/>
          <w:szCs w:val="24"/>
        </w:rPr>
        <w:t xml:space="preserve"> All institutions </w:t>
      </w:r>
      <w:r w:rsidRPr="00030308">
        <w:rPr>
          <w:rFonts w:ascii="Times New Roman" w:hAnsi="Times New Roman" w:cs="Times New Roman"/>
          <w:sz w:val="24"/>
          <w:szCs w:val="24"/>
        </w:rPr>
        <w:t xml:space="preserve">were </w:t>
      </w:r>
      <w:r w:rsidR="002235B3">
        <w:rPr>
          <w:rFonts w:ascii="Times New Roman" w:hAnsi="Times New Roman" w:cs="Times New Roman"/>
          <w:sz w:val="24"/>
          <w:szCs w:val="24"/>
        </w:rPr>
        <w:t xml:space="preserve">four year, </w:t>
      </w:r>
      <w:proofErr w:type="spellStart"/>
      <w:r w:rsidRPr="00030308">
        <w:rPr>
          <w:rFonts w:ascii="Times New Roman" w:hAnsi="Times New Roman" w:cs="Times New Roman"/>
          <w:sz w:val="24"/>
          <w:szCs w:val="24"/>
        </w:rPr>
        <w:t>non profit</w:t>
      </w:r>
      <w:proofErr w:type="spellEnd"/>
      <w:r w:rsidRPr="00030308">
        <w:rPr>
          <w:rFonts w:ascii="Times New Roman" w:hAnsi="Times New Roman" w:cs="Times New Roman"/>
          <w:sz w:val="24"/>
          <w:szCs w:val="24"/>
        </w:rPr>
        <w:t>, priv</w:t>
      </w:r>
      <w:r w:rsidR="002235B3">
        <w:rPr>
          <w:rFonts w:ascii="Times New Roman" w:hAnsi="Times New Roman" w:cs="Times New Roman"/>
          <w:sz w:val="24"/>
          <w:szCs w:val="24"/>
        </w:rPr>
        <w:t>ate or public schools</w:t>
      </w:r>
      <w:r w:rsidRPr="00030308">
        <w:rPr>
          <w:rFonts w:ascii="Times New Roman" w:hAnsi="Times New Roman" w:cs="Times New Roman"/>
          <w:sz w:val="24"/>
          <w:szCs w:val="24"/>
        </w:rPr>
        <w:t xml:space="preserve">.  </w:t>
      </w:r>
      <w:r w:rsidR="00352882">
        <w:rPr>
          <w:rFonts w:ascii="Times New Roman" w:hAnsi="Times New Roman" w:cs="Times New Roman"/>
          <w:sz w:val="24"/>
          <w:szCs w:val="24"/>
        </w:rPr>
        <w:t>We</w:t>
      </w:r>
      <w:r w:rsidRPr="00030308">
        <w:rPr>
          <w:rFonts w:ascii="Times New Roman" w:hAnsi="Times New Roman" w:cs="Times New Roman"/>
          <w:sz w:val="24"/>
          <w:szCs w:val="24"/>
        </w:rPr>
        <w:t xml:space="preserve"> collect</w:t>
      </w:r>
      <w:r w:rsidR="00352882">
        <w:rPr>
          <w:rFonts w:ascii="Times New Roman" w:hAnsi="Times New Roman" w:cs="Times New Roman"/>
          <w:sz w:val="24"/>
          <w:szCs w:val="24"/>
        </w:rPr>
        <w:t>ed</w:t>
      </w:r>
      <w:r w:rsidRPr="00030308">
        <w:rPr>
          <w:rFonts w:ascii="Times New Roman" w:hAnsi="Times New Roman" w:cs="Times New Roman"/>
          <w:sz w:val="24"/>
          <w:szCs w:val="24"/>
        </w:rPr>
        <w:t xml:space="preserve"> data on the cities that contained these 144 schools. </w:t>
      </w:r>
    </w:p>
    <w:p w:rsidR="004D0F4C" w:rsidRPr="00030308" w:rsidRDefault="004D0F4C" w:rsidP="004D0F4C">
      <w:pPr>
        <w:spacing w:line="480" w:lineRule="auto"/>
        <w:ind w:firstLine="720"/>
        <w:rPr>
          <w:rFonts w:ascii="Times New Roman" w:hAnsi="Times New Roman" w:cs="Times New Roman"/>
          <w:sz w:val="24"/>
          <w:szCs w:val="24"/>
        </w:rPr>
      </w:pPr>
      <w:r w:rsidRPr="00030308">
        <w:rPr>
          <w:rFonts w:ascii="Times New Roman" w:hAnsi="Times New Roman" w:cs="Times New Roman"/>
          <w:sz w:val="24"/>
          <w:szCs w:val="24"/>
        </w:rPr>
        <w:t xml:space="preserve">The crime rates that were used for each school were </w:t>
      </w:r>
      <w:r w:rsidR="00874A52">
        <w:rPr>
          <w:rFonts w:ascii="Times New Roman" w:hAnsi="Times New Roman" w:cs="Times New Roman"/>
          <w:sz w:val="24"/>
          <w:szCs w:val="24"/>
        </w:rPr>
        <w:t>found using</w:t>
      </w:r>
      <w:r w:rsidRPr="00030308">
        <w:rPr>
          <w:rFonts w:ascii="Times New Roman" w:hAnsi="Times New Roman" w:cs="Times New Roman"/>
          <w:sz w:val="24"/>
          <w:szCs w:val="24"/>
        </w:rPr>
        <w:t xml:space="preserve"> the Campus Safety and Security Data Analysis Cutting Tool</w:t>
      </w:r>
      <w:r w:rsidR="00874A52">
        <w:rPr>
          <w:rFonts w:ascii="Times New Roman" w:hAnsi="Times New Roman" w:cs="Times New Roman"/>
          <w:sz w:val="24"/>
          <w:szCs w:val="24"/>
        </w:rPr>
        <w:t>, provided by the O</w:t>
      </w:r>
      <w:r w:rsidRPr="00030308">
        <w:rPr>
          <w:rFonts w:ascii="Times New Roman" w:hAnsi="Times New Roman" w:cs="Times New Roman"/>
          <w:sz w:val="24"/>
          <w:szCs w:val="24"/>
        </w:rPr>
        <w:t xml:space="preserve">ffice of </w:t>
      </w:r>
      <w:r w:rsidR="00647714">
        <w:rPr>
          <w:rFonts w:ascii="Times New Roman" w:hAnsi="Times New Roman" w:cs="Times New Roman"/>
          <w:sz w:val="24"/>
          <w:szCs w:val="24"/>
        </w:rPr>
        <w:t>Posts</w:t>
      </w:r>
      <w:r w:rsidR="00874A52">
        <w:rPr>
          <w:rFonts w:ascii="Times New Roman" w:hAnsi="Times New Roman" w:cs="Times New Roman"/>
          <w:sz w:val="24"/>
          <w:szCs w:val="24"/>
        </w:rPr>
        <w:t>econdary E</w:t>
      </w:r>
      <w:r w:rsidRPr="00030308">
        <w:rPr>
          <w:rFonts w:ascii="Times New Roman" w:hAnsi="Times New Roman" w:cs="Times New Roman"/>
          <w:sz w:val="24"/>
          <w:szCs w:val="24"/>
        </w:rPr>
        <w:t>ducation</w:t>
      </w:r>
      <w:r w:rsidR="00093A44">
        <w:rPr>
          <w:rFonts w:ascii="Times New Roman" w:hAnsi="Times New Roman" w:cs="Times New Roman"/>
          <w:sz w:val="24"/>
          <w:szCs w:val="24"/>
        </w:rPr>
        <w:t xml:space="preserve"> [8-from website sources]</w:t>
      </w:r>
      <w:r w:rsidRPr="00030308">
        <w:rPr>
          <w:rFonts w:ascii="Times New Roman" w:hAnsi="Times New Roman" w:cs="Times New Roman"/>
          <w:sz w:val="24"/>
          <w:szCs w:val="24"/>
        </w:rPr>
        <w:t>. The crime rates were reported by each school's administrator at the end of the year 2011</w:t>
      </w:r>
      <w:r w:rsidR="00D0013D">
        <w:rPr>
          <w:rFonts w:ascii="Times New Roman" w:hAnsi="Times New Roman" w:cs="Times New Roman"/>
          <w:sz w:val="24"/>
          <w:szCs w:val="24"/>
        </w:rPr>
        <w:t xml:space="preserve">, which was </w:t>
      </w:r>
      <w:r w:rsidR="00871099">
        <w:rPr>
          <w:rFonts w:ascii="Times New Roman" w:hAnsi="Times New Roman" w:cs="Times New Roman"/>
          <w:sz w:val="24"/>
          <w:szCs w:val="24"/>
        </w:rPr>
        <w:t xml:space="preserve">the year with </w:t>
      </w:r>
      <w:r w:rsidR="00D0013D">
        <w:rPr>
          <w:rFonts w:ascii="Times New Roman" w:hAnsi="Times New Roman" w:cs="Times New Roman"/>
          <w:sz w:val="24"/>
          <w:szCs w:val="24"/>
        </w:rPr>
        <w:t>the most recent data</w:t>
      </w:r>
      <w:r w:rsidRPr="00030308">
        <w:rPr>
          <w:rFonts w:ascii="Times New Roman" w:hAnsi="Times New Roman" w:cs="Times New Roman"/>
          <w:sz w:val="24"/>
          <w:szCs w:val="24"/>
        </w:rPr>
        <w:t>. The number associated with each school was the number of criminal offenses which had occurred on campus divided by population per one thousand students.</w:t>
      </w:r>
      <w:r w:rsidR="00D0013D">
        <w:rPr>
          <w:rFonts w:ascii="Times New Roman" w:hAnsi="Times New Roman" w:cs="Times New Roman"/>
          <w:sz w:val="24"/>
          <w:szCs w:val="24"/>
        </w:rPr>
        <w:t xml:space="preserve"> </w:t>
      </w:r>
    </w:p>
    <w:p w:rsidR="004D0F4C" w:rsidRPr="00030308" w:rsidRDefault="004D0F4C" w:rsidP="004D0F4C">
      <w:pPr>
        <w:spacing w:line="480" w:lineRule="auto"/>
        <w:ind w:firstLine="720"/>
        <w:rPr>
          <w:rFonts w:ascii="Times New Roman" w:hAnsi="Times New Roman" w:cs="Times New Roman"/>
          <w:sz w:val="24"/>
          <w:szCs w:val="24"/>
        </w:rPr>
      </w:pPr>
      <w:r w:rsidRPr="00030308">
        <w:rPr>
          <w:rFonts w:ascii="Times New Roman" w:hAnsi="Times New Roman" w:cs="Times New Roman"/>
          <w:sz w:val="24"/>
          <w:szCs w:val="24"/>
        </w:rPr>
        <w:t xml:space="preserve">The American Fact Finder available on the United States Census Bureau's website provided us with an abundance of information on American cities and its citizens. We </w:t>
      </w:r>
      <w:r w:rsidR="00093A44">
        <w:rPr>
          <w:rFonts w:ascii="Times New Roman" w:hAnsi="Times New Roman" w:cs="Times New Roman"/>
          <w:sz w:val="24"/>
          <w:szCs w:val="24"/>
        </w:rPr>
        <w:t>collected data from the US Census Bureau [American Fact Finder]</w:t>
      </w:r>
      <w:r w:rsidRPr="00030308">
        <w:rPr>
          <w:rFonts w:ascii="Times New Roman" w:hAnsi="Times New Roman" w:cs="Times New Roman"/>
          <w:sz w:val="24"/>
          <w:szCs w:val="24"/>
        </w:rPr>
        <w:t xml:space="preserve"> site </w:t>
      </w:r>
      <w:r w:rsidR="00093A44">
        <w:rPr>
          <w:rFonts w:ascii="Times New Roman" w:hAnsi="Times New Roman" w:cs="Times New Roman"/>
          <w:sz w:val="24"/>
          <w:szCs w:val="24"/>
        </w:rPr>
        <w:t>and</w:t>
      </w:r>
      <w:r w:rsidRPr="00030308">
        <w:rPr>
          <w:rFonts w:ascii="Times New Roman" w:hAnsi="Times New Roman" w:cs="Times New Roman"/>
          <w:sz w:val="24"/>
          <w:szCs w:val="24"/>
        </w:rPr>
        <w:t xml:space="preserve"> obtain</w:t>
      </w:r>
      <w:r w:rsidR="00093A44">
        <w:rPr>
          <w:rFonts w:ascii="Times New Roman" w:hAnsi="Times New Roman" w:cs="Times New Roman"/>
          <w:sz w:val="24"/>
          <w:szCs w:val="24"/>
        </w:rPr>
        <w:t>ed</w:t>
      </w:r>
      <w:r w:rsidRPr="00030308">
        <w:rPr>
          <w:rFonts w:ascii="Times New Roman" w:hAnsi="Times New Roman" w:cs="Times New Roman"/>
          <w:sz w:val="24"/>
          <w:szCs w:val="24"/>
        </w:rPr>
        <w:t xml:space="preserve"> the data for several of our variables including population, unemployment rate, male percentage, percentage of women in the labor force, whether the city was considered rural or urban, different race percentages, different ethnicity percentages</w:t>
      </w:r>
      <w:r w:rsidR="009A0DBA">
        <w:rPr>
          <w:rFonts w:ascii="Times New Roman" w:hAnsi="Times New Roman" w:cs="Times New Roman"/>
          <w:sz w:val="24"/>
          <w:szCs w:val="24"/>
        </w:rPr>
        <w:t xml:space="preserve"> </w:t>
      </w:r>
      <w:r w:rsidRPr="00030308">
        <w:rPr>
          <w:rFonts w:ascii="Times New Roman" w:hAnsi="Times New Roman" w:cs="Times New Roman"/>
          <w:sz w:val="24"/>
          <w:szCs w:val="24"/>
        </w:rPr>
        <w:t>(i.e. Hispanic or not H</w:t>
      </w:r>
      <w:r w:rsidR="009A0DBA">
        <w:rPr>
          <w:rFonts w:ascii="Times New Roman" w:hAnsi="Times New Roman" w:cs="Times New Roman"/>
          <w:sz w:val="24"/>
          <w:szCs w:val="24"/>
        </w:rPr>
        <w:t>ispanic), median income,  median</w:t>
      </w:r>
      <w:r w:rsidRPr="00030308">
        <w:rPr>
          <w:rFonts w:ascii="Times New Roman" w:hAnsi="Times New Roman" w:cs="Times New Roman"/>
          <w:sz w:val="24"/>
          <w:szCs w:val="24"/>
        </w:rPr>
        <w:t xml:space="preserve"> age, and percentages of the different households</w:t>
      </w:r>
      <w:r w:rsidR="0084244E">
        <w:rPr>
          <w:rFonts w:ascii="Times New Roman" w:hAnsi="Times New Roman" w:cs="Times New Roman"/>
          <w:sz w:val="24"/>
          <w:szCs w:val="24"/>
        </w:rPr>
        <w:t xml:space="preserve"> </w:t>
      </w:r>
      <w:r w:rsidRPr="00030308">
        <w:rPr>
          <w:rFonts w:ascii="Times New Roman" w:hAnsi="Times New Roman" w:cs="Times New Roman"/>
          <w:sz w:val="24"/>
          <w:szCs w:val="24"/>
        </w:rPr>
        <w:t>(i.e. married</w:t>
      </w:r>
      <w:r w:rsidR="0084244E">
        <w:rPr>
          <w:rFonts w:ascii="Times New Roman" w:hAnsi="Times New Roman" w:cs="Times New Roman"/>
          <w:sz w:val="24"/>
          <w:szCs w:val="24"/>
        </w:rPr>
        <w:t xml:space="preserve"> couples, single parent households, or nonfamily households</w:t>
      </w:r>
      <w:r w:rsidRPr="00030308">
        <w:rPr>
          <w:rFonts w:ascii="Times New Roman" w:hAnsi="Times New Roman" w:cs="Times New Roman"/>
          <w:sz w:val="24"/>
          <w:szCs w:val="24"/>
        </w:rPr>
        <w:t xml:space="preserve">). The Fact Finder also provided the number of liquor stores in each county, </w:t>
      </w:r>
      <w:r w:rsidR="00F8004E">
        <w:rPr>
          <w:rFonts w:ascii="Times New Roman" w:hAnsi="Times New Roman" w:cs="Times New Roman"/>
          <w:sz w:val="24"/>
          <w:szCs w:val="24"/>
        </w:rPr>
        <w:t xml:space="preserve">and we mapped the city of the university </w:t>
      </w:r>
      <w:r w:rsidR="005D3383">
        <w:rPr>
          <w:rFonts w:ascii="Times New Roman" w:hAnsi="Times New Roman" w:cs="Times New Roman"/>
          <w:sz w:val="24"/>
          <w:szCs w:val="24"/>
        </w:rPr>
        <w:t>to the corresponding county for this variable</w:t>
      </w:r>
      <w:r w:rsidR="004D2651">
        <w:rPr>
          <w:rFonts w:ascii="Times New Roman" w:hAnsi="Times New Roman" w:cs="Times New Roman"/>
          <w:sz w:val="24"/>
          <w:szCs w:val="24"/>
        </w:rPr>
        <w:t>.</w:t>
      </w:r>
      <w:r w:rsidR="005D3383">
        <w:rPr>
          <w:rFonts w:ascii="Times New Roman" w:hAnsi="Times New Roman" w:cs="Times New Roman"/>
          <w:sz w:val="24"/>
          <w:szCs w:val="24"/>
        </w:rPr>
        <w:t xml:space="preserve"> T</w:t>
      </w:r>
      <w:r w:rsidRPr="00030308">
        <w:rPr>
          <w:rFonts w:ascii="Times New Roman" w:hAnsi="Times New Roman" w:cs="Times New Roman"/>
          <w:sz w:val="24"/>
          <w:szCs w:val="24"/>
        </w:rPr>
        <w:t>he site did not provide data for Lexington, Kentucky, Athens</w:t>
      </w:r>
      <w:r w:rsidR="009660BD">
        <w:rPr>
          <w:rFonts w:ascii="Times New Roman" w:hAnsi="Times New Roman" w:cs="Times New Roman"/>
          <w:sz w:val="24"/>
          <w:szCs w:val="24"/>
        </w:rPr>
        <w:t>, Georgia, and University</w:t>
      </w:r>
      <w:r w:rsidRPr="00030308">
        <w:rPr>
          <w:rFonts w:ascii="Times New Roman" w:hAnsi="Times New Roman" w:cs="Times New Roman"/>
          <w:sz w:val="24"/>
          <w:szCs w:val="24"/>
        </w:rPr>
        <w:t xml:space="preserve">, </w:t>
      </w:r>
      <w:r w:rsidRPr="00030308">
        <w:rPr>
          <w:rFonts w:ascii="Times New Roman" w:hAnsi="Times New Roman" w:cs="Times New Roman"/>
          <w:sz w:val="24"/>
          <w:szCs w:val="24"/>
        </w:rPr>
        <w:lastRenderedPageBreak/>
        <w:t>Mississippi</w:t>
      </w:r>
      <w:r w:rsidR="009660BD">
        <w:rPr>
          <w:rFonts w:ascii="Times New Roman" w:hAnsi="Times New Roman" w:cs="Times New Roman"/>
          <w:sz w:val="24"/>
          <w:szCs w:val="24"/>
        </w:rPr>
        <w:t>. The universities in the</w:t>
      </w:r>
      <w:r w:rsidRPr="00030308">
        <w:rPr>
          <w:rFonts w:ascii="Times New Roman" w:hAnsi="Times New Roman" w:cs="Times New Roman"/>
          <w:sz w:val="24"/>
          <w:szCs w:val="24"/>
        </w:rPr>
        <w:t>se cities were University of Kentucky, University of Georgia, and Univ</w:t>
      </w:r>
      <w:r w:rsidR="009660BD">
        <w:rPr>
          <w:rFonts w:ascii="Times New Roman" w:hAnsi="Times New Roman" w:cs="Times New Roman"/>
          <w:sz w:val="24"/>
          <w:szCs w:val="24"/>
        </w:rPr>
        <w:t>ersity of Mississippi,</w:t>
      </w:r>
      <w:r w:rsidRPr="00030308">
        <w:rPr>
          <w:rFonts w:ascii="Times New Roman" w:hAnsi="Times New Roman" w:cs="Times New Roman"/>
          <w:sz w:val="24"/>
          <w:szCs w:val="24"/>
        </w:rPr>
        <w:t xml:space="preserve"> respectively</w:t>
      </w:r>
      <w:r w:rsidR="009660BD">
        <w:rPr>
          <w:rFonts w:ascii="Times New Roman" w:hAnsi="Times New Roman" w:cs="Times New Roman"/>
          <w:sz w:val="24"/>
          <w:szCs w:val="24"/>
        </w:rPr>
        <w:t>,</w:t>
      </w:r>
      <w:r w:rsidRPr="00030308">
        <w:rPr>
          <w:rFonts w:ascii="Times New Roman" w:hAnsi="Times New Roman" w:cs="Times New Roman"/>
          <w:sz w:val="24"/>
          <w:szCs w:val="24"/>
        </w:rPr>
        <w:t xml:space="preserve"> and therefore we excluded </w:t>
      </w:r>
      <w:r w:rsidR="00601969">
        <w:rPr>
          <w:rFonts w:ascii="Times New Roman" w:hAnsi="Times New Roman" w:cs="Times New Roman"/>
          <w:sz w:val="24"/>
          <w:szCs w:val="24"/>
        </w:rPr>
        <w:t>them from this analysis</w:t>
      </w:r>
      <w:r w:rsidRPr="00030308">
        <w:rPr>
          <w:rFonts w:ascii="Times New Roman" w:hAnsi="Times New Roman" w:cs="Times New Roman"/>
          <w:sz w:val="24"/>
          <w:szCs w:val="24"/>
        </w:rPr>
        <w:t xml:space="preserve">. </w:t>
      </w:r>
    </w:p>
    <w:p w:rsidR="004D0F4C" w:rsidRDefault="004D0F4C" w:rsidP="009660BD">
      <w:pPr>
        <w:pStyle w:val="TextBody"/>
        <w:spacing w:line="480" w:lineRule="auto"/>
        <w:ind w:firstLine="720"/>
      </w:pPr>
      <w:r>
        <w:t xml:space="preserve">We used Simpson's Diversity Index </w:t>
      </w:r>
      <w:r w:rsidR="006F4AC2">
        <w:t>[</w:t>
      </w:r>
      <w:r w:rsidR="00F038E8" w:rsidRPr="00F038E8">
        <w:t>http://www.countrysideinfo.co.uk/simpsons.htm</w:t>
      </w:r>
      <w:r w:rsidR="006F4AC2">
        <w:t xml:space="preserve">] </w:t>
      </w:r>
      <w:r>
        <w:t>as a way to measure diversity of the different races present in each city. The Simpson Diversity Index is the probability of two individuals randomly selected from a population being the same race. The numeric value of this index is found by using the following equation</w:t>
      </w:r>
    </w:p>
    <w:p w:rsidR="004D0F4C" w:rsidRDefault="00DC2A4E" w:rsidP="004D0F4C">
      <w:pPr>
        <w:pStyle w:val="TextBody"/>
        <w:jc w:val="center"/>
      </w:pPr>
      <m:oMath>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n</m:t>
                                </m:r>
                              </m:den>
                            </m:f>
                          </m:e>
                        </m:d>
                      </m:e>
                      <m:sup>
                        <m:r>
                          <w:rPr>
                            <w:rFonts w:ascii="Cambria Math" w:hAnsi="Cambria Math"/>
                          </w:rPr>
                          <m:t>2</m:t>
                        </m:r>
                      </m:sup>
                    </m:sSup>
                  </m:e>
                </m:nary>
              </m:e>
            </m:d>
          </m:e>
          <m:sup>
            <m:r>
              <w:rPr>
                <w:rFonts w:ascii="Cambria Math" w:hAnsi="Cambria Math"/>
              </w:rPr>
              <m:t>-1</m:t>
            </m:r>
          </m:sup>
        </m:sSup>
      </m:oMath>
      <w:r w:rsidR="004D0F4C">
        <w:t xml:space="preserve"> </w:t>
      </w:r>
      <w:r w:rsidR="004C49D2">
        <w:t>,</w:t>
      </w:r>
    </w:p>
    <w:p w:rsidR="004D0F4C" w:rsidRDefault="004C49D2" w:rsidP="004D0F4C">
      <w:pPr>
        <w:pStyle w:val="TextBody"/>
        <w:spacing w:line="480" w:lineRule="auto"/>
      </w:pPr>
      <w:proofErr w:type="gramStart"/>
      <w:r>
        <w:t>w</w:t>
      </w:r>
      <w:r w:rsidR="004D0F4C">
        <w:t>here</w:t>
      </w:r>
      <w:proofErr w:type="gramEnd"/>
      <w:r w:rsidR="009660BD">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660BD">
        <w:t xml:space="preserve"> </w:t>
      </w:r>
      <w:r w:rsidR="004D0F4C">
        <w:t xml:space="preserve">is the percentage of a race and </w:t>
      </w:r>
      <m:oMath>
        <m:r>
          <w:rPr>
            <w:rFonts w:ascii="Cambria Math" w:hAnsi="Cambria Math"/>
          </w:rPr>
          <m:t>n</m:t>
        </m:r>
      </m:oMath>
      <w:r w:rsidR="004D0F4C">
        <w:t xml:space="preserve"> is the population of the city. In our project, the index measured the variety of races in the cities. To calculate this index value, the total number of races and the percent</w:t>
      </w:r>
      <w:r>
        <w:t>age</w:t>
      </w:r>
      <w:r w:rsidR="004D0F4C">
        <w:t xml:space="preserve"> of each race in the cities were needed. We considered the following seven race categories: White, Black, Asian, Native American, Native Hawaiian, “other”, and those of two or more race</w:t>
      </w:r>
      <w:r>
        <w:t>s</w:t>
      </w:r>
      <w:r w:rsidR="004D0F4C">
        <w:t>. The index value could range from one to seven, but no city in our data set had a number that exceeded four. A higher index value represented a more diverse population</w:t>
      </w:r>
      <w:r>
        <w:t>. S</w:t>
      </w:r>
      <w:r w:rsidR="004D0F4C">
        <w:t>ince our values did not exceed four</w:t>
      </w:r>
      <w:r>
        <w:t>, this suggested</w:t>
      </w:r>
      <w:r w:rsidR="004D0F4C">
        <w:t xml:space="preserve"> the cities used were not highly diverse. We decided to use Simpson’s Diversity Index instead of just the percent</w:t>
      </w:r>
      <w:r>
        <w:t>age</w:t>
      </w:r>
      <w:r w:rsidR="004D0F4C">
        <w:t xml:space="preserve"> of each race for a few reasons. For one, the values were easier to compare. The index incorporated seven different numbers into one, which minimized the number of parameters we had to consider. We also wanted to avoid singling out a specific race. The Simpson’s Diversity Index created a more level ground for the comparison of the races.</w:t>
      </w:r>
    </w:p>
    <w:p w:rsidR="004D0F4C" w:rsidRPr="00257A2B" w:rsidRDefault="004D0F4C" w:rsidP="00257A2B">
      <w:pPr>
        <w:spacing w:line="480" w:lineRule="auto"/>
        <w:ind w:firstLine="720"/>
        <w:rPr>
          <w:rFonts w:ascii="Times New Roman" w:hAnsi="Times New Roman" w:cs="Times New Roman"/>
          <w:sz w:val="24"/>
          <w:szCs w:val="24"/>
        </w:rPr>
      </w:pPr>
      <w:r w:rsidRPr="004D0F4C">
        <w:rPr>
          <w:rFonts w:ascii="Times New Roman" w:hAnsi="Times New Roman" w:cs="Times New Roman"/>
          <w:sz w:val="24"/>
          <w:szCs w:val="24"/>
        </w:rPr>
        <w:t xml:space="preserve">Finding the percentage of students involved with Greek life was difficult to obtain. We found all of the Greek life percentages on College Board, with the exception of twenty-four schools. From there we visited the websites of these schools to see the </w:t>
      </w:r>
      <w:r w:rsidR="00DD244C">
        <w:rPr>
          <w:rFonts w:ascii="Times New Roman" w:hAnsi="Times New Roman" w:cs="Times New Roman"/>
          <w:sz w:val="24"/>
          <w:szCs w:val="24"/>
        </w:rPr>
        <w:t xml:space="preserve">most recent </w:t>
      </w:r>
      <w:r w:rsidRPr="004D0F4C">
        <w:rPr>
          <w:rFonts w:ascii="Times New Roman" w:hAnsi="Times New Roman" w:cs="Times New Roman"/>
          <w:sz w:val="24"/>
          <w:szCs w:val="24"/>
        </w:rPr>
        <w:t xml:space="preserve">number of </w:t>
      </w:r>
      <w:r w:rsidRPr="004D0F4C">
        <w:rPr>
          <w:rFonts w:ascii="Times New Roman" w:hAnsi="Times New Roman" w:cs="Times New Roman"/>
          <w:sz w:val="24"/>
          <w:szCs w:val="24"/>
        </w:rPr>
        <w:lastRenderedPageBreak/>
        <w:t>students involved in a sorority or fraternity and divided i</w:t>
      </w:r>
      <w:r w:rsidR="009807C9">
        <w:rPr>
          <w:rFonts w:ascii="Times New Roman" w:hAnsi="Times New Roman" w:cs="Times New Roman"/>
          <w:sz w:val="24"/>
          <w:szCs w:val="24"/>
        </w:rPr>
        <w:t>t by the student population</w:t>
      </w:r>
      <w:r w:rsidR="003A0F0A">
        <w:rPr>
          <w:rFonts w:ascii="Times New Roman" w:hAnsi="Times New Roman" w:cs="Times New Roman"/>
          <w:sz w:val="24"/>
          <w:szCs w:val="24"/>
        </w:rPr>
        <w:t>. We did thi</w:t>
      </w:r>
      <w:r w:rsidR="008D6012">
        <w:rPr>
          <w:rFonts w:ascii="Times New Roman" w:hAnsi="Times New Roman" w:cs="Times New Roman"/>
          <w:sz w:val="24"/>
          <w:szCs w:val="24"/>
        </w:rPr>
        <w:t>s for seven schools. Thir</w:t>
      </w:r>
      <w:r w:rsidR="003A0F0A">
        <w:rPr>
          <w:rFonts w:ascii="Times New Roman" w:hAnsi="Times New Roman" w:cs="Times New Roman"/>
          <w:sz w:val="24"/>
          <w:szCs w:val="24"/>
        </w:rPr>
        <w:t>teen</w:t>
      </w:r>
      <w:r w:rsidRPr="004D0F4C">
        <w:rPr>
          <w:rFonts w:ascii="Times New Roman" w:hAnsi="Times New Roman" w:cs="Times New Roman"/>
          <w:sz w:val="24"/>
          <w:szCs w:val="24"/>
        </w:rPr>
        <w:t xml:space="preserve"> of the schools did not have these numbers available so we used a phone number listed to contact a member of the school</w:t>
      </w:r>
      <w:r w:rsidR="009807C9">
        <w:rPr>
          <w:rFonts w:ascii="Times New Roman" w:hAnsi="Times New Roman" w:cs="Times New Roman"/>
          <w:sz w:val="24"/>
          <w:szCs w:val="24"/>
        </w:rPr>
        <w:t>’</w:t>
      </w:r>
      <w:r w:rsidRPr="004D0F4C">
        <w:rPr>
          <w:rFonts w:ascii="Times New Roman" w:hAnsi="Times New Roman" w:cs="Times New Roman"/>
          <w:sz w:val="24"/>
          <w:szCs w:val="24"/>
        </w:rPr>
        <w:t>s faculty to obtain this information. Unfortunately, this process of research did not lead to Greek life percentages for the following schools: Weber State University, University of Wisconsin-Milwaukee, Utah Valley University, and City University of New York: Hunter College. College Board was also used to find the tuition rates for each university/college.</w:t>
      </w:r>
    </w:p>
    <w:p w:rsidR="004D0F4C" w:rsidRPr="00257A2B" w:rsidRDefault="004D0F4C" w:rsidP="004D0F4C">
      <w:pPr>
        <w:spacing w:line="480" w:lineRule="auto"/>
        <w:ind w:firstLine="720"/>
        <w:rPr>
          <w:rFonts w:ascii="Times New Roman" w:hAnsi="Times New Roman" w:cs="Times New Roman"/>
          <w:b/>
          <w:sz w:val="24"/>
          <w:szCs w:val="24"/>
        </w:rPr>
      </w:pPr>
      <w:r w:rsidRPr="004D0F4C">
        <w:rPr>
          <w:rFonts w:ascii="Times New Roman" w:hAnsi="Times New Roman" w:cs="Times New Roman"/>
          <w:sz w:val="24"/>
          <w:szCs w:val="24"/>
        </w:rPr>
        <w:t xml:space="preserve">The </w:t>
      </w:r>
      <w:proofErr w:type="spellStart"/>
      <w:r w:rsidRPr="004D0F4C">
        <w:rPr>
          <w:rFonts w:ascii="Times New Roman" w:hAnsi="Times New Roman" w:cs="Times New Roman"/>
          <w:sz w:val="24"/>
          <w:szCs w:val="24"/>
        </w:rPr>
        <w:t>Dru</w:t>
      </w:r>
      <w:proofErr w:type="spellEnd"/>
      <w:r w:rsidRPr="004D0F4C">
        <w:rPr>
          <w:rFonts w:ascii="Times New Roman" w:hAnsi="Times New Roman" w:cs="Times New Roman"/>
          <w:sz w:val="24"/>
          <w:szCs w:val="24"/>
        </w:rPr>
        <w:t xml:space="preserve"> </w:t>
      </w:r>
      <w:proofErr w:type="spellStart"/>
      <w:r w:rsidRPr="004D0F4C">
        <w:rPr>
          <w:rFonts w:ascii="Times New Roman" w:hAnsi="Times New Roman" w:cs="Times New Roman"/>
          <w:sz w:val="24"/>
          <w:szCs w:val="24"/>
        </w:rPr>
        <w:t>Sjodin</w:t>
      </w:r>
      <w:proofErr w:type="spellEnd"/>
      <w:r w:rsidRPr="004D0F4C">
        <w:rPr>
          <w:rFonts w:ascii="Times New Roman" w:hAnsi="Times New Roman" w:cs="Times New Roman"/>
          <w:sz w:val="24"/>
          <w:szCs w:val="24"/>
        </w:rPr>
        <w:t xml:space="preserve"> National Sex Offender Public Website (NSOPW) is a public safety </w:t>
      </w:r>
      <w:r w:rsidR="0099489F">
        <w:rPr>
          <w:rFonts w:ascii="Times New Roman" w:hAnsi="Times New Roman" w:cs="Times New Roman"/>
          <w:sz w:val="24"/>
          <w:szCs w:val="24"/>
        </w:rPr>
        <w:t>resource that provided us</w:t>
      </w:r>
      <w:r w:rsidRPr="004D0F4C">
        <w:rPr>
          <w:rFonts w:ascii="Times New Roman" w:hAnsi="Times New Roman" w:cs="Times New Roman"/>
          <w:sz w:val="24"/>
          <w:szCs w:val="24"/>
        </w:rPr>
        <w:t xml:space="preserve"> with access to sex offender data nationwide. NSOPW is a partnership between the U.S. Department of Justice and state, terr</w:t>
      </w:r>
      <w:r w:rsidR="0099489F">
        <w:rPr>
          <w:rFonts w:ascii="Times New Roman" w:hAnsi="Times New Roman" w:cs="Times New Roman"/>
          <w:sz w:val="24"/>
          <w:szCs w:val="24"/>
        </w:rPr>
        <w:t>itorial, and tribal governments</w:t>
      </w:r>
      <w:r w:rsidRPr="004D0F4C">
        <w:rPr>
          <w:rFonts w:ascii="Times New Roman" w:hAnsi="Times New Roman" w:cs="Times New Roman"/>
          <w:sz w:val="24"/>
          <w:szCs w:val="24"/>
        </w:rPr>
        <w:t>. We obtained the majority of the sex offenders per city using this site. After searching for the city, the website transferred us to the city government's website which contained the number of sex offenders in each city. For thirty of the 144 cit</w:t>
      </w:r>
      <w:r w:rsidR="00F77798">
        <w:rPr>
          <w:rFonts w:ascii="Times New Roman" w:hAnsi="Times New Roman" w:cs="Times New Roman"/>
          <w:sz w:val="24"/>
          <w:szCs w:val="24"/>
        </w:rPr>
        <w:t>ies, city-data.com was used. Th</w:t>
      </w:r>
      <w:r w:rsidR="00F038E8">
        <w:rPr>
          <w:rFonts w:ascii="Times New Roman" w:hAnsi="Times New Roman" w:cs="Times New Roman"/>
          <w:sz w:val="24"/>
          <w:szCs w:val="24"/>
        </w:rPr>
        <w:t>e</w:t>
      </w:r>
      <w:r w:rsidR="00F77798">
        <w:rPr>
          <w:rFonts w:ascii="Times New Roman" w:hAnsi="Times New Roman" w:cs="Times New Roman"/>
          <w:sz w:val="24"/>
          <w:szCs w:val="24"/>
        </w:rPr>
        <w:t xml:space="preserve"> data w</w:t>
      </w:r>
      <w:r w:rsidR="00F038E8">
        <w:rPr>
          <w:rFonts w:ascii="Times New Roman" w:hAnsi="Times New Roman" w:cs="Times New Roman"/>
          <w:sz w:val="24"/>
          <w:szCs w:val="24"/>
        </w:rPr>
        <w:t>ere</w:t>
      </w:r>
      <w:r w:rsidR="000E6245">
        <w:rPr>
          <w:rFonts w:ascii="Times New Roman" w:hAnsi="Times New Roman" w:cs="Times New Roman"/>
          <w:sz w:val="24"/>
          <w:szCs w:val="24"/>
        </w:rPr>
        <w:t xml:space="preserve"> obtain</w:t>
      </w:r>
      <w:r w:rsidR="00F77798">
        <w:rPr>
          <w:rFonts w:ascii="Times New Roman" w:hAnsi="Times New Roman" w:cs="Times New Roman"/>
          <w:sz w:val="24"/>
          <w:szCs w:val="24"/>
        </w:rPr>
        <w:t>ed</w:t>
      </w:r>
      <w:r w:rsidRPr="004D0F4C">
        <w:rPr>
          <w:rFonts w:ascii="Times New Roman" w:hAnsi="Times New Roman" w:cs="Times New Roman"/>
          <w:sz w:val="24"/>
          <w:szCs w:val="24"/>
        </w:rPr>
        <w:t xml:space="preserve"> from public records. After gathering these numbers, they were changed into percentages as a number of sex offenders per 1</w:t>
      </w:r>
      <w:r w:rsidR="004A284D">
        <w:rPr>
          <w:rFonts w:ascii="Times New Roman" w:hAnsi="Times New Roman" w:cs="Times New Roman"/>
          <w:sz w:val="24"/>
          <w:szCs w:val="24"/>
        </w:rPr>
        <w:t>,</w:t>
      </w:r>
      <w:r w:rsidRPr="004D0F4C">
        <w:rPr>
          <w:rFonts w:ascii="Times New Roman" w:hAnsi="Times New Roman" w:cs="Times New Roman"/>
          <w:sz w:val="24"/>
          <w:szCs w:val="24"/>
        </w:rPr>
        <w:t>000 people.</w:t>
      </w:r>
    </w:p>
    <w:p w:rsidR="004D0F4C" w:rsidRPr="00257A2B" w:rsidRDefault="00257A2B" w:rsidP="004D0F4C">
      <w:pPr>
        <w:pStyle w:val="ListParagraph"/>
        <w:numPr>
          <w:ilvl w:val="0"/>
          <w:numId w:val="5"/>
        </w:numPr>
        <w:spacing w:line="480" w:lineRule="auto"/>
        <w:rPr>
          <w:rFonts w:ascii="Times New Roman" w:hAnsi="Times New Roman" w:cs="Times New Roman"/>
          <w:b/>
          <w:sz w:val="24"/>
          <w:szCs w:val="24"/>
        </w:rPr>
      </w:pPr>
      <w:r w:rsidRPr="00257A2B">
        <w:rPr>
          <w:rFonts w:ascii="Times New Roman" w:hAnsi="Times New Roman" w:cs="Times New Roman"/>
          <w:b/>
          <w:sz w:val="24"/>
          <w:szCs w:val="24"/>
        </w:rPr>
        <w:t>Exploratory Analysis</w:t>
      </w:r>
    </w:p>
    <w:p w:rsidR="003543D9" w:rsidRDefault="004D0F4C" w:rsidP="004D0F4C">
      <w:pPr>
        <w:spacing w:line="480" w:lineRule="auto"/>
        <w:rPr>
          <w:rFonts w:ascii="Times New Roman" w:hAnsi="Times New Roman" w:cs="Times New Roman"/>
          <w:sz w:val="24"/>
          <w:szCs w:val="24"/>
        </w:rPr>
      </w:pPr>
      <w:r w:rsidRPr="004D0F4C">
        <w:rPr>
          <w:rFonts w:ascii="Times New Roman" w:hAnsi="Times New Roman" w:cs="Times New Roman"/>
          <w:sz w:val="24"/>
          <w:szCs w:val="24"/>
        </w:rPr>
        <w:tab/>
      </w:r>
      <w:r w:rsidR="00F038E8">
        <w:rPr>
          <w:rFonts w:ascii="Times New Roman" w:hAnsi="Times New Roman" w:cs="Times New Roman"/>
          <w:sz w:val="24"/>
          <w:szCs w:val="24"/>
        </w:rPr>
        <w:t xml:space="preserve">Preliminary </w:t>
      </w:r>
      <w:proofErr w:type="gramStart"/>
      <w:r w:rsidR="00F038E8">
        <w:rPr>
          <w:rFonts w:ascii="Times New Roman" w:hAnsi="Times New Roman" w:cs="Times New Roman"/>
          <w:sz w:val="24"/>
          <w:szCs w:val="24"/>
        </w:rPr>
        <w:t>analysis of our data were</w:t>
      </w:r>
      <w:proofErr w:type="gramEnd"/>
      <w:r w:rsidR="00F038E8">
        <w:rPr>
          <w:rFonts w:ascii="Times New Roman" w:hAnsi="Times New Roman" w:cs="Times New Roman"/>
          <w:sz w:val="24"/>
          <w:szCs w:val="24"/>
        </w:rPr>
        <w:t xml:space="preserve"> performed. The</w:t>
      </w:r>
      <w:r w:rsidRPr="004D0F4C">
        <w:rPr>
          <w:rFonts w:ascii="Times New Roman" w:hAnsi="Times New Roman" w:cs="Times New Roman"/>
          <w:sz w:val="24"/>
          <w:szCs w:val="24"/>
        </w:rPr>
        <w:t xml:space="preserve"> response variable, crime</w:t>
      </w:r>
      <w:r w:rsidR="00C07ABD">
        <w:rPr>
          <w:rFonts w:ascii="Times New Roman" w:hAnsi="Times New Roman" w:cs="Times New Roman"/>
          <w:sz w:val="24"/>
          <w:szCs w:val="24"/>
        </w:rPr>
        <w:t xml:space="preserve"> r</w:t>
      </w:r>
      <w:r w:rsidR="00F038E8">
        <w:rPr>
          <w:rFonts w:ascii="Times New Roman" w:hAnsi="Times New Roman" w:cs="Times New Roman"/>
          <w:sz w:val="24"/>
          <w:szCs w:val="24"/>
        </w:rPr>
        <w:t xml:space="preserve">ates per 1,000 people, </w:t>
      </w:r>
      <w:r w:rsidR="00C07ABD">
        <w:rPr>
          <w:rFonts w:ascii="Times New Roman" w:hAnsi="Times New Roman" w:cs="Times New Roman"/>
          <w:sz w:val="24"/>
          <w:szCs w:val="24"/>
        </w:rPr>
        <w:t>was</w:t>
      </w:r>
      <w:r w:rsidR="00F038E8">
        <w:rPr>
          <w:rFonts w:ascii="Times New Roman" w:hAnsi="Times New Roman" w:cs="Times New Roman"/>
          <w:sz w:val="24"/>
          <w:szCs w:val="24"/>
        </w:rPr>
        <w:t xml:space="preserve"> checked for normalit</w:t>
      </w:r>
      <w:r w:rsidR="00C07ABD">
        <w:rPr>
          <w:rFonts w:ascii="Times New Roman" w:hAnsi="Times New Roman" w:cs="Times New Roman"/>
          <w:sz w:val="24"/>
          <w:szCs w:val="24"/>
        </w:rPr>
        <w:t>y</w:t>
      </w:r>
      <w:r w:rsidRPr="004D0F4C">
        <w:rPr>
          <w:rFonts w:ascii="Times New Roman" w:hAnsi="Times New Roman" w:cs="Times New Roman"/>
          <w:sz w:val="24"/>
          <w:szCs w:val="24"/>
        </w:rPr>
        <w:t xml:space="preserve">. </w:t>
      </w:r>
      <w:r w:rsidR="00F038E8">
        <w:rPr>
          <w:rFonts w:ascii="Times New Roman" w:hAnsi="Times New Roman" w:cs="Times New Roman"/>
          <w:sz w:val="24"/>
          <w:szCs w:val="24"/>
        </w:rPr>
        <w:t>Based on the histogram and Q-Q plot, a square root transformation was needed for normality of the data.</w:t>
      </w:r>
      <w:r w:rsidRPr="004D0F4C">
        <w:rPr>
          <w:rFonts w:ascii="Times New Roman" w:hAnsi="Times New Roman" w:cs="Times New Roman"/>
          <w:sz w:val="24"/>
          <w:szCs w:val="24"/>
        </w:rPr>
        <w:t xml:space="preserve"> </w:t>
      </w:r>
      <w:r w:rsidR="00C07ABD">
        <w:rPr>
          <w:rFonts w:ascii="Times New Roman" w:hAnsi="Times New Roman" w:cs="Times New Roman"/>
          <w:sz w:val="24"/>
          <w:szCs w:val="24"/>
        </w:rPr>
        <w:t>We then</w:t>
      </w:r>
      <w:r w:rsidRPr="004D0F4C">
        <w:rPr>
          <w:rFonts w:ascii="Times New Roman" w:hAnsi="Times New Roman" w:cs="Times New Roman"/>
          <w:sz w:val="24"/>
          <w:szCs w:val="24"/>
        </w:rPr>
        <w:t xml:space="preserve"> perform</w:t>
      </w:r>
      <w:r w:rsidR="00C07ABD">
        <w:rPr>
          <w:rFonts w:ascii="Times New Roman" w:hAnsi="Times New Roman" w:cs="Times New Roman"/>
          <w:sz w:val="24"/>
          <w:szCs w:val="24"/>
        </w:rPr>
        <w:t>ed</w:t>
      </w:r>
      <w:r w:rsidRPr="004D0F4C">
        <w:rPr>
          <w:rFonts w:ascii="Times New Roman" w:hAnsi="Times New Roman" w:cs="Times New Roman"/>
          <w:sz w:val="24"/>
          <w:szCs w:val="24"/>
        </w:rPr>
        <w:t xml:space="preserve"> the Shapiro-</w:t>
      </w:r>
      <w:proofErr w:type="spellStart"/>
      <w:r w:rsidRPr="004D0F4C">
        <w:rPr>
          <w:rFonts w:ascii="Times New Roman" w:hAnsi="Times New Roman" w:cs="Times New Roman"/>
          <w:sz w:val="24"/>
          <w:szCs w:val="24"/>
        </w:rPr>
        <w:t>Wilk</w:t>
      </w:r>
      <w:proofErr w:type="spellEnd"/>
      <w:r w:rsidRPr="004D0F4C">
        <w:rPr>
          <w:rFonts w:ascii="Times New Roman" w:hAnsi="Times New Roman" w:cs="Times New Roman"/>
          <w:sz w:val="24"/>
          <w:szCs w:val="24"/>
        </w:rPr>
        <w:t xml:space="preserve"> normality test on the data and f</w:t>
      </w:r>
      <w:r w:rsidR="00C07ABD">
        <w:rPr>
          <w:rFonts w:ascii="Times New Roman" w:hAnsi="Times New Roman" w:cs="Times New Roman"/>
          <w:sz w:val="24"/>
          <w:szCs w:val="24"/>
        </w:rPr>
        <w:t>ou</w:t>
      </w:r>
      <w:r w:rsidRPr="004D0F4C">
        <w:rPr>
          <w:rFonts w:ascii="Times New Roman" w:hAnsi="Times New Roman" w:cs="Times New Roman"/>
          <w:sz w:val="24"/>
          <w:szCs w:val="24"/>
        </w:rPr>
        <w:t xml:space="preserve">nd </w:t>
      </w:r>
      <w:r w:rsidR="00C07ABD">
        <w:rPr>
          <w:rFonts w:ascii="Times New Roman" w:hAnsi="Times New Roman" w:cs="Times New Roman"/>
          <w:sz w:val="24"/>
          <w:szCs w:val="24"/>
        </w:rPr>
        <w:t>it to be</w:t>
      </w:r>
      <w:r w:rsidR="00191D98">
        <w:rPr>
          <w:rFonts w:ascii="Times New Roman" w:hAnsi="Times New Roman" w:cs="Times New Roman"/>
          <w:sz w:val="24"/>
          <w:szCs w:val="24"/>
        </w:rPr>
        <w:t xml:space="preserve"> approximately normal (</w:t>
      </w:r>
      <w:r w:rsidRPr="00191D98">
        <w:rPr>
          <w:rFonts w:ascii="Times New Roman" w:hAnsi="Times New Roman" w:cs="Times New Roman"/>
          <w:i/>
          <w:sz w:val="24"/>
          <w:szCs w:val="24"/>
        </w:rPr>
        <w:t>p</w:t>
      </w:r>
      <w:r w:rsidRPr="004D0F4C">
        <w:rPr>
          <w:rFonts w:ascii="Times New Roman" w:hAnsi="Times New Roman" w:cs="Times New Roman"/>
          <w:sz w:val="24"/>
          <w:szCs w:val="24"/>
        </w:rPr>
        <w:t>-value</w:t>
      </w:r>
      <w:r w:rsidR="00C07ABD">
        <w:rPr>
          <w:rFonts w:ascii="Times New Roman" w:hAnsi="Times New Roman" w:cs="Times New Roman"/>
          <w:sz w:val="24"/>
          <w:szCs w:val="24"/>
        </w:rPr>
        <w:t xml:space="preserve"> </w:t>
      </w:r>
      <w:r w:rsidRPr="004D0F4C">
        <w:rPr>
          <w:rFonts w:ascii="Times New Roman" w:hAnsi="Times New Roman" w:cs="Times New Roman"/>
          <w:sz w:val="24"/>
          <w:szCs w:val="24"/>
        </w:rPr>
        <w:t>=</w:t>
      </w:r>
      <w:r w:rsidR="00C07ABD">
        <w:rPr>
          <w:rFonts w:ascii="Times New Roman" w:hAnsi="Times New Roman" w:cs="Times New Roman"/>
          <w:sz w:val="24"/>
          <w:szCs w:val="24"/>
        </w:rPr>
        <w:t xml:space="preserve"> 0</w:t>
      </w:r>
      <w:r w:rsidR="005A44A5">
        <w:rPr>
          <w:rFonts w:ascii="Times New Roman" w:hAnsi="Times New Roman" w:cs="Times New Roman"/>
          <w:sz w:val="24"/>
          <w:szCs w:val="24"/>
        </w:rPr>
        <w:t>.09319). It i</w:t>
      </w:r>
      <w:r w:rsidRPr="004D0F4C">
        <w:rPr>
          <w:rFonts w:ascii="Times New Roman" w:hAnsi="Times New Roman" w:cs="Times New Roman"/>
          <w:sz w:val="24"/>
          <w:szCs w:val="24"/>
        </w:rPr>
        <w:t>s also important to note that three cities, Cincinnati, Ohio, Adelphi, Marylan</w:t>
      </w:r>
      <w:r w:rsidR="005A44A5">
        <w:rPr>
          <w:rFonts w:ascii="Times New Roman" w:hAnsi="Times New Roman" w:cs="Times New Roman"/>
          <w:sz w:val="24"/>
          <w:szCs w:val="24"/>
        </w:rPr>
        <w:t xml:space="preserve">d, and Trenton, New </w:t>
      </w:r>
      <w:r w:rsidR="005A44A5">
        <w:rPr>
          <w:rFonts w:ascii="Times New Roman" w:hAnsi="Times New Roman" w:cs="Times New Roman"/>
          <w:sz w:val="24"/>
          <w:szCs w:val="24"/>
        </w:rPr>
        <w:lastRenderedPageBreak/>
        <w:t>Jersey, had reported crime rates of zero. W</w:t>
      </w:r>
      <w:r w:rsidRPr="004D0F4C">
        <w:rPr>
          <w:rFonts w:ascii="Times New Roman" w:hAnsi="Times New Roman" w:cs="Times New Roman"/>
          <w:sz w:val="24"/>
          <w:szCs w:val="24"/>
        </w:rPr>
        <w:t xml:space="preserve">e suspected </w:t>
      </w:r>
      <w:r w:rsidR="005A44A5">
        <w:rPr>
          <w:rFonts w:ascii="Times New Roman" w:hAnsi="Times New Roman" w:cs="Times New Roman"/>
          <w:sz w:val="24"/>
          <w:szCs w:val="24"/>
        </w:rPr>
        <w:t xml:space="preserve">these cities would be outliers and </w:t>
      </w:r>
      <w:r w:rsidRPr="004D0F4C">
        <w:rPr>
          <w:rFonts w:ascii="Times New Roman" w:hAnsi="Times New Roman" w:cs="Times New Roman"/>
          <w:sz w:val="24"/>
          <w:szCs w:val="24"/>
        </w:rPr>
        <w:t>was</w:t>
      </w:r>
      <w:r w:rsidR="005A44A5">
        <w:rPr>
          <w:rFonts w:ascii="Times New Roman" w:hAnsi="Times New Roman" w:cs="Times New Roman"/>
          <w:sz w:val="24"/>
          <w:szCs w:val="24"/>
        </w:rPr>
        <w:t xml:space="preserve"> likely</w:t>
      </w:r>
      <w:r w:rsidRPr="004D0F4C">
        <w:rPr>
          <w:rFonts w:ascii="Times New Roman" w:hAnsi="Times New Roman" w:cs="Times New Roman"/>
          <w:sz w:val="24"/>
          <w:szCs w:val="24"/>
        </w:rPr>
        <w:t xml:space="preserve"> a</w:t>
      </w:r>
      <w:r w:rsidR="005A44A5">
        <w:rPr>
          <w:rFonts w:ascii="Times New Roman" w:hAnsi="Times New Roman" w:cs="Times New Roman"/>
          <w:sz w:val="24"/>
          <w:szCs w:val="24"/>
        </w:rPr>
        <w:t xml:space="preserve"> result of an error made by someone reporting the</w:t>
      </w:r>
      <w:r w:rsidRPr="004D0F4C">
        <w:rPr>
          <w:rFonts w:ascii="Times New Roman" w:hAnsi="Times New Roman" w:cs="Times New Roman"/>
          <w:sz w:val="24"/>
          <w:szCs w:val="24"/>
        </w:rPr>
        <w:t xml:space="preserve"> data.</w:t>
      </w:r>
    </w:p>
    <w:p w:rsidR="003C7137" w:rsidRDefault="004D0F4C" w:rsidP="00B63FE0">
      <w:pPr>
        <w:spacing w:line="480" w:lineRule="auto"/>
        <w:rPr>
          <w:rFonts w:ascii="Times New Roman" w:hAnsi="Times New Roman" w:cs="Times New Roman"/>
          <w:sz w:val="24"/>
          <w:szCs w:val="24"/>
        </w:rPr>
      </w:pPr>
      <w:r w:rsidRPr="004D0F4C">
        <w:rPr>
          <w:rFonts w:ascii="Times New Roman" w:hAnsi="Times New Roman" w:cs="Times New Roman"/>
          <w:sz w:val="24"/>
          <w:szCs w:val="24"/>
        </w:rPr>
        <w:tab/>
        <w:t>We continued by looking at each of the explanatory variables and thei</w:t>
      </w:r>
      <w:r w:rsidR="00BC25BC">
        <w:rPr>
          <w:rFonts w:ascii="Times New Roman" w:hAnsi="Times New Roman" w:cs="Times New Roman"/>
          <w:sz w:val="24"/>
          <w:szCs w:val="24"/>
        </w:rPr>
        <w:t>r corresponding ranges and median. Figure (1</w:t>
      </w:r>
      <w:r w:rsidR="00027AC3">
        <w:rPr>
          <w:rFonts w:ascii="Times New Roman" w:hAnsi="Times New Roman" w:cs="Times New Roman"/>
          <w:sz w:val="24"/>
          <w:szCs w:val="24"/>
        </w:rPr>
        <w:t>) shows</w:t>
      </w:r>
      <w:r w:rsidRPr="004D0F4C">
        <w:rPr>
          <w:rFonts w:ascii="Times New Roman" w:hAnsi="Times New Roman" w:cs="Times New Roman"/>
          <w:sz w:val="24"/>
          <w:szCs w:val="24"/>
        </w:rPr>
        <w:t xml:space="preserve"> the minimum, 25% quartile, median,</w:t>
      </w:r>
      <w:r w:rsidR="00027AC3">
        <w:rPr>
          <w:rFonts w:ascii="Times New Roman" w:hAnsi="Times New Roman" w:cs="Times New Roman"/>
          <w:sz w:val="24"/>
          <w:szCs w:val="24"/>
        </w:rPr>
        <w:t xml:space="preserve"> 75% quartile, and maximum</w:t>
      </w:r>
      <w:r w:rsidRPr="004D0F4C">
        <w:rPr>
          <w:rFonts w:ascii="Times New Roman" w:hAnsi="Times New Roman" w:cs="Times New Roman"/>
          <w:sz w:val="24"/>
          <w:szCs w:val="24"/>
        </w:rPr>
        <w:t xml:space="preserve"> of each of our variables. </w:t>
      </w:r>
      <w:r w:rsidR="00027AC3">
        <w:rPr>
          <w:rFonts w:ascii="Times New Roman" w:hAnsi="Times New Roman" w:cs="Times New Roman"/>
          <w:sz w:val="24"/>
          <w:szCs w:val="24"/>
        </w:rPr>
        <w:t>It i</w:t>
      </w:r>
      <w:r w:rsidRPr="004D0F4C">
        <w:rPr>
          <w:rFonts w:ascii="Times New Roman" w:hAnsi="Times New Roman" w:cs="Times New Roman"/>
          <w:sz w:val="24"/>
          <w:szCs w:val="24"/>
        </w:rPr>
        <w:t>s important to notice the ranges of some of the variables</w:t>
      </w:r>
      <w:r w:rsidR="00027AC3">
        <w:rPr>
          <w:rFonts w:ascii="Times New Roman" w:hAnsi="Times New Roman" w:cs="Times New Roman"/>
          <w:sz w:val="24"/>
          <w:szCs w:val="24"/>
        </w:rPr>
        <w:t>. For example, the number</w:t>
      </w:r>
      <w:r w:rsidRPr="004D0F4C">
        <w:rPr>
          <w:rFonts w:ascii="Times New Roman" w:hAnsi="Times New Roman" w:cs="Times New Roman"/>
          <w:sz w:val="24"/>
          <w:szCs w:val="24"/>
        </w:rPr>
        <w:t xml:space="preserve"> of liquor sto</w:t>
      </w:r>
      <w:r w:rsidR="00027AC3">
        <w:rPr>
          <w:rFonts w:ascii="Times New Roman" w:hAnsi="Times New Roman" w:cs="Times New Roman"/>
          <w:sz w:val="24"/>
          <w:szCs w:val="24"/>
        </w:rPr>
        <w:t>res in each county ranged</w:t>
      </w:r>
      <w:r w:rsidRPr="004D0F4C">
        <w:rPr>
          <w:rFonts w:ascii="Times New Roman" w:hAnsi="Times New Roman" w:cs="Times New Roman"/>
          <w:sz w:val="24"/>
          <w:szCs w:val="24"/>
        </w:rPr>
        <w:t xml:space="preserve"> from </w:t>
      </w:r>
      <w:r w:rsidR="00027AC3">
        <w:rPr>
          <w:rFonts w:ascii="Times New Roman" w:hAnsi="Times New Roman" w:cs="Times New Roman"/>
          <w:sz w:val="24"/>
          <w:szCs w:val="24"/>
        </w:rPr>
        <w:t>zero to 1,135</w:t>
      </w:r>
      <w:r w:rsidRPr="004D0F4C">
        <w:rPr>
          <w:rFonts w:ascii="Times New Roman" w:hAnsi="Times New Roman" w:cs="Times New Roman"/>
          <w:sz w:val="24"/>
          <w:szCs w:val="24"/>
        </w:rPr>
        <w:t>. Also</w:t>
      </w:r>
      <w:r w:rsidR="00027AC3">
        <w:rPr>
          <w:rFonts w:ascii="Times New Roman" w:hAnsi="Times New Roman" w:cs="Times New Roman"/>
          <w:sz w:val="24"/>
          <w:szCs w:val="24"/>
        </w:rPr>
        <w:t>, population size ranged</w:t>
      </w:r>
      <w:r w:rsidRPr="004D0F4C">
        <w:rPr>
          <w:rFonts w:ascii="Times New Roman" w:hAnsi="Times New Roman" w:cs="Times New Roman"/>
          <w:sz w:val="24"/>
          <w:szCs w:val="24"/>
        </w:rPr>
        <w:t xml:space="preserve"> from 4,005 people to 8,175,133 people. These wide ranges will later help explain our residuals plots. </w:t>
      </w:r>
    </w:p>
    <w:p w:rsidR="004D0F4C" w:rsidRPr="00257A2B" w:rsidRDefault="00257A2B" w:rsidP="003C7137">
      <w:pPr>
        <w:spacing w:line="480" w:lineRule="auto"/>
        <w:rPr>
          <w:rFonts w:ascii="Times New Roman" w:hAnsi="Times New Roman" w:cs="Times New Roman"/>
          <w:sz w:val="24"/>
          <w:szCs w:val="24"/>
        </w:rPr>
      </w:pPr>
      <w:proofErr w:type="gramStart"/>
      <w:r w:rsidRPr="00257A2B">
        <w:rPr>
          <w:rFonts w:ascii="Times New Roman" w:hAnsi="Times New Roman" w:cs="Times New Roman"/>
          <w:b/>
          <w:sz w:val="24"/>
          <w:szCs w:val="24"/>
        </w:rPr>
        <w:t>Table 1.</w:t>
      </w:r>
      <w:proofErr w:type="gramEnd"/>
      <w:r>
        <w:rPr>
          <w:rFonts w:ascii="Times New Roman" w:hAnsi="Times New Roman" w:cs="Times New Roman"/>
          <w:sz w:val="24"/>
          <w:szCs w:val="24"/>
        </w:rPr>
        <w:t xml:space="preserve"> The following table contains the five number summary of the perspective variables used in our project.</w:t>
      </w:r>
    </w:p>
    <w:tbl>
      <w:tblPr>
        <w:tblStyle w:val="LightList-Accent5"/>
        <w:tblW w:w="0" w:type="auto"/>
        <w:tblLook w:val="04A0" w:firstRow="1" w:lastRow="0" w:firstColumn="1" w:lastColumn="0" w:noHBand="0" w:noVBand="1"/>
      </w:tblPr>
      <w:tblGrid>
        <w:gridCol w:w="1596"/>
        <w:gridCol w:w="1596"/>
        <w:gridCol w:w="1596"/>
        <w:gridCol w:w="1596"/>
        <w:gridCol w:w="1596"/>
        <w:gridCol w:w="1596"/>
      </w:tblGrid>
      <w:tr w:rsidR="004D0F4C" w:rsidTr="004D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tc>
        <w:tc>
          <w:tcPr>
            <w:tcW w:w="1596" w:type="dxa"/>
          </w:tcPr>
          <w:p w:rsidR="004D0F4C" w:rsidRDefault="004D0F4C" w:rsidP="004D0F4C">
            <w:pPr>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4D0F4C" w:rsidRDefault="004D0F4C" w:rsidP="004D0F4C">
            <w:pPr>
              <w:cnfStyle w:val="100000000000" w:firstRow="1" w:lastRow="0" w:firstColumn="0" w:lastColumn="0" w:oddVBand="0" w:evenVBand="0" w:oddHBand="0" w:evenHBand="0" w:firstRowFirstColumn="0" w:firstRowLastColumn="0" w:lastRowFirstColumn="0" w:lastRowLastColumn="0"/>
            </w:pPr>
            <w:r>
              <w:t>1</w:t>
            </w:r>
            <w:r w:rsidRPr="00B54238">
              <w:rPr>
                <w:vertAlign w:val="superscript"/>
              </w:rPr>
              <w:t>st</w:t>
            </w:r>
            <w:r>
              <w:t xml:space="preserve"> Quart</w:t>
            </w:r>
          </w:p>
        </w:tc>
        <w:tc>
          <w:tcPr>
            <w:tcW w:w="1596" w:type="dxa"/>
          </w:tcPr>
          <w:p w:rsidR="004D0F4C" w:rsidRDefault="004D0F4C" w:rsidP="004D0F4C">
            <w:pPr>
              <w:cnfStyle w:val="100000000000" w:firstRow="1" w:lastRow="0" w:firstColumn="0" w:lastColumn="0" w:oddVBand="0" w:evenVBand="0" w:oddHBand="0" w:evenHBand="0" w:firstRowFirstColumn="0" w:firstRowLastColumn="0" w:lastRowFirstColumn="0" w:lastRowLastColumn="0"/>
            </w:pPr>
            <w:r>
              <w:t>Median</w:t>
            </w:r>
          </w:p>
        </w:tc>
        <w:tc>
          <w:tcPr>
            <w:tcW w:w="1596" w:type="dxa"/>
          </w:tcPr>
          <w:p w:rsidR="004D0F4C" w:rsidRDefault="004D0F4C" w:rsidP="004D0F4C">
            <w:pPr>
              <w:cnfStyle w:val="100000000000" w:firstRow="1" w:lastRow="0" w:firstColumn="0" w:lastColumn="0" w:oddVBand="0" w:evenVBand="0" w:oddHBand="0" w:evenHBand="0" w:firstRowFirstColumn="0" w:firstRowLastColumn="0" w:lastRowFirstColumn="0" w:lastRowLastColumn="0"/>
            </w:pPr>
            <w:r>
              <w:t>3</w:t>
            </w:r>
            <w:r w:rsidRPr="00B54238">
              <w:rPr>
                <w:vertAlign w:val="superscript"/>
              </w:rPr>
              <w:t>rd</w:t>
            </w:r>
            <w:r>
              <w:t xml:space="preserve"> Quart</w:t>
            </w:r>
          </w:p>
        </w:tc>
        <w:tc>
          <w:tcPr>
            <w:tcW w:w="1596" w:type="dxa"/>
          </w:tcPr>
          <w:p w:rsidR="004D0F4C" w:rsidRDefault="004D0F4C" w:rsidP="004D0F4C">
            <w:pPr>
              <w:cnfStyle w:val="100000000000" w:firstRow="1" w:lastRow="0" w:firstColumn="0" w:lastColumn="0" w:oddVBand="0" w:evenVBand="0" w:oddHBand="0" w:evenHBand="0" w:firstRowFirstColumn="0" w:firstRowLastColumn="0" w:lastRowFirstColumn="0" w:lastRowLastColumn="0"/>
            </w:pPr>
            <w:r>
              <w:t>Max</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DC2A4E" w:rsidP="004D0F4C">
            <m:oMathPara>
              <m:oMath>
                <m:rad>
                  <m:radPr>
                    <m:degHide m:val="1"/>
                    <m:ctrlPr>
                      <w:rPr>
                        <w:rFonts w:ascii="Cambria Math" w:hAnsi="Cambria Math"/>
                        <w:i/>
                      </w:rPr>
                    </m:ctrlPr>
                  </m:radPr>
                  <m:deg/>
                  <m:e>
                    <m:r>
                      <m:rPr>
                        <m:sty m:val="bi"/>
                      </m:rPr>
                      <w:rPr>
                        <w:rFonts w:ascii="Cambria Math" w:hAnsi="Cambria Math"/>
                      </w:rPr>
                      <m:t>crime</m:t>
                    </m:r>
                  </m:e>
                </m:rad>
              </m:oMath>
            </m:oMathPara>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.9869</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1.2100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1.5040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2.2650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Married House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20.20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31.00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36.50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42.30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70.00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Male House</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3.300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4.300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5.300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11.200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Female House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8.70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11.80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16.30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29.70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Nonfamily</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19.50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39.50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45.00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53.20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74.00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White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10.60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52.23</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69.55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80.60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93.80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Black</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0.60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4.30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9.60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25.15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82.70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Indian</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0.1000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0.3000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0.5000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0.8000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11.700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Hawaiian</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0.1000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0.2000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2.000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Asian</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2.925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4.400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8.400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39.200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Other</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0.5000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1.700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3.850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9.800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41.800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Two or more races</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1.100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2.500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3.150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4.175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7.100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Hispanic</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2.000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4.875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10.300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27.280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92.500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Non-Hispanic</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7.500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72.72</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89.70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95.12</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98.00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Tuition</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4025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6617</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8961</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10390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46360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Median Income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18670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35970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44120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53750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123200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Population</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4005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52340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113000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451700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8175000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 Male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0.4250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0.4822</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0.4925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0.5018</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0.5910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 Female</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0.4090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0.4982</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0.5075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0.5178</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0.5750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Unemployed</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0.0200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0.0450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0.0580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0.0720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0.1520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lastRenderedPageBreak/>
              <w:t>% Women Working</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0.1900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0.4600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0.5100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0.5600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0.7100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Median Age</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19.70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25.25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30.10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33.20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45.40</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Liquor stores in county</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15.0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41.0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126.8</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1135.0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Sex Offenders (Per 1000)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0.5147</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1.3440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2.2990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18.21</w:t>
            </w:r>
          </w:p>
        </w:tc>
      </w:tr>
      <w:tr w:rsidR="004D0F4C" w:rsidTr="004D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 Greek Life</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0.03613</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0.0725</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0.1391</w:t>
            </w:r>
          </w:p>
        </w:tc>
        <w:tc>
          <w:tcPr>
            <w:tcW w:w="1596" w:type="dxa"/>
          </w:tcPr>
          <w:p w:rsidR="004D0F4C" w:rsidRDefault="004D0F4C" w:rsidP="004D0F4C">
            <w:pPr>
              <w:cnfStyle w:val="000000100000" w:firstRow="0" w:lastRow="0" w:firstColumn="0" w:lastColumn="0" w:oddVBand="0" w:evenVBand="0" w:oddHBand="1" w:evenHBand="0" w:firstRowFirstColumn="0" w:firstRowLastColumn="0" w:lastRowFirstColumn="0" w:lastRowLastColumn="0"/>
            </w:pPr>
            <w:r>
              <w:t>0.3420</w:t>
            </w:r>
          </w:p>
        </w:tc>
      </w:tr>
      <w:tr w:rsidR="004D0F4C" w:rsidTr="004D0F4C">
        <w:tc>
          <w:tcPr>
            <w:cnfStyle w:val="001000000000" w:firstRow="0" w:lastRow="0" w:firstColumn="1" w:lastColumn="0" w:oddVBand="0" w:evenVBand="0" w:oddHBand="0" w:evenHBand="0" w:firstRowFirstColumn="0" w:firstRowLastColumn="0" w:lastRowFirstColumn="0" w:lastRowLastColumn="0"/>
            <w:tcW w:w="1596" w:type="dxa"/>
          </w:tcPr>
          <w:p w:rsidR="004D0F4C" w:rsidRDefault="004D0F4C" w:rsidP="004D0F4C">
            <w:r>
              <w:t>Simpson Index</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1.135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1.505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1.940</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2.415</w:t>
            </w:r>
          </w:p>
        </w:tc>
        <w:tc>
          <w:tcPr>
            <w:tcW w:w="1596" w:type="dxa"/>
          </w:tcPr>
          <w:p w:rsidR="004D0F4C" w:rsidRDefault="004D0F4C" w:rsidP="004D0F4C">
            <w:pPr>
              <w:cnfStyle w:val="000000000000" w:firstRow="0" w:lastRow="0" w:firstColumn="0" w:lastColumn="0" w:oddVBand="0" w:evenVBand="0" w:oddHBand="0" w:evenHBand="0" w:firstRowFirstColumn="0" w:firstRowLastColumn="0" w:lastRowFirstColumn="0" w:lastRowLastColumn="0"/>
            </w:pPr>
            <w:r>
              <w:t>3.770</w:t>
            </w:r>
          </w:p>
        </w:tc>
      </w:tr>
    </w:tbl>
    <w:p w:rsidR="00257A2B" w:rsidRDefault="00257A2B" w:rsidP="00382759">
      <w:pPr>
        <w:jc w:val="center"/>
        <w:rPr>
          <w:rFonts w:ascii="Times New Roman" w:hAnsi="Times New Roman" w:cs="Times New Roman"/>
          <w:b/>
          <w:sz w:val="28"/>
          <w:szCs w:val="28"/>
        </w:rPr>
      </w:pPr>
    </w:p>
    <w:p w:rsidR="004D0F4C" w:rsidRPr="00257A2B" w:rsidRDefault="00382759" w:rsidP="00257A2B">
      <w:pPr>
        <w:pStyle w:val="ListParagraph"/>
        <w:numPr>
          <w:ilvl w:val="0"/>
          <w:numId w:val="5"/>
        </w:numPr>
        <w:rPr>
          <w:rFonts w:ascii="Times New Roman" w:hAnsi="Times New Roman" w:cs="Times New Roman"/>
          <w:b/>
          <w:sz w:val="28"/>
          <w:szCs w:val="28"/>
        </w:rPr>
      </w:pPr>
      <w:r w:rsidRPr="00257A2B">
        <w:rPr>
          <w:rFonts w:ascii="Times New Roman" w:hAnsi="Times New Roman" w:cs="Times New Roman"/>
          <w:b/>
          <w:sz w:val="28"/>
          <w:szCs w:val="28"/>
        </w:rPr>
        <w:t>Results</w:t>
      </w:r>
    </w:p>
    <w:p w:rsidR="00382759" w:rsidRDefault="00382759" w:rsidP="00257A2B">
      <w:pPr>
        <w:pStyle w:val="ListParagraph"/>
        <w:numPr>
          <w:ilvl w:val="0"/>
          <w:numId w:val="1"/>
        </w:numPr>
        <w:ind w:left="360"/>
        <w:rPr>
          <w:rFonts w:ascii="Times New Roman" w:hAnsi="Times New Roman" w:cs="Times New Roman"/>
          <w:b/>
          <w:sz w:val="24"/>
          <w:szCs w:val="24"/>
        </w:rPr>
      </w:pPr>
      <w:r w:rsidRPr="00382759">
        <w:rPr>
          <w:rFonts w:ascii="Times New Roman" w:hAnsi="Times New Roman" w:cs="Times New Roman"/>
          <w:b/>
          <w:sz w:val="24"/>
          <w:szCs w:val="24"/>
        </w:rPr>
        <w:t>Preliminary Analysis</w:t>
      </w:r>
    </w:p>
    <w:p w:rsidR="00827FE5" w:rsidRPr="00AD229E" w:rsidRDefault="001D74FA" w:rsidP="00AD229E">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Pearson’</w:t>
      </w:r>
      <w:r w:rsidR="0042440F">
        <w:rPr>
          <w:rFonts w:ascii="Times New Roman" w:hAnsi="Times New Roman" w:cs="Times New Roman"/>
          <w:sz w:val="24"/>
          <w:szCs w:val="24"/>
        </w:rPr>
        <w:t>s correlation (Table 3</w:t>
      </w:r>
      <w:r>
        <w:rPr>
          <w:rFonts w:ascii="Times New Roman" w:hAnsi="Times New Roman" w:cs="Times New Roman"/>
          <w:sz w:val="24"/>
          <w:szCs w:val="24"/>
        </w:rPr>
        <w:t xml:space="preserve">) and scatterplots were used to assess bivariate relationships. Several </w:t>
      </w:r>
      <w:r w:rsidR="00BC2B1B">
        <w:rPr>
          <w:rFonts w:ascii="Times New Roman" w:hAnsi="Times New Roman" w:cs="Times New Roman"/>
          <w:sz w:val="24"/>
          <w:szCs w:val="24"/>
        </w:rPr>
        <w:t>variables were found to be</w:t>
      </w:r>
      <w:r w:rsidR="00010DB2">
        <w:rPr>
          <w:rFonts w:ascii="Times New Roman" w:hAnsi="Times New Roman" w:cs="Times New Roman"/>
          <w:sz w:val="24"/>
          <w:szCs w:val="24"/>
        </w:rPr>
        <w:t xml:space="preserve"> highly</w:t>
      </w:r>
      <w:r w:rsidR="00BC2B1B">
        <w:rPr>
          <w:rFonts w:ascii="Times New Roman" w:hAnsi="Times New Roman" w:cs="Times New Roman"/>
          <w:sz w:val="24"/>
          <w:szCs w:val="24"/>
        </w:rPr>
        <w:t xml:space="preserve"> </w:t>
      </w:r>
      <w:r w:rsidR="00010DB2">
        <w:rPr>
          <w:rFonts w:ascii="Times New Roman" w:hAnsi="Times New Roman" w:cs="Times New Roman"/>
          <w:sz w:val="24"/>
          <w:szCs w:val="24"/>
        </w:rPr>
        <w:t>correlated with one</w:t>
      </w:r>
      <w:r w:rsidR="00BC2B1B">
        <w:rPr>
          <w:rFonts w:ascii="Times New Roman" w:hAnsi="Times New Roman" w:cs="Times New Roman"/>
          <w:sz w:val="24"/>
          <w:szCs w:val="24"/>
        </w:rPr>
        <w:t xml:space="preserve"> </w:t>
      </w:r>
      <w:r w:rsidR="00010DB2">
        <w:rPr>
          <w:rFonts w:ascii="Times New Roman" w:hAnsi="Times New Roman" w:cs="Times New Roman"/>
          <w:sz w:val="24"/>
          <w:szCs w:val="24"/>
        </w:rPr>
        <w:t>an</w:t>
      </w:r>
      <w:r w:rsidR="00BC2B1B">
        <w:rPr>
          <w:rFonts w:ascii="Times New Roman" w:hAnsi="Times New Roman" w:cs="Times New Roman"/>
          <w:sz w:val="24"/>
          <w:szCs w:val="24"/>
        </w:rPr>
        <w:t>other</w:t>
      </w:r>
      <w:r w:rsidR="00872D03">
        <w:rPr>
          <w:rFonts w:ascii="Times New Roman" w:hAnsi="Times New Roman" w:cs="Times New Roman"/>
          <w:sz w:val="24"/>
          <w:szCs w:val="24"/>
        </w:rPr>
        <w:t>, such as</w:t>
      </w:r>
      <w:r w:rsidR="00C31A19">
        <w:rPr>
          <w:rFonts w:ascii="Times New Roman" w:hAnsi="Times New Roman" w:cs="Times New Roman"/>
          <w:sz w:val="24"/>
          <w:szCs w:val="24"/>
        </w:rPr>
        <w:t xml:space="preserve"> the Simpson’s Diversity Index</w:t>
      </w:r>
      <w:r w:rsidR="00010DB2">
        <w:rPr>
          <w:rFonts w:ascii="Times New Roman" w:hAnsi="Times New Roman" w:cs="Times New Roman"/>
          <w:sz w:val="24"/>
          <w:szCs w:val="24"/>
        </w:rPr>
        <w:t xml:space="preserve"> and female households.</w:t>
      </w:r>
      <w:r w:rsidR="00BC2B1B">
        <w:rPr>
          <w:rFonts w:ascii="Times New Roman" w:hAnsi="Times New Roman" w:cs="Times New Roman"/>
          <w:sz w:val="24"/>
          <w:szCs w:val="24"/>
        </w:rPr>
        <w:t xml:space="preserve"> </w:t>
      </w:r>
      <w:r w:rsidR="00872D03">
        <w:rPr>
          <w:rFonts w:ascii="Times New Roman" w:hAnsi="Times New Roman" w:cs="Times New Roman"/>
          <w:sz w:val="24"/>
          <w:szCs w:val="24"/>
        </w:rPr>
        <w:t xml:space="preserve">Due to </w:t>
      </w:r>
      <w:proofErr w:type="spellStart"/>
      <w:r w:rsidR="00010DB2">
        <w:rPr>
          <w:rFonts w:ascii="Times New Roman" w:hAnsi="Times New Roman" w:cs="Times New Roman"/>
          <w:sz w:val="24"/>
          <w:szCs w:val="24"/>
        </w:rPr>
        <w:t>multicolinearity</w:t>
      </w:r>
      <w:proofErr w:type="spellEnd"/>
      <w:r w:rsidR="00010DB2">
        <w:rPr>
          <w:rFonts w:ascii="Times New Roman" w:hAnsi="Times New Roman" w:cs="Times New Roman"/>
          <w:sz w:val="24"/>
          <w:szCs w:val="24"/>
        </w:rPr>
        <w:t xml:space="preserve"> </w:t>
      </w:r>
      <w:r w:rsidR="00872D03">
        <w:rPr>
          <w:rFonts w:ascii="Times New Roman" w:hAnsi="Times New Roman" w:cs="Times New Roman"/>
          <w:sz w:val="24"/>
          <w:szCs w:val="24"/>
        </w:rPr>
        <w:t xml:space="preserve">problems </w:t>
      </w:r>
      <w:r w:rsidR="00010DB2">
        <w:rPr>
          <w:rFonts w:ascii="Times New Roman" w:hAnsi="Times New Roman" w:cs="Times New Roman"/>
          <w:sz w:val="24"/>
          <w:szCs w:val="24"/>
        </w:rPr>
        <w:t>when trying to find a best fit</w:t>
      </w:r>
      <w:r w:rsidR="00872D03">
        <w:rPr>
          <w:rFonts w:ascii="Times New Roman" w:hAnsi="Times New Roman" w:cs="Times New Roman"/>
          <w:sz w:val="24"/>
          <w:szCs w:val="24"/>
        </w:rPr>
        <w:t>, highly correlated variables were not included in the regression model</w:t>
      </w:r>
      <w:r w:rsidR="00010DB2">
        <w:rPr>
          <w:rFonts w:ascii="Times New Roman" w:hAnsi="Times New Roman" w:cs="Times New Roman"/>
          <w:sz w:val="24"/>
          <w:szCs w:val="24"/>
        </w:rPr>
        <w:t>.</w:t>
      </w:r>
      <w:r w:rsidR="00872D03">
        <w:rPr>
          <w:rFonts w:ascii="Times New Roman" w:hAnsi="Times New Roman" w:cs="Times New Roman"/>
          <w:sz w:val="24"/>
          <w:szCs w:val="24"/>
        </w:rPr>
        <w:t xml:space="preserve"> </w:t>
      </w:r>
      <w:r w:rsidR="009A7A3E">
        <w:rPr>
          <w:rFonts w:ascii="Times New Roman" w:hAnsi="Times New Roman" w:cs="Times New Roman"/>
          <w:sz w:val="24"/>
          <w:szCs w:val="24"/>
        </w:rPr>
        <w:t>As stated before,</w:t>
      </w:r>
      <w:r w:rsidR="00C31A19">
        <w:rPr>
          <w:rFonts w:ascii="Times New Roman" w:hAnsi="Times New Roman" w:cs="Times New Roman"/>
          <w:sz w:val="24"/>
          <w:szCs w:val="24"/>
        </w:rPr>
        <w:t xml:space="preserve"> the Simpson’s Diversity Index was highly cor</w:t>
      </w:r>
      <w:r w:rsidR="009A7A3E">
        <w:rPr>
          <w:rFonts w:ascii="Times New Roman" w:hAnsi="Times New Roman" w:cs="Times New Roman"/>
          <w:sz w:val="24"/>
          <w:szCs w:val="24"/>
        </w:rPr>
        <w:t>related with female households. This led us to</w:t>
      </w:r>
      <w:r w:rsidR="00C31A19">
        <w:rPr>
          <w:rFonts w:ascii="Times New Roman" w:hAnsi="Times New Roman" w:cs="Times New Roman"/>
          <w:sz w:val="24"/>
          <w:szCs w:val="24"/>
        </w:rPr>
        <w:t xml:space="preserve"> use marri</w:t>
      </w:r>
      <w:r w:rsidR="00A36A24">
        <w:rPr>
          <w:rFonts w:ascii="Times New Roman" w:hAnsi="Times New Roman" w:cs="Times New Roman"/>
          <w:sz w:val="24"/>
          <w:szCs w:val="24"/>
        </w:rPr>
        <w:t xml:space="preserve">ed households in our model. </w:t>
      </w:r>
      <w:proofErr w:type="gramStart"/>
      <w:r w:rsidR="00A36A24">
        <w:rPr>
          <w:rFonts w:ascii="Times New Roman" w:hAnsi="Times New Roman" w:cs="Times New Roman"/>
          <w:sz w:val="24"/>
          <w:szCs w:val="24"/>
        </w:rPr>
        <w:t>Married households</w:t>
      </w:r>
      <w:r w:rsidR="00C31A19">
        <w:rPr>
          <w:rFonts w:ascii="Times New Roman" w:hAnsi="Times New Roman" w:cs="Times New Roman"/>
          <w:sz w:val="24"/>
          <w:szCs w:val="24"/>
        </w:rPr>
        <w:t xml:space="preserve"> was</w:t>
      </w:r>
      <w:proofErr w:type="gramEnd"/>
      <w:r w:rsidR="00C31A19">
        <w:rPr>
          <w:rFonts w:ascii="Times New Roman" w:hAnsi="Times New Roman" w:cs="Times New Roman"/>
          <w:sz w:val="24"/>
          <w:szCs w:val="24"/>
        </w:rPr>
        <w:t xml:space="preserve"> not highly correlated with any of the</w:t>
      </w:r>
      <w:r w:rsidR="00A36A24">
        <w:rPr>
          <w:rFonts w:ascii="Times New Roman" w:hAnsi="Times New Roman" w:cs="Times New Roman"/>
          <w:sz w:val="24"/>
          <w:szCs w:val="24"/>
        </w:rPr>
        <w:t xml:space="preserve"> other</w:t>
      </w:r>
      <w:r w:rsidR="00C31A19">
        <w:rPr>
          <w:rFonts w:ascii="Times New Roman" w:hAnsi="Times New Roman" w:cs="Times New Roman"/>
          <w:sz w:val="24"/>
          <w:szCs w:val="24"/>
        </w:rPr>
        <w:t xml:space="preserve"> final variables in the equation.</w:t>
      </w:r>
    </w:p>
    <w:p w:rsidR="00827FE5" w:rsidRDefault="00827FE5" w:rsidP="00257A2B">
      <w:pPr>
        <w:pStyle w:val="ListParagraph"/>
        <w:numPr>
          <w:ilvl w:val="0"/>
          <w:numId w:val="1"/>
        </w:numPr>
        <w:spacing w:line="480" w:lineRule="auto"/>
        <w:ind w:left="360"/>
        <w:rPr>
          <w:rFonts w:ascii="Times New Roman" w:hAnsi="Times New Roman" w:cs="Times New Roman"/>
          <w:b/>
          <w:sz w:val="24"/>
          <w:szCs w:val="24"/>
        </w:rPr>
      </w:pPr>
      <w:r w:rsidRPr="00827FE5">
        <w:rPr>
          <w:rFonts w:ascii="Times New Roman" w:hAnsi="Times New Roman" w:cs="Times New Roman"/>
          <w:b/>
          <w:sz w:val="24"/>
          <w:szCs w:val="24"/>
        </w:rPr>
        <w:t>Regression</w:t>
      </w:r>
    </w:p>
    <w:p w:rsidR="00827FE5" w:rsidRDefault="00827FE5" w:rsidP="00257A2B">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Our first step in our multivariable regression analysis was to perform</w:t>
      </w:r>
      <w:r w:rsidR="00492C88">
        <w:rPr>
          <w:rFonts w:ascii="Times New Roman" w:hAnsi="Times New Roman" w:cs="Times New Roman"/>
          <w:sz w:val="24"/>
          <w:szCs w:val="24"/>
        </w:rPr>
        <w:t xml:space="preserve"> a backward elimination model</w:t>
      </w:r>
      <w:r w:rsidR="00C93161">
        <w:rPr>
          <w:rFonts w:ascii="Times New Roman" w:hAnsi="Times New Roman" w:cs="Times New Roman"/>
          <w:sz w:val="24"/>
          <w:szCs w:val="24"/>
        </w:rPr>
        <w:t xml:space="preserve"> using the statistical programming software R</w:t>
      </w:r>
      <w:r w:rsidR="00492C88">
        <w:rPr>
          <w:rFonts w:ascii="Times New Roman" w:hAnsi="Times New Roman" w:cs="Times New Roman"/>
          <w:sz w:val="24"/>
          <w:szCs w:val="24"/>
        </w:rPr>
        <w:t>. After performing this, we found income and the percent of campus that participated in Greek life to be significant</w:t>
      </w:r>
      <w:r w:rsidR="00DE2E03">
        <w:rPr>
          <w:rFonts w:ascii="Times New Roman" w:hAnsi="Times New Roman" w:cs="Times New Roman"/>
          <w:sz w:val="24"/>
          <w:szCs w:val="24"/>
        </w:rPr>
        <w:t xml:space="preserve"> (</w:t>
      </w:r>
      <w:r w:rsidR="0042440F">
        <w:rPr>
          <w:rFonts w:ascii="Times New Roman" w:hAnsi="Times New Roman" w:cs="Times New Roman"/>
          <w:i/>
          <w:sz w:val="24"/>
          <w:szCs w:val="24"/>
        </w:rPr>
        <w:t>p</w:t>
      </w:r>
      <w:r w:rsidR="0042440F">
        <w:rPr>
          <w:rFonts w:ascii="Times New Roman" w:hAnsi="Times New Roman" w:cs="Times New Roman"/>
          <w:sz w:val="24"/>
          <w:szCs w:val="24"/>
        </w:rPr>
        <w:t>-value =</w:t>
      </w:r>
      <w:r w:rsidR="0042440F">
        <w:rPr>
          <w:rFonts w:ascii="Times New Roman" w:hAnsi="Times New Roman" w:cs="Times New Roman"/>
          <w:i/>
          <w:sz w:val="24"/>
          <w:szCs w:val="24"/>
        </w:rPr>
        <w:t xml:space="preserve"> </w:t>
      </w:r>
      <w:r w:rsidR="0042440F" w:rsidRPr="0042440F">
        <w:rPr>
          <w:rFonts w:ascii="Times New Roman" w:hAnsi="Times New Roman" w:cs="Times New Roman"/>
          <w:sz w:val="24"/>
          <w:szCs w:val="24"/>
        </w:rPr>
        <w:t>0.00812</w:t>
      </w:r>
      <w:r w:rsidR="0042440F">
        <w:rPr>
          <w:rFonts w:ascii="Times New Roman" w:hAnsi="Times New Roman" w:cs="Times New Roman"/>
          <w:sz w:val="24"/>
          <w:szCs w:val="24"/>
        </w:rPr>
        <w:t xml:space="preserve"> and </w:t>
      </w:r>
      <w:r w:rsidR="00DE2E03">
        <w:rPr>
          <w:rFonts w:ascii="Times New Roman" w:hAnsi="Times New Roman" w:cs="Times New Roman"/>
          <w:i/>
          <w:sz w:val="24"/>
          <w:szCs w:val="24"/>
        </w:rPr>
        <w:t>p</w:t>
      </w:r>
      <w:r w:rsidR="0042440F">
        <w:rPr>
          <w:rFonts w:ascii="Times New Roman" w:hAnsi="Times New Roman" w:cs="Times New Roman"/>
          <w:sz w:val="24"/>
          <w:szCs w:val="24"/>
        </w:rPr>
        <w:t xml:space="preserve">-value </w:t>
      </w:r>
      <w:r w:rsidR="00DE2E03">
        <w:rPr>
          <w:rFonts w:ascii="Times New Roman" w:hAnsi="Times New Roman" w:cs="Times New Roman"/>
          <w:sz w:val="24"/>
          <w:szCs w:val="24"/>
        </w:rPr>
        <w:t>=</w:t>
      </w:r>
      <w:r w:rsidR="0042440F">
        <w:rPr>
          <w:rFonts w:ascii="Times New Roman" w:hAnsi="Times New Roman" w:cs="Times New Roman"/>
          <w:sz w:val="24"/>
          <w:szCs w:val="24"/>
        </w:rPr>
        <w:t xml:space="preserve"> </w:t>
      </w:r>
      <w:r w:rsidR="0042440F" w:rsidRPr="0042440F">
        <w:rPr>
          <w:rFonts w:ascii="Times New Roman" w:hAnsi="Times New Roman" w:cs="Times New Roman"/>
          <w:sz w:val="24"/>
          <w:szCs w:val="24"/>
        </w:rPr>
        <w:t>0.01719</w:t>
      </w:r>
      <w:r w:rsidR="0042440F">
        <w:rPr>
          <w:rFonts w:ascii="Times New Roman" w:hAnsi="Times New Roman" w:cs="Times New Roman"/>
          <w:sz w:val="24"/>
          <w:szCs w:val="24"/>
        </w:rPr>
        <w:t>, respectively)</w:t>
      </w:r>
      <w:r w:rsidR="00492C88">
        <w:rPr>
          <w:rFonts w:ascii="Times New Roman" w:hAnsi="Times New Roman" w:cs="Times New Roman"/>
          <w:sz w:val="24"/>
          <w:szCs w:val="24"/>
        </w:rPr>
        <w:t xml:space="preserve">. From </w:t>
      </w:r>
      <w:r w:rsidR="00A51F8D">
        <w:rPr>
          <w:rFonts w:ascii="Times New Roman" w:hAnsi="Times New Roman" w:cs="Times New Roman"/>
          <w:sz w:val="24"/>
          <w:szCs w:val="24"/>
        </w:rPr>
        <w:t>t</w:t>
      </w:r>
      <w:r w:rsidR="00492C88">
        <w:rPr>
          <w:rFonts w:ascii="Times New Roman" w:hAnsi="Times New Roman" w:cs="Times New Roman"/>
          <w:sz w:val="24"/>
          <w:szCs w:val="24"/>
        </w:rPr>
        <w:t>here, other variables were added to form equations.</w:t>
      </w:r>
      <w:r w:rsidR="00D80B4E">
        <w:rPr>
          <w:rFonts w:ascii="Times New Roman" w:hAnsi="Times New Roman" w:cs="Times New Roman"/>
          <w:sz w:val="24"/>
          <w:szCs w:val="24"/>
        </w:rPr>
        <w:t xml:space="preserve"> The final model included the following variables: percent of Greek life on campus (%Greek), married households (</w:t>
      </w:r>
      <w:proofErr w:type="spellStart"/>
      <w:r w:rsidR="00D80B4E">
        <w:rPr>
          <w:rFonts w:ascii="Times New Roman" w:hAnsi="Times New Roman" w:cs="Times New Roman"/>
          <w:sz w:val="24"/>
          <w:szCs w:val="24"/>
        </w:rPr>
        <w:t>MarHouse</w:t>
      </w:r>
      <w:proofErr w:type="spellEnd"/>
      <w:r w:rsidR="00D80B4E">
        <w:rPr>
          <w:rFonts w:ascii="Times New Roman" w:hAnsi="Times New Roman" w:cs="Times New Roman"/>
          <w:sz w:val="24"/>
          <w:szCs w:val="24"/>
        </w:rPr>
        <w:t>), percent of population that was male (%</w:t>
      </w:r>
      <w:proofErr w:type="spellStart"/>
      <w:r w:rsidR="00D80B4E">
        <w:rPr>
          <w:rFonts w:ascii="Times New Roman" w:hAnsi="Times New Roman" w:cs="Times New Roman"/>
          <w:sz w:val="24"/>
          <w:szCs w:val="24"/>
        </w:rPr>
        <w:t>MPop</w:t>
      </w:r>
      <w:proofErr w:type="spellEnd"/>
      <w:r w:rsidR="00D80B4E">
        <w:rPr>
          <w:rFonts w:ascii="Times New Roman" w:hAnsi="Times New Roman" w:cs="Times New Roman"/>
          <w:sz w:val="24"/>
          <w:szCs w:val="24"/>
        </w:rPr>
        <w:t>), the Simpson’s Diversity Index (</w:t>
      </w:r>
      <w:proofErr w:type="spellStart"/>
      <w:r w:rsidR="00D80B4E">
        <w:rPr>
          <w:rFonts w:ascii="Times New Roman" w:hAnsi="Times New Roman" w:cs="Times New Roman"/>
          <w:sz w:val="24"/>
          <w:szCs w:val="24"/>
        </w:rPr>
        <w:t>SimpsDiv</w:t>
      </w:r>
      <w:proofErr w:type="spellEnd"/>
      <w:r w:rsidR="00D80B4E">
        <w:rPr>
          <w:rFonts w:ascii="Times New Roman" w:hAnsi="Times New Roman" w:cs="Times New Roman"/>
          <w:sz w:val="24"/>
          <w:szCs w:val="24"/>
        </w:rPr>
        <w:t>), whether a city was rural or urban (this wa</w:t>
      </w:r>
      <w:r w:rsidR="00980D1B">
        <w:rPr>
          <w:rFonts w:ascii="Times New Roman" w:hAnsi="Times New Roman" w:cs="Times New Roman"/>
          <w:sz w:val="24"/>
          <w:szCs w:val="24"/>
        </w:rPr>
        <w:t>s a qualitative variable, where</w:t>
      </w:r>
      <w:r w:rsidR="00D80B4E">
        <w:rPr>
          <w:rFonts w:ascii="Times New Roman" w:hAnsi="Times New Roman" w:cs="Times New Roman"/>
          <w:sz w:val="24"/>
          <w:szCs w:val="24"/>
        </w:rPr>
        <w:t xml:space="preserve"> urban was denoted by a 1 a</w:t>
      </w:r>
      <w:r w:rsidR="00980D1B">
        <w:rPr>
          <w:rFonts w:ascii="Times New Roman" w:hAnsi="Times New Roman" w:cs="Times New Roman"/>
          <w:sz w:val="24"/>
          <w:szCs w:val="24"/>
        </w:rPr>
        <w:t>nd rural was represented by a 0)</w:t>
      </w:r>
      <w:r w:rsidR="00D80B4E">
        <w:rPr>
          <w:rFonts w:ascii="Times New Roman" w:hAnsi="Times New Roman" w:cs="Times New Roman"/>
          <w:sz w:val="24"/>
          <w:szCs w:val="24"/>
        </w:rPr>
        <w:t xml:space="preserve">, and the number of </w:t>
      </w:r>
      <w:r w:rsidR="00D80B4E">
        <w:rPr>
          <w:rFonts w:ascii="Times New Roman" w:hAnsi="Times New Roman" w:cs="Times New Roman"/>
          <w:sz w:val="24"/>
          <w:szCs w:val="24"/>
        </w:rPr>
        <w:lastRenderedPageBreak/>
        <w:t>liquor stores per county (</w:t>
      </w:r>
      <w:proofErr w:type="spellStart"/>
      <w:r w:rsidR="00D80B4E">
        <w:rPr>
          <w:rFonts w:ascii="Times New Roman" w:hAnsi="Times New Roman" w:cs="Times New Roman"/>
          <w:sz w:val="24"/>
          <w:szCs w:val="24"/>
        </w:rPr>
        <w:t>LiqStor</w:t>
      </w:r>
      <w:proofErr w:type="spellEnd"/>
      <w:r w:rsidR="00D80B4E">
        <w:rPr>
          <w:rFonts w:ascii="Times New Roman" w:hAnsi="Times New Roman" w:cs="Times New Roman"/>
          <w:sz w:val="24"/>
          <w:szCs w:val="24"/>
        </w:rPr>
        <w:t xml:space="preserve">). </w:t>
      </w:r>
      <w:r w:rsidR="0042440F">
        <w:rPr>
          <w:rFonts w:ascii="Times New Roman" w:hAnsi="Times New Roman" w:cs="Times New Roman"/>
          <w:sz w:val="24"/>
          <w:szCs w:val="24"/>
        </w:rPr>
        <w:t xml:space="preserve">Estimates and </w:t>
      </w:r>
      <w:r w:rsidR="0042440F">
        <w:rPr>
          <w:rFonts w:ascii="Times New Roman" w:hAnsi="Times New Roman" w:cs="Times New Roman"/>
          <w:i/>
          <w:sz w:val="24"/>
          <w:szCs w:val="24"/>
        </w:rPr>
        <w:t>p</w:t>
      </w:r>
      <w:r w:rsidR="0042440F">
        <w:rPr>
          <w:rFonts w:ascii="Times New Roman" w:hAnsi="Times New Roman" w:cs="Times New Roman"/>
          <w:sz w:val="24"/>
          <w:szCs w:val="24"/>
        </w:rPr>
        <w:t xml:space="preserve">-values for these variables can be found on Table 2. </w:t>
      </w:r>
      <w:r w:rsidR="00D80B4E" w:rsidRPr="0042440F">
        <w:rPr>
          <w:rFonts w:ascii="Times New Roman" w:hAnsi="Times New Roman" w:cs="Times New Roman"/>
          <w:sz w:val="24"/>
          <w:szCs w:val="24"/>
        </w:rPr>
        <w:t>Our</w:t>
      </w:r>
      <w:r w:rsidR="00D80B4E">
        <w:rPr>
          <w:rFonts w:ascii="Times New Roman" w:hAnsi="Times New Roman" w:cs="Times New Roman"/>
          <w:sz w:val="24"/>
          <w:szCs w:val="24"/>
        </w:rPr>
        <w:t xml:space="preserve"> model is given by the following equation:</w:t>
      </w:r>
    </w:p>
    <w:p w:rsidR="009B4A34" w:rsidRDefault="00D80B4E" w:rsidP="004D0F4C">
      <w:pPr>
        <w:spacing w:line="480" w:lineRule="auto"/>
        <w:ind w:left="1800" w:hanging="1440"/>
        <w:rPr>
          <w:rFonts w:ascii="Times New Roman" w:hAnsi="Times New Roman" w:cs="Times New Roman"/>
          <w:sz w:val="24"/>
          <w:szCs w:val="24"/>
        </w:rPr>
      </w:pPr>
      <w:proofErr w:type="spellStart"/>
      <w:r w:rsidRPr="00980D1B">
        <w:rPr>
          <w:rFonts w:ascii="Times New Roman" w:hAnsi="Times New Roman" w:cs="Times New Roman"/>
          <w:sz w:val="24"/>
          <w:szCs w:val="24"/>
        </w:rPr>
        <w:t>Sqrt</w:t>
      </w:r>
      <w:proofErr w:type="spellEnd"/>
      <w:r w:rsidRPr="00980D1B">
        <w:rPr>
          <w:rFonts w:ascii="Times New Roman" w:hAnsi="Times New Roman" w:cs="Times New Roman"/>
          <w:sz w:val="24"/>
          <w:szCs w:val="24"/>
        </w:rPr>
        <w:t>(Crime)</w:t>
      </w:r>
      <w:r w:rsidR="00980D1B">
        <w:rPr>
          <w:rFonts w:ascii="Times New Roman" w:hAnsi="Times New Roman" w:cs="Times New Roman"/>
          <w:sz w:val="24"/>
          <w:szCs w:val="24"/>
        </w:rPr>
        <w:t xml:space="preserve"> </w:t>
      </w:r>
      <w:r w:rsidRPr="00980D1B">
        <w:rPr>
          <w:rFonts w:ascii="Times New Roman" w:hAnsi="Times New Roman" w:cs="Times New Roman"/>
          <w:sz w:val="24"/>
          <w:szCs w:val="24"/>
        </w:rPr>
        <w:t>=</w:t>
      </w:r>
      <w:r w:rsidR="00980D1B">
        <w:rPr>
          <w:rFonts w:ascii="Times New Roman" w:hAnsi="Times New Roman" w:cs="Times New Roman"/>
          <w:sz w:val="24"/>
          <w:szCs w:val="24"/>
        </w:rPr>
        <w:t xml:space="preserve"> β</w:t>
      </w:r>
      <w:r w:rsidR="00980D1B">
        <w:rPr>
          <w:rFonts w:ascii="Times New Roman" w:hAnsi="Times New Roman" w:cs="Times New Roman"/>
          <w:sz w:val="24"/>
          <w:szCs w:val="24"/>
          <w:vertAlign w:val="subscript"/>
        </w:rPr>
        <w:t>0</w:t>
      </w:r>
      <w:r w:rsidR="00980D1B">
        <w:rPr>
          <w:rFonts w:ascii="Times New Roman" w:hAnsi="Times New Roman" w:cs="Times New Roman"/>
          <w:sz w:val="24"/>
          <w:szCs w:val="24"/>
        </w:rPr>
        <w:t xml:space="preserve"> + β</w:t>
      </w:r>
      <w:r w:rsidR="00980D1B">
        <w:rPr>
          <w:rFonts w:ascii="Times New Roman" w:hAnsi="Times New Roman" w:cs="Times New Roman"/>
          <w:sz w:val="24"/>
          <w:szCs w:val="24"/>
          <w:vertAlign w:val="subscript"/>
        </w:rPr>
        <w:t>1</w:t>
      </w:r>
      <w:r w:rsidR="00BD27EB">
        <w:rPr>
          <w:rFonts w:ascii="Times New Roman" w:hAnsi="Times New Roman" w:cs="Times New Roman"/>
          <w:sz w:val="24"/>
          <w:szCs w:val="24"/>
        </w:rPr>
        <w:t>*</w:t>
      </w:r>
      <w:r w:rsidR="00980D1B" w:rsidRPr="00980D1B">
        <w:rPr>
          <w:rFonts w:ascii="Times New Roman" w:hAnsi="Times New Roman" w:cs="Times New Roman"/>
          <w:sz w:val="24"/>
          <w:szCs w:val="24"/>
        </w:rPr>
        <w:t>(%Greek)</w:t>
      </w:r>
      <w:r w:rsidR="00980D1B">
        <w:rPr>
          <w:rFonts w:ascii="Times New Roman" w:hAnsi="Times New Roman" w:cs="Times New Roman"/>
          <w:sz w:val="24"/>
          <w:szCs w:val="24"/>
        </w:rPr>
        <w:t xml:space="preserve"> </w:t>
      </w:r>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w:t>
      </w:r>
      <w:r w:rsidR="00980D1B" w:rsidRPr="00BD27EB">
        <w:rPr>
          <w:rFonts w:ascii="Times New Roman" w:hAnsi="Times New Roman" w:cs="Times New Roman"/>
          <w:sz w:val="24"/>
          <w:szCs w:val="24"/>
        </w:rPr>
        <w:t>β</w:t>
      </w:r>
      <w:r w:rsidR="003035CC">
        <w:rPr>
          <w:rFonts w:ascii="Times New Roman" w:hAnsi="Times New Roman" w:cs="Times New Roman"/>
          <w:sz w:val="24"/>
          <w:szCs w:val="24"/>
          <w:vertAlign w:val="subscript"/>
        </w:rPr>
        <w:t>2</w:t>
      </w:r>
      <w:r w:rsidR="00BD27EB">
        <w:rPr>
          <w:rFonts w:ascii="Times New Roman" w:hAnsi="Times New Roman" w:cs="Times New Roman"/>
          <w:sz w:val="24"/>
          <w:szCs w:val="24"/>
        </w:rPr>
        <w:t>*</w:t>
      </w:r>
      <w:proofErr w:type="spellStart"/>
      <w:r w:rsidR="00980D1B" w:rsidRPr="00BD27EB">
        <w:rPr>
          <w:rFonts w:ascii="Times New Roman" w:hAnsi="Times New Roman" w:cs="Times New Roman"/>
          <w:sz w:val="24"/>
          <w:szCs w:val="24"/>
        </w:rPr>
        <w:t>MarHouse</w:t>
      </w:r>
      <w:proofErr w:type="spellEnd"/>
      <w:r w:rsidR="00980D1B">
        <w:rPr>
          <w:rFonts w:ascii="Times New Roman" w:hAnsi="Times New Roman" w:cs="Times New Roman"/>
          <w:sz w:val="24"/>
          <w:szCs w:val="24"/>
        </w:rPr>
        <w:t xml:space="preserve"> </w:t>
      </w:r>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β</w:t>
      </w:r>
      <w:r w:rsidR="003035CC">
        <w:rPr>
          <w:rFonts w:ascii="Times New Roman" w:hAnsi="Times New Roman" w:cs="Times New Roman"/>
          <w:sz w:val="24"/>
          <w:szCs w:val="24"/>
          <w:vertAlign w:val="subscript"/>
        </w:rPr>
        <w:t>3</w:t>
      </w:r>
      <w:r w:rsidR="00BD27EB">
        <w:rPr>
          <w:rFonts w:ascii="Times New Roman" w:hAnsi="Times New Roman" w:cs="Times New Roman"/>
          <w:sz w:val="24"/>
          <w:szCs w:val="24"/>
        </w:rPr>
        <w:t>*</w:t>
      </w:r>
      <w:r w:rsidR="00980D1B" w:rsidRPr="00980D1B">
        <w:rPr>
          <w:rFonts w:ascii="Times New Roman" w:hAnsi="Times New Roman" w:cs="Times New Roman"/>
          <w:sz w:val="24"/>
          <w:szCs w:val="24"/>
        </w:rPr>
        <w:t>(%</w:t>
      </w:r>
      <w:proofErr w:type="spellStart"/>
      <w:r w:rsidR="00980D1B" w:rsidRPr="00980D1B">
        <w:rPr>
          <w:rFonts w:ascii="Times New Roman" w:hAnsi="Times New Roman" w:cs="Times New Roman"/>
          <w:sz w:val="24"/>
          <w:szCs w:val="24"/>
        </w:rPr>
        <w:t>MPop</w:t>
      </w:r>
      <w:proofErr w:type="spellEnd"/>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w:t>
      </w:r>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w:t>
      </w:r>
      <w:r w:rsidR="00980D1B" w:rsidRPr="00BD27EB">
        <w:rPr>
          <w:rFonts w:ascii="Times New Roman" w:hAnsi="Times New Roman" w:cs="Times New Roman"/>
          <w:sz w:val="24"/>
          <w:szCs w:val="24"/>
        </w:rPr>
        <w:t>β</w:t>
      </w:r>
      <w:r w:rsidR="003035CC">
        <w:rPr>
          <w:rFonts w:ascii="Times New Roman" w:hAnsi="Times New Roman" w:cs="Times New Roman"/>
          <w:sz w:val="24"/>
          <w:szCs w:val="24"/>
          <w:vertAlign w:val="subscript"/>
        </w:rPr>
        <w:t>4</w:t>
      </w:r>
      <w:r w:rsidR="00BD27EB">
        <w:rPr>
          <w:rFonts w:ascii="Times New Roman" w:hAnsi="Times New Roman" w:cs="Times New Roman"/>
          <w:sz w:val="24"/>
          <w:szCs w:val="24"/>
        </w:rPr>
        <w:t>*</w:t>
      </w:r>
      <w:proofErr w:type="spellStart"/>
      <w:r w:rsidR="00980D1B" w:rsidRPr="00BD27EB">
        <w:rPr>
          <w:rFonts w:ascii="Times New Roman" w:hAnsi="Times New Roman" w:cs="Times New Roman"/>
          <w:sz w:val="24"/>
          <w:szCs w:val="24"/>
        </w:rPr>
        <w:t>Simps</w:t>
      </w:r>
      <w:proofErr w:type="spellEnd"/>
      <w:r w:rsidR="00980D1B">
        <w:rPr>
          <w:rFonts w:ascii="Times New Roman" w:hAnsi="Times New Roman" w:cs="Times New Roman"/>
          <w:sz w:val="24"/>
          <w:szCs w:val="24"/>
        </w:rPr>
        <w:t xml:space="preserve">  </w:t>
      </w:r>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w:t>
      </w:r>
      <w:r w:rsidR="003035CC">
        <w:rPr>
          <w:rFonts w:ascii="Times New Roman" w:hAnsi="Times New Roman" w:cs="Times New Roman"/>
          <w:sz w:val="24"/>
          <w:szCs w:val="24"/>
        </w:rPr>
        <w:t>β</w:t>
      </w:r>
      <w:r w:rsidR="003035CC">
        <w:rPr>
          <w:rFonts w:ascii="Times New Roman" w:hAnsi="Times New Roman" w:cs="Times New Roman"/>
          <w:sz w:val="24"/>
          <w:szCs w:val="24"/>
          <w:vertAlign w:val="subscript"/>
        </w:rPr>
        <w:t>5</w:t>
      </w:r>
      <w:r w:rsidR="003035CC">
        <w:rPr>
          <w:rFonts w:ascii="Times New Roman" w:hAnsi="Times New Roman" w:cs="Times New Roman"/>
          <w:sz w:val="24"/>
          <w:szCs w:val="24"/>
        </w:rPr>
        <w:t>*Rural + β</w:t>
      </w:r>
      <w:r w:rsidR="003035CC">
        <w:rPr>
          <w:rFonts w:ascii="Times New Roman" w:hAnsi="Times New Roman" w:cs="Times New Roman"/>
          <w:sz w:val="24"/>
          <w:szCs w:val="24"/>
          <w:vertAlign w:val="subscript"/>
        </w:rPr>
        <w:t>6</w:t>
      </w:r>
      <w:r w:rsidR="003035CC">
        <w:rPr>
          <w:rFonts w:ascii="Times New Roman" w:hAnsi="Times New Roman" w:cs="Times New Roman"/>
          <w:sz w:val="24"/>
          <w:szCs w:val="24"/>
        </w:rPr>
        <w:t xml:space="preserve">*Liquor + </w:t>
      </w:r>
      <w:r w:rsidR="00980D1B">
        <w:rPr>
          <w:rFonts w:ascii="Times New Roman" w:hAnsi="Times New Roman" w:cs="Times New Roman"/>
          <w:sz w:val="24"/>
          <w:szCs w:val="24"/>
        </w:rPr>
        <w:t>β</w:t>
      </w:r>
      <w:r w:rsidR="003035CC">
        <w:rPr>
          <w:rFonts w:ascii="Times New Roman" w:hAnsi="Times New Roman" w:cs="Times New Roman"/>
          <w:sz w:val="24"/>
          <w:szCs w:val="24"/>
          <w:vertAlign w:val="subscript"/>
        </w:rPr>
        <w:t>7</w:t>
      </w:r>
      <w:r w:rsidR="00BD27EB">
        <w:rPr>
          <w:rFonts w:ascii="Times New Roman" w:hAnsi="Times New Roman" w:cs="Times New Roman"/>
          <w:sz w:val="24"/>
          <w:szCs w:val="24"/>
        </w:rPr>
        <w:t>*</w:t>
      </w:r>
      <w:r w:rsidR="00980D1B" w:rsidRPr="00980D1B">
        <w:rPr>
          <w:rFonts w:ascii="Times New Roman" w:hAnsi="Times New Roman" w:cs="Times New Roman"/>
          <w:sz w:val="24"/>
          <w:szCs w:val="24"/>
        </w:rPr>
        <w:t>(Rural*</w:t>
      </w:r>
      <w:proofErr w:type="spellStart"/>
      <w:r w:rsidR="00980D1B" w:rsidRPr="00980D1B">
        <w:rPr>
          <w:rFonts w:ascii="Times New Roman" w:hAnsi="Times New Roman" w:cs="Times New Roman"/>
          <w:sz w:val="24"/>
          <w:szCs w:val="24"/>
        </w:rPr>
        <w:t>LiqStor</w:t>
      </w:r>
      <w:proofErr w:type="spellEnd"/>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w:t>
      </w:r>
      <w:r w:rsidR="00980D1B" w:rsidRPr="00980D1B">
        <w:rPr>
          <w:rFonts w:ascii="Times New Roman" w:hAnsi="Times New Roman" w:cs="Times New Roman"/>
          <w:sz w:val="24"/>
          <w:szCs w:val="24"/>
        </w:rPr>
        <w:t>+</w:t>
      </w:r>
      <w:r w:rsidR="00980D1B">
        <w:rPr>
          <w:rFonts w:ascii="Times New Roman" w:hAnsi="Times New Roman" w:cs="Times New Roman"/>
          <w:sz w:val="24"/>
          <w:szCs w:val="24"/>
        </w:rPr>
        <w:t xml:space="preserve"> β</w:t>
      </w:r>
      <w:r w:rsidR="003035CC">
        <w:rPr>
          <w:rFonts w:ascii="Times New Roman" w:hAnsi="Times New Roman" w:cs="Times New Roman"/>
          <w:sz w:val="24"/>
          <w:szCs w:val="24"/>
          <w:vertAlign w:val="subscript"/>
        </w:rPr>
        <w:t>8</w:t>
      </w:r>
      <w:r w:rsidR="00BD27EB">
        <w:rPr>
          <w:rFonts w:ascii="Times New Roman" w:hAnsi="Times New Roman" w:cs="Times New Roman"/>
          <w:sz w:val="24"/>
          <w:szCs w:val="24"/>
        </w:rPr>
        <w:t>*</w:t>
      </w:r>
      <w:r w:rsidR="00980D1B" w:rsidRPr="00980D1B">
        <w:rPr>
          <w:rFonts w:ascii="Times New Roman" w:hAnsi="Times New Roman" w:cs="Times New Roman"/>
          <w:sz w:val="24"/>
          <w:szCs w:val="24"/>
        </w:rPr>
        <w:t>(Rural*</w:t>
      </w:r>
      <w:proofErr w:type="spellStart"/>
      <w:r w:rsidR="00980D1B" w:rsidRPr="00980D1B">
        <w:rPr>
          <w:rFonts w:ascii="Times New Roman" w:hAnsi="Times New Roman" w:cs="Times New Roman"/>
          <w:sz w:val="24"/>
          <w:szCs w:val="24"/>
        </w:rPr>
        <w:t>Simps</w:t>
      </w:r>
      <w:proofErr w:type="spellEnd"/>
      <w:r w:rsidR="00980D1B" w:rsidRPr="00980D1B">
        <w:rPr>
          <w:rFonts w:ascii="Times New Roman" w:hAnsi="Times New Roman" w:cs="Times New Roman"/>
          <w:sz w:val="24"/>
          <w:szCs w:val="24"/>
        </w:rPr>
        <w:t>)</w:t>
      </w:r>
      <w:r w:rsidR="003035CC">
        <w:rPr>
          <w:rFonts w:ascii="Times New Roman" w:hAnsi="Times New Roman" w:cs="Times New Roman"/>
          <w:sz w:val="24"/>
          <w:szCs w:val="24"/>
        </w:rPr>
        <w:t xml:space="preserve"> + β</w:t>
      </w:r>
      <w:r w:rsidR="003035CC">
        <w:rPr>
          <w:rFonts w:ascii="Times New Roman" w:hAnsi="Times New Roman" w:cs="Times New Roman"/>
          <w:sz w:val="24"/>
          <w:szCs w:val="24"/>
          <w:vertAlign w:val="subscript"/>
        </w:rPr>
        <w:t>9</w:t>
      </w:r>
      <w:r w:rsidR="003035CC">
        <w:rPr>
          <w:rFonts w:ascii="Times New Roman" w:hAnsi="Times New Roman" w:cs="Times New Roman"/>
          <w:sz w:val="24"/>
          <w:szCs w:val="24"/>
        </w:rPr>
        <w:t>*(%Greek)</w:t>
      </w:r>
      <w:r w:rsidR="003035CC">
        <w:rPr>
          <w:rFonts w:ascii="Times New Roman" w:hAnsi="Times New Roman" w:cs="Times New Roman"/>
          <w:sz w:val="24"/>
          <w:szCs w:val="24"/>
          <w:vertAlign w:val="superscript"/>
        </w:rPr>
        <w:t xml:space="preserve">2 </w:t>
      </w:r>
      <w:r w:rsidR="003035CC" w:rsidRPr="00980D1B">
        <w:rPr>
          <w:rFonts w:ascii="Times New Roman" w:hAnsi="Times New Roman" w:cs="Times New Roman"/>
          <w:sz w:val="24"/>
          <w:szCs w:val="24"/>
        </w:rPr>
        <w:t>+</w:t>
      </w:r>
      <w:r w:rsidR="003035CC">
        <w:rPr>
          <w:rFonts w:ascii="Times New Roman" w:hAnsi="Times New Roman" w:cs="Times New Roman"/>
          <w:sz w:val="24"/>
          <w:szCs w:val="24"/>
        </w:rPr>
        <w:t xml:space="preserve"> β</w:t>
      </w:r>
      <w:r w:rsidR="003035CC" w:rsidRPr="00F85E99">
        <w:rPr>
          <w:rFonts w:ascii="Times New Roman" w:hAnsi="Times New Roman" w:cs="Times New Roman"/>
          <w:sz w:val="24"/>
          <w:szCs w:val="24"/>
          <w:vertAlign w:val="subscript"/>
        </w:rPr>
        <w:t>10</w:t>
      </w:r>
      <w:r w:rsidR="003035CC">
        <w:rPr>
          <w:rFonts w:ascii="Times New Roman" w:hAnsi="Times New Roman" w:cs="Times New Roman"/>
          <w:sz w:val="24"/>
          <w:szCs w:val="24"/>
        </w:rPr>
        <w:t>*(%</w:t>
      </w:r>
      <w:proofErr w:type="spellStart"/>
      <w:r w:rsidR="003035CC">
        <w:rPr>
          <w:rFonts w:ascii="Times New Roman" w:hAnsi="Times New Roman" w:cs="Times New Roman"/>
          <w:sz w:val="24"/>
          <w:szCs w:val="24"/>
        </w:rPr>
        <w:t>MPop</w:t>
      </w:r>
      <w:proofErr w:type="spellEnd"/>
      <w:r w:rsidR="003035CC">
        <w:rPr>
          <w:rFonts w:ascii="Times New Roman" w:hAnsi="Times New Roman" w:cs="Times New Roman"/>
          <w:sz w:val="24"/>
          <w:szCs w:val="24"/>
        </w:rPr>
        <w:t>)</w:t>
      </w:r>
      <w:r w:rsidR="003035CC">
        <w:rPr>
          <w:rFonts w:ascii="Times New Roman" w:hAnsi="Times New Roman" w:cs="Times New Roman"/>
          <w:sz w:val="24"/>
          <w:szCs w:val="24"/>
          <w:vertAlign w:val="superscript"/>
        </w:rPr>
        <w:t>2</w:t>
      </w:r>
      <w:r w:rsidR="003035CC">
        <w:rPr>
          <w:rFonts w:ascii="Times New Roman" w:hAnsi="Times New Roman" w:cs="Times New Roman"/>
          <w:sz w:val="24"/>
          <w:szCs w:val="24"/>
        </w:rPr>
        <w:t xml:space="preserve"> </w:t>
      </w:r>
      <w:r w:rsidR="003035CC" w:rsidRPr="00980D1B">
        <w:rPr>
          <w:rFonts w:ascii="Times New Roman" w:hAnsi="Times New Roman" w:cs="Times New Roman"/>
          <w:sz w:val="24"/>
          <w:szCs w:val="24"/>
        </w:rPr>
        <w:t>+</w:t>
      </w:r>
      <w:r w:rsidR="003035CC">
        <w:rPr>
          <w:rFonts w:ascii="Times New Roman" w:hAnsi="Times New Roman" w:cs="Times New Roman"/>
          <w:sz w:val="24"/>
          <w:szCs w:val="24"/>
        </w:rPr>
        <w:t xml:space="preserve"> β</w:t>
      </w:r>
      <w:r w:rsidR="003035CC">
        <w:rPr>
          <w:rFonts w:ascii="Times New Roman" w:hAnsi="Times New Roman" w:cs="Times New Roman"/>
          <w:sz w:val="24"/>
          <w:szCs w:val="24"/>
          <w:vertAlign w:val="subscript"/>
        </w:rPr>
        <w:t>11</w:t>
      </w:r>
      <w:r w:rsidR="003035CC">
        <w:rPr>
          <w:rFonts w:ascii="Times New Roman" w:hAnsi="Times New Roman" w:cs="Times New Roman"/>
          <w:sz w:val="24"/>
          <w:szCs w:val="24"/>
        </w:rPr>
        <w:t>*</w:t>
      </w:r>
      <w:r w:rsidR="003035CC" w:rsidRPr="00980D1B">
        <w:rPr>
          <w:rFonts w:ascii="Times New Roman" w:hAnsi="Times New Roman" w:cs="Times New Roman"/>
          <w:sz w:val="24"/>
          <w:szCs w:val="24"/>
        </w:rPr>
        <w:t>(</w:t>
      </w:r>
      <w:proofErr w:type="spellStart"/>
      <w:r w:rsidR="003035CC" w:rsidRPr="00980D1B">
        <w:rPr>
          <w:rFonts w:ascii="Times New Roman" w:hAnsi="Times New Roman" w:cs="Times New Roman"/>
          <w:sz w:val="24"/>
          <w:szCs w:val="24"/>
        </w:rPr>
        <w:t>Simps</w:t>
      </w:r>
      <w:proofErr w:type="spellEnd"/>
      <w:r w:rsidR="003035CC" w:rsidRPr="00980D1B">
        <w:rPr>
          <w:rFonts w:ascii="Times New Roman" w:hAnsi="Times New Roman" w:cs="Times New Roman"/>
          <w:sz w:val="24"/>
          <w:szCs w:val="24"/>
        </w:rPr>
        <w:t>)</w:t>
      </w:r>
      <w:r w:rsidR="003035CC">
        <w:rPr>
          <w:rFonts w:ascii="Times New Roman" w:hAnsi="Times New Roman" w:cs="Times New Roman"/>
          <w:sz w:val="24"/>
          <w:szCs w:val="24"/>
          <w:vertAlign w:val="superscript"/>
        </w:rPr>
        <w:t>2</w:t>
      </w:r>
      <w:r w:rsidR="009B4A34">
        <w:rPr>
          <w:rFonts w:ascii="Times New Roman" w:hAnsi="Times New Roman" w:cs="Times New Roman"/>
          <w:sz w:val="24"/>
          <w:szCs w:val="24"/>
        </w:rPr>
        <w:t>.</w:t>
      </w:r>
      <w:r w:rsidR="003035CC">
        <w:rPr>
          <w:rFonts w:ascii="Times New Roman" w:hAnsi="Times New Roman" w:cs="Times New Roman"/>
          <w:sz w:val="24"/>
          <w:szCs w:val="24"/>
        </w:rPr>
        <w:tab/>
      </w:r>
      <w:r w:rsidR="003035CC">
        <w:rPr>
          <w:rFonts w:ascii="Times New Roman" w:hAnsi="Times New Roman" w:cs="Times New Roman"/>
          <w:sz w:val="24"/>
          <w:szCs w:val="24"/>
        </w:rPr>
        <w:tab/>
      </w:r>
      <w:r w:rsidR="003035CC">
        <w:rPr>
          <w:rFonts w:ascii="Times New Roman" w:hAnsi="Times New Roman" w:cs="Times New Roman"/>
          <w:sz w:val="24"/>
          <w:szCs w:val="24"/>
        </w:rPr>
        <w:tab/>
      </w:r>
      <w:r w:rsidR="003035CC">
        <w:rPr>
          <w:rFonts w:ascii="Times New Roman" w:hAnsi="Times New Roman" w:cs="Times New Roman"/>
          <w:sz w:val="24"/>
          <w:szCs w:val="24"/>
        </w:rPr>
        <w:tab/>
      </w:r>
      <w:r w:rsidR="003035CC">
        <w:rPr>
          <w:rFonts w:ascii="Times New Roman" w:hAnsi="Times New Roman" w:cs="Times New Roman"/>
          <w:sz w:val="24"/>
          <w:szCs w:val="24"/>
        </w:rPr>
        <w:tab/>
      </w:r>
      <w:r w:rsidR="003035CC">
        <w:rPr>
          <w:rFonts w:ascii="Times New Roman" w:hAnsi="Times New Roman" w:cs="Times New Roman"/>
          <w:sz w:val="24"/>
          <w:szCs w:val="24"/>
        </w:rPr>
        <w:tab/>
      </w:r>
      <w:r w:rsidR="005A0AF5">
        <w:rPr>
          <w:rFonts w:ascii="Times New Roman" w:hAnsi="Times New Roman" w:cs="Times New Roman"/>
          <w:sz w:val="24"/>
          <w:szCs w:val="24"/>
        </w:rPr>
        <w:t>(1)</w:t>
      </w:r>
    </w:p>
    <w:p w:rsidR="001469CA" w:rsidRDefault="009B4A34" w:rsidP="00257A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associated </w:t>
      </w:r>
      <w:r>
        <w:rPr>
          <w:rFonts w:ascii="Times New Roman" w:hAnsi="Times New Roman" w:cs="Times New Roman"/>
          <w:i/>
          <w:sz w:val="24"/>
          <w:szCs w:val="24"/>
        </w:rPr>
        <w:t>p</w:t>
      </w:r>
      <w:r>
        <w:rPr>
          <w:rFonts w:ascii="Times New Roman" w:hAnsi="Times New Roman" w:cs="Times New Roman"/>
          <w:i/>
          <w:sz w:val="24"/>
          <w:szCs w:val="24"/>
        </w:rPr>
        <w:softHyphen/>
      </w:r>
      <w:r>
        <w:rPr>
          <w:rFonts w:ascii="Times New Roman" w:hAnsi="Times New Roman" w:cs="Times New Roman"/>
          <w:sz w:val="24"/>
          <w:szCs w:val="24"/>
        </w:rPr>
        <w:t>-values, standard errors, and β</w:t>
      </w:r>
      <w:r>
        <w:rPr>
          <w:rFonts w:ascii="Times New Roman" w:hAnsi="Times New Roman" w:cs="Times New Roman"/>
          <w:sz w:val="24"/>
          <w:szCs w:val="24"/>
          <w:vertAlign w:val="subscript"/>
        </w:rPr>
        <w:t xml:space="preserve"> </w:t>
      </w:r>
      <w:r>
        <w:rPr>
          <w:rFonts w:ascii="Times New Roman" w:hAnsi="Times New Roman" w:cs="Times New Roman"/>
          <w:sz w:val="24"/>
          <w:szCs w:val="24"/>
        </w:rPr>
        <w:t>coefficients for the mod</w:t>
      </w:r>
      <w:r w:rsidR="006B1BA5">
        <w:rPr>
          <w:rFonts w:ascii="Times New Roman" w:hAnsi="Times New Roman" w:cs="Times New Roman"/>
          <w:sz w:val="24"/>
          <w:szCs w:val="24"/>
        </w:rPr>
        <w:t>el can be found in the</w:t>
      </w:r>
      <w:r>
        <w:rPr>
          <w:rFonts w:ascii="Times New Roman" w:hAnsi="Times New Roman" w:cs="Times New Roman"/>
          <w:sz w:val="24"/>
          <w:szCs w:val="24"/>
        </w:rPr>
        <w:t xml:space="preserve"> table</w:t>
      </w:r>
      <w:r w:rsidR="00C93161">
        <w:rPr>
          <w:rFonts w:ascii="Times New Roman" w:hAnsi="Times New Roman" w:cs="Times New Roman"/>
          <w:sz w:val="24"/>
          <w:szCs w:val="24"/>
        </w:rPr>
        <w:t xml:space="preserve"> below</w:t>
      </w:r>
      <w:r>
        <w:rPr>
          <w:rFonts w:ascii="Times New Roman" w:hAnsi="Times New Roman" w:cs="Times New Roman"/>
          <w:sz w:val="24"/>
          <w:szCs w:val="24"/>
        </w:rPr>
        <w:t>.</w:t>
      </w:r>
      <w:r w:rsidR="00E61007">
        <w:rPr>
          <w:rFonts w:ascii="Times New Roman" w:hAnsi="Times New Roman" w:cs="Times New Roman"/>
          <w:sz w:val="24"/>
          <w:szCs w:val="24"/>
        </w:rPr>
        <w:t xml:space="preserve"> One asterisk represents the </w:t>
      </w:r>
      <w:r w:rsidR="00E61007">
        <w:rPr>
          <w:rFonts w:ascii="Times New Roman" w:hAnsi="Times New Roman" w:cs="Times New Roman"/>
          <w:i/>
          <w:sz w:val="24"/>
          <w:szCs w:val="24"/>
        </w:rPr>
        <w:t>p</w:t>
      </w:r>
      <w:r w:rsidR="00E61007">
        <w:rPr>
          <w:rFonts w:ascii="Times New Roman" w:hAnsi="Times New Roman" w:cs="Times New Roman"/>
          <w:sz w:val="24"/>
          <w:szCs w:val="24"/>
        </w:rPr>
        <w:t>-value was significant at the hundredth place, two asterisks represents significance at the thousandths place, and three asterisks represent significance passed the thousandths place.</w:t>
      </w:r>
    </w:p>
    <w:p w:rsidR="001469CA" w:rsidRPr="001469CA" w:rsidRDefault="00BA105C" w:rsidP="00257A2B">
      <w:pPr>
        <w:rPr>
          <w:rFonts w:ascii="Times New Roman" w:hAnsi="Times New Roman" w:cs="Times New Roman"/>
          <w:sz w:val="24"/>
          <w:szCs w:val="24"/>
        </w:rPr>
      </w:pPr>
      <w:proofErr w:type="gramStart"/>
      <w:r>
        <w:rPr>
          <w:rFonts w:ascii="Times New Roman" w:hAnsi="Times New Roman" w:cs="Times New Roman"/>
          <w:b/>
          <w:sz w:val="24"/>
          <w:szCs w:val="24"/>
        </w:rPr>
        <w:t xml:space="preserve">Table </w:t>
      </w:r>
      <w:r w:rsidR="00257A2B">
        <w:rPr>
          <w:rFonts w:ascii="Times New Roman" w:hAnsi="Times New Roman" w:cs="Times New Roman"/>
          <w:b/>
          <w:sz w:val="24"/>
          <w:szCs w:val="24"/>
        </w:rPr>
        <w:t>2</w:t>
      </w:r>
      <w:r w:rsidR="001469CA" w:rsidRPr="00F802F7">
        <w:rPr>
          <w:rFonts w:ascii="Times New Roman" w:hAnsi="Times New Roman" w:cs="Times New Roman"/>
          <w:b/>
          <w:sz w:val="24"/>
          <w:szCs w:val="24"/>
        </w:rPr>
        <w:t>.</w:t>
      </w:r>
      <w:proofErr w:type="gramEnd"/>
      <w:r w:rsidR="001469CA">
        <w:rPr>
          <w:rFonts w:ascii="Times New Roman" w:hAnsi="Times New Roman" w:cs="Times New Roman"/>
          <w:sz w:val="24"/>
          <w:szCs w:val="24"/>
        </w:rPr>
        <w:t xml:space="preserve"> Coefficient estimates and associated standard error and </w:t>
      </w:r>
      <w:r w:rsidR="001469CA">
        <w:rPr>
          <w:rFonts w:ascii="Times New Roman" w:hAnsi="Times New Roman" w:cs="Times New Roman"/>
          <w:i/>
          <w:sz w:val="24"/>
          <w:szCs w:val="24"/>
        </w:rPr>
        <w:t>p</w:t>
      </w:r>
      <w:r w:rsidR="001469CA">
        <w:rPr>
          <w:rFonts w:ascii="Times New Roman" w:hAnsi="Times New Roman" w:cs="Times New Roman"/>
          <w:sz w:val="24"/>
          <w:szCs w:val="24"/>
        </w:rPr>
        <w:t>-values for equation (1).</w:t>
      </w:r>
    </w:p>
    <w:tbl>
      <w:tblPr>
        <w:tblStyle w:val="TableGrid"/>
        <w:tblW w:w="0" w:type="auto"/>
        <w:tblInd w:w="918" w:type="dxa"/>
        <w:tblLook w:val="04A0" w:firstRow="1" w:lastRow="0" w:firstColumn="1" w:lastColumn="0" w:noHBand="0" w:noVBand="1"/>
      </w:tblPr>
      <w:tblGrid>
        <w:gridCol w:w="1773"/>
        <w:gridCol w:w="1827"/>
        <w:gridCol w:w="2070"/>
        <w:gridCol w:w="1980"/>
      </w:tblGrid>
      <w:tr w:rsidR="00896923" w:rsidTr="00411F4C">
        <w:tc>
          <w:tcPr>
            <w:tcW w:w="1773" w:type="dxa"/>
          </w:tcPr>
          <w:p w:rsidR="001469CA" w:rsidRPr="00F802F7" w:rsidRDefault="00896923" w:rsidP="00BD27EB">
            <w:pPr>
              <w:jc w:val="center"/>
              <w:rPr>
                <w:rFonts w:ascii="Times New Roman" w:hAnsi="Times New Roman" w:cs="Times New Roman"/>
                <w:b/>
                <w:sz w:val="24"/>
                <w:szCs w:val="24"/>
              </w:rPr>
            </w:pPr>
            <w:r w:rsidRPr="00F802F7">
              <w:rPr>
                <w:rFonts w:ascii="Times New Roman" w:hAnsi="Times New Roman" w:cs="Times New Roman"/>
                <w:b/>
                <w:sz w:val="24"/>
                <w:szCs w:val="24"/>
              </w:rPr>
              <w:t>Variable</w:t>
            </w:r>
          </w:p>
        </w:tc>
        <w:tc>
          <w:tcPr>
            <w:tcW w:w="1827" w:type="dxa"/>
          </w:tcPr>
          <w:p w:rsidR="001469CA" w:rsidRPr="00F802F7" w:rsidRDefault="003035CC" w:rsidP="00BD27EB">
            <w:pPr>
              <w:jc w:val="center"/>
              <w:rPr>
                <w:rFonts w:ascii="Times New Roman" w:hAnsi="Times New Roman" w:cs="Times New Roman"/>
                <w:b/>
                <w:sz w:val="24"/>
                <w:szCs w:val="24"/>
              </w:rPr>
            </w:pPr>
            <w:r w:rsidRPr="00F802F7">
              <w:rPr>
                <w:rFonts w:ascii="Times New Roman" w:hAnsi="Times New Roman" w:cs="Times New Roman"/>
                <w:b/>
                <w:sz w:val="24"/>
                <w:szCs w:val="24"/>
              </w:rPr>
              <w:t>Estimate</w:t>
            </w:r>
          </w:p>
        </w:tc>
        <w:tc>
          <w:tcPr>
            <w:tcW w:w="2070" w:type="dxa"/>
          </w:tcPr>
          <w:p w:rsidR="001469CA" w:rsidRPr="00F802F7" w:rsidRDefault="00896923" w:rsidP="00BD27EB">
            <w:pPr>
              <w:jc w:val="center"/>
              <w:rPr>
                <w:rFonts w:ascii="Times New Roman" w:hAnsi="Times New Roman" w:cs="Times New Roman"/>
                <w:b/>
                <w:sz w:val="24"/>
                <w:szCs w:val="24"/>
              </w:rPr>
            </w:pPr>
            <w:r w:rsidRPr="00F802F7">
              <w:rPr>
                <w:rFonts w:ascii="Times New Roman" w:hAnsi="Times New Roman" w:cs="Times New Roman"/>
                <w:b/>
                <w:sz w:val="24"/>
                <w:szCs w:val="24"/>
              </w:rPr>
              <w:t>Standard Error</w:t>
            </w:r>
          </w:p>
        </w:tc>
        <w:tc>
          <w:tcPr>
            <w:tcW w:w="1980" w:type="dxa"/>
          </w:tcPr>
          <w:p w:rsidR="001469CA" w:rsidRPr="00F802F7" w:rsidRDefault="00896923" w:rsidP="00BD27EB">
            <w:pPr>
              <w:jc w:val="center"/>
              <w:rPr>
                <w:rFonts w:ascii="Times New Roman" w:hAnsi="Times New Roman" w:cs="Times New Roman"/>
                <w:b/>
                <w:sz w:val="24"/>
                <w:szCs w:val="24"/>
              </w:rPr>
            </w:pPr>
            <w:r w:rsidRPr="00F802F7">
              <w:rPr>
                <w:rFonts w:ascii="Times New Roman" w:hAnsi="Times New Roman" w:cs="Times New Roman"/>
                <w:b/>
                <w:i/>
                <w:sz w:val="24"/>
                <w:szCs w:val="24"/>
              </w:rPr>
              <w:t>p</w:t>
            </w:r>
            <w:r w:rsidRPr="00F802F7">
              <w:rPr>
                <w:rFonts w:ascii="Times New Roman" w:hAnsi="Times New Roman" w:cs="Times New Roman"/>
                <w:b/>
                <w:sz w:val="24"/>
                <w:szCs w:val="24"/>
              </w:rPr>
              <w:t>-value</w:t>
            </w:r>
          </w:p>
        </w:tc>
      </w:tr>
      <w:tr w:rsidR="00896923" w:rsidTr="00411F4C">
        <w:tc>
          <w:tcPr>
            <w:tcW w:w="1773" w:type="dxa"/>
          </w:tcPr>
          <w:p w:rsidR="001469CA" w:rsidRDefault="00896923" w:rsidP="009B4A34">
            <w:pPr>
              <w:rPr>
                <w:rFonts w:ascii="Times New Roman" w:hAnsi="Times New Roman" w:cs="Times New Roman"/>
                <w:sz w:val="24"/>
                <w:szCs w:val="24"/>
              </w:rPr>
            </w:pPr>
            <w:r>
              <w:rPr>
                <w:rFonts w:ascii="Times New Roman" w:hAnsi="Times New Roman" w:cs="Times New Roman"/>
                <w:sz w:val="24"/>
                <w:szCs w:val="24"/>
              </w:rPr>
              <w:t>Intercept</w:t>
            </w:r>
          </w:p>
        </w:tc>
        <w:tc>
          <w:tcPr>
            <w:tcW w:w="1827"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-26.869</w:t>
            </w:r>
            <w:r w:rsidR="003035CC">
              <w:rPr>
                <w:rFonts w:ascii="Times New Roman" w:hAnsi="Times New Roman" w:cs="Times New Roman"/>
                <w:sz w:val="24"/>
                <w:szCs w:val="24"/>
              </w:rPr>
              <w:t>231</w:t>
            </w:r>
          </w:p>
        </w:tc>
        <w:tc>
          <w:tcPr>
            <w:tcW w:w="207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11.581</w:t>
            </w:r>
            <w:r w:rsidR="00726187">
              <w:rPr>
                <w:rFonts w:ascii="Times New Roman" w:hAnsi="Times New Roman" w:cs="Times New Roman"/>
                <w:sz w:val="24"/>
                <w:szCs w:val="24"/>
              </w:rPr>
              <w:t>448</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0.022</w:t>
            </w:r>
            <w:r w:rsidRPr="00411F4C">
              <w:rPr>
                <w:rFonts w:ascii="Times New Roman" w:hAnsi="Times New Roman" w:cs="Times New Roman"/>
                <w:sz w:val="16"/>
                <w:szCs w:val="16"/>
              </w:rPr>
              <w:t>*</w:t>
            </w:r>
          </w:p>
        </w:tc>
      </w:tr>
      <w:tr w:rsidR="00896923" w:rsidTr="00411F4C">
        <w:tc>
          <w:tcPr>
            <w:tcW w:w="1773" w:type="dxa"/>
          </w:tcPr>
          <w:p w:rsidR="001469CA" w:rsidRDefault="00896923" w:rsidP="009B4A34">
            <w:pPr>
              <w:rPr>
                <w:rFonts w:ascii="Times New Roman" w:hAnsi="Times New Roman" w:cs="Times New Roman"/>
                <w:sz w:val="24"/>
                <w:szCs w:val="24"/>
              </w:rPr>
            </w:pPr>
            <w:r>
              <w:rPr>
                <w:rFonts w:ascii="Times New Roman" w:hAnsi="Times New Roman" w:cs="Times New Roman"/>
                <w:sz w:val="24"/>
                <w:szCs w:val="24"/>
              </w:rPr>
              <w:t>%Greek</w:t>
            </w:r>
          </w:p>
        </w:tc>
        <w:tc>
          <w:tcPr>
            <w:tcW w:w="1827"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4.936</w:t>
            </w:r>
            <w:r w:rsidR="003035CC">
              <w:rPr>
                <w:rFonts w:ascii="Times New Roman" w:hAnsi="Times New Roman" w:cs="Times New Roman"/>
                <w:sz w:val="24"/>
                <w:szCs w:val="24"/>
              </w:rPr>
              <w:t>018</w:t>
            </w:r>
          </w:p>
        </w:tc>
        <w:tc>
          <w:tcPr>
            <w:tcW w:w="2070" w:type="dxa"/>
          </w:tcPr>
          <w:p w:rsidR="001469CA" w:rsidRDefault="00726187" w:rsidP="00726187">
            <w:pPr>
              <w:jc w:val="center"/>
              <w:rPr>
                <w:rFonts w:ascii="Times New Roman" w:hAnsi="Times New Roman" w:cs="Times New Roman"/>
                <w:sz w:val="24"/>
                <w:szCs w:val="24"/>
              </w:rPr>
            </w:pPr>
            <w:r>
              <w:rPr>
                <w:rFonts w:ascii="Times New Roman" w:hAnsi="Times New Roman" w:cs="Times New Roman"/>
                <w:sz w:val="24"/>
                <w:szCs w:val="24"/>
              </w:rPr>
              <w:t>1.438801</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&lt;0.001</w:t>
            </w:r>
            <w:r w:rsidRPr="00411F4C">
              <w:rPr>
                <w:rFonts w:ascii="Times New Roman" w:hAnsi="Times New Roman" w:cs="Times New Roman"/>
                <w:sz w:val="16"/>
                <w:szCs w:val="16"/>
              </w:rPr>
              <w:t>***</w:t>
            </w:r>
          </w:p>
        </w:tc>
      </w:tr>
      <w:tr w:rsidR="00896923" w:rsidTr="00411F4C">
        <w:tc>
          <w:tcPr>
            <w:tcW w:w="1773" w:type="dxa"/>
          </w:tcPr>
          <w:p w:rsidR="001469CA" w:rsidRPr="00BD27EB" w:rsidRDefault="00BD27EB" w:rsidP="009B4A34">
            <w:pPr>
              <w:rPr>
                <w:rFonts w:ascii="Times New Roman" w:hAnsi="Times New Roman" w:cs="Times New Roman"/>
                <w:sz w:val="24"/>
                <w:szCs w:val="24"/>
                <w:vertAlign w:val="superscript"/>
              </w:rPr>
            </w:pPr>
            <w:r>
              <w:rPr>
                <w:rFonts w:ascii="Times New Roman" w:hAnsi="Times New Roman" w:cs="Times New Roman"/>
                <w:sz w:val="24"/>
                <w:szCs w:val="24"/>
              </w:rPr>
              <w:t>(%Greek)</w:t>
            </w:r>
            <w:r>
              <w:rPr>
                <w:rFonts w:ascii="Times New Roman" w:hAnsi="Times New Roman" w:cs="Times New Roman"/>
                <w:sz w:val="24"/>
                <w:szCs w:val="24"/>
                <w:vertAlign w:val="superscript"/>
              </w:rPr>
              <w:t>2</w:t>
            </w:r>
          </w:p>
        </w:tc>
        <w:tc>
          <w:tcPr>
            <w:tcW w:w="1827"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-14.944</w:t>
            </w:r>
            <w:r w:rsidR="003035CC">
              <w:rPr>
                <w:rFonts w:ascii="Times New Roman" w:hAnsi="Times New Roman" w:cs="Times New Roman"/>
                <w:sz w:val="24"/>
                <w:szCs w:val="24"/>
              </w:rPr>
              <w:t>523</w:t>
            </w:r>
          </w:p>
        </w:tc>
        <w:tc>
          <w:tcPr>
            <w:tcW w:w="207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5.604</w:t>
            </w:r>
            <w:r w:rsidR="00726187">
              <w:rPr>
                <w:rFonts w:ascii="Times New Roman" w:hAnsi="Times New Roman" w:cs="Times New Roman"/>
                <w:sz w:val="24"/>
                <w:szCs w:val="24"/>
              </w:rPr>
              <w:t>437</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0.009</w:t>
            </w:r>
            <w:r w:rsidRPr="00411F4C">
              <w:rPr>
                <w:rFonts w:ascii="Times New Roman" w:hAnsi="Times New Roman" w:cs="Times New Roman"/>
                <w:sz w:val="16"/>
                <w:szCs w:val="16"/>
              </w:rPr>
              <w:t>**</w:t>
            </w:r>
          </w:p>
        </w:tc>
      </w:tr>
      <w:tr w:rsidR="00896923" w:rsidTr="00411F4C">
        <w:tc>
          <w:tcPr>
            <w:tcW w:w="1773" w:type="dxa"/>
          </w:tcPr>
          <w:p w:rsidR="001469CA" w:rsidRDefault="00BD27EB" w:rsidP="009B4A34">
            <w:pPr>
              <w:rPr>
                <w:rFonts w:ascii="Times New Roman" w:hAnsi="Times New Roman" w:cs="Times New Roman"/>
                <w:sz w:val="24"/>
                <w:szCs w:val="24"/>
              </w:rPr>
            </w:pPr>
            <w:proofErr w:type="spellStart"/>
            <w:r>
              <w:rPr>
                <w:rFonts w:ascii="Times New Roman" w:hAnsi="Times New Roman" w:cs="Times New Roman"/>
                <w:sz w:val="24"/>
                <w:szCs w:val="24"/>
              </w:rPr>
              <w:t>MarHouse</w:t>
            </w:r>
            <w:proofErr w:type="spellEnd"/>
          </w:p>
        </w:tc>
        <w:tc>
          <w:tcPr>
            <w:tcW w:w="1827"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0.008</w:t>
            </w:r>
            <w:r w:rsidR="003035CC">
              <w:rPr>
                <w:rFonts w:ascii="Times New Roman" w:hAnsi="Times New Roman" w:cs="Times New Roman"/>
                <w:sz w:val="24"/>
                <w:szCs w:val="24"/>
              </w:rPr>
              <w:t>249</w:t>
            </w:r>
          </w:p>
        </w:tc>
        <w:tc>
          <w:tcPr>
            <w:tcW w:w="2070" w:type="dxa"/>
          </w:tcPr>
          <w:p w:rsidR="001469CA" w:rsidRDefault="00726187" w:rsidP="00726187">
            <w:pPr>
              <w:jc w:val="center"/>
              <w:rPr>
                <w:rFonts w:ascii="Times New Roman" w:hAnsi="Times New Roman" w:cs="Times New Roman"/>
                <w:sz w:val="24"/>
                <w:szCs w:val="24"/>
              </w:rPr>
            </w:pPr>
            <w:r>
              <w:rPr>
                <w:rFonts w:ascii="Times New Roman" w:hAnsi="Times New Roman" w:cs="Times New Roman"/>
                <w:sz w:val="24"/>
                <w:szCs w:val="24"/>
              </w:rPr>
              <w:t>0.003806</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0.032</w:t>
            </w:r>
            <w:r w:rsidRPr="00411F4C">
              <w:rPr>
                <w:rFonts w:ascii="Times New Roman" w:hAnsi="Times New Roman" w:cs="Times New Roman"/>
                <w:sz w:val="16"/>
                <w:szCs w:val="16"/>
              </w:rPr>
              <w:t>*</w:t>
            </w:r>
          </w:p>
        </w:tc>
      </w:tr>
      <w:tr w:rsidR="00896923" w:rsidTr="00411F4C">
        <w:tc>
          <w:tcPr>
            <w:tcW w:w="1773" w:type="dxa"/>
          </w:tcPr>
          <w:p w:rsidR="001469CA" w:rsidRDefault="00BD27EB" w:rsidP="009B4A3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MPop</w:t>
            </w:r>
            <w:proofErr w:type="spellEnd"/>
          </w:p>
        </w:tc>
        <w:tc>
          <w:tcPr>
            <w:tcW w:w="1827" w:type="dxa"/>
          </w:tcPr>
          <w:p w:rsidR="001469CA" w:rsidRDefault="003035CC" w:rsidP="00726187">
            <w:pPr>
              <w:jc w:val="center"/>
              <w:rPr>
                <w:rFonts w:ascii="Times New Roman" w:hAnsi="Times New Roman" w:cs="Times New Roman"/>
                <w:sz w:val="24"/>
                <w:szCs w:val="24"/>
              </w:rPr>
            </w:pPr>
            <w:r>
              <w:rPr>
                <w:rFonts w:ascii="Times New Roman" w:hAnsi="Times New Roman" w:cs="Times New Roman"/>
                <w:sz w:val="24"/>
                <w:szCs w:val="24"/>
              </w:rPr>
              <w:t>99.143628</w:t>
            </w:r>
          </w:p>
        </w:tc>
        <w:tc>
          <w:tcPr>
            <w:tcW w:w="207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45.919</w:t>
            </w:r>
            <w:r w:rsidR="00726187">
              <w:rPr>
                <w:rFonts w:ascii="Times New Roman" w:hAnsi="Times New Roman" w:cs="Times New Roman"/>
                <w:sz w:val="24"/>
                <w:szCs w:val="24"/>
              </w:rPr>
              <w:t>314</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0.033</w:t>
            </w:r>
            <w:r w:rsidRPr="00411F4C">
              <w:rPr>
                <w:rFonts w:ascii="Times New Roman" w:hAnsi="Times New Roman" w:cs="Times New Roman"/>
                <w:sz w:val="16"/>
                <w:szCs w:val="16"/>
              </w:rPr>
              <w:t>*</w:t>
            </w:r>
          </w:p>
        </w:tc>
      </w:tr>
      <w:tr w:rsidR="00896923" w:rsidTr="00411F4C">
        <w:tc>
          <w:tcPr>
            <w:tcW w:w="1773" w:type="dxa"/>
          </w:tcPr>
          <w:p w:rsidR="001469CA" w:rsidRPr="00BD27EB" w:rsidRDefault="00BD27EB" w:rsidP="009B4A34">
            <w:pPr>
              <w:rPr>
                <w:rFonts w:ascii="Times New Roman" w:hAnsi="Times New Roman" w:cs="Times New Roman"/>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MPop</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1827" w:type="dxa"/>
          </w:tcPr>
          <w:p w:rsidR="001469CA" w:rsidRDefault="003035CC" w:rsidP="00726187">
            <w:pPr>
              <w:jc w:val="center"/>
              <w:rPr>
                <w:rFonts w:ascii="Times New Roman" w:hAnsi="Times New Roman" w:cs="Times New Roman"/>
                <w:sz w:val="24"/>
                <w:szCs w:val="24"/>
              </w:rPr>
            </w:pPr>
            <w:r>
              <w:rPr>
                <w:rFonts w:ascii="Times New Roman" w:hAnsi="Times New Roman" w:cs="Times New Roman"/>
                <w:sz w:val="24"/>
                <w:szCs w:val="24"/>
              </w:rPr>
              <w:t>-94.785549</w:t>
            </w:r>
          </w:p>
        </w:tc>
        <w:tc>
          <w:tcPr>
            <w:tcW w:w="2070" w:type="dxa"/>
          </w:tcPr>
          <w:p w:rsidR="001469CA" w:rsidRDefault="00726187" w:rsidP="00726187">
            <w:pPr>
              <w:jc w:val="center"/>
              <w:rPr>
                <w:rFonts w:ascii="Times New Roman" w:hAnsi="Times New Roman" w:cs="Times New Roman"/>
                <w:sz w:val="24"/>
                <w:szCs w:val="24"/>
              </w:rPr>
            </w:pPr>
            <w:r>
              <w:rPr>
                <w:rFonts w:ascii="Times New Roman" w:hAnsi="Times New Roman" w:cs="Times New Roman"/>
                <w:sz w:val="24"/>
                <w:szCs w:val="24"/>
              </w:rPr>
              <w:t>45.594575</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0.040</w:t>
            </w:r>
            <w:r w:rsidRPr="00411F4C">
              <w:rPr>
                <w:rFonts w:ascii="Times New Roman" w:hAnsi="Times New Roman" w:cs="Times New Roman"/>
                <w:sz w:val="16"/>
                <w:szCs w:val="16"/>
              </w:rPr>
              <w:t>*</w:t>
            </w:r>
          </w:p>
        </w:tc>
      </w:tr>
      <w:tr w:rsidR="00896923" w:rsidTr="00411F4C">
        <w:tc>
          <w:tcPr>
            <w:tcW w:w="1773" w:type="dxa"/>
          </w:tcPr>
          <w:p w:rsidR="001469CA" w:rsidRDefault="00BD27EB" w:rsidP="009B4A34">
            <w:pPr>
              <w:rPr>
                <w:rFonts w:ascii="Times New Roman" w:hAnsi="Times New Roman" w:cs="Times New Roman"/>
                <w:sz w:val="24"/>
                <w:szCs w:val="24"/>
              </w:rPr>
            </w:pPr>
            <w:proofErr w:type="spellStart"/>
            <w:r>
              <w:rPr>
                <w:rFonts w:ascii="Times New Roman" w:hAnsi="Times New Roman" w:cs="Times New Roman"/>
                <w:sz w:val="24"/>
                <w:szCs w:val="24"/>
              </w:rPr>
              <w:t>Simps</w:t>
            </w:r>
            <w:proofErr w:type="spellEnd"/>
          </w:p>
        </w:tc>
        <w:tc>
          <w:tcPr>
            <w:tcW w:w="1827" w:type="dxa"/>
          </w:tcPr>
          <w:p w:rsidR="001469CA" w:rsidRDefault="003035CC" w:rsidP="00726187">
            <w:pPr>
              <w:jc w:val="center"/>
              <w:rPr>
                <w:rFonts w:ascii="Times New Roman" w:hAnsi="Times New Roman" w:cs="Times New Roman"/>
                <w:sz w:val="24"/>
                <w:szCs w:val="24"/>
              </w:rPr>
            </w:pPr>
            <w:r>
              <w:rPr>
                <w:rFonts w:ascii="Times New Roman" w:hAnsi="Times New Roman" w:cs="Times New Roman"/>
                <w:sz w:val="24"/>
                <w:szCs w:val="24"/>
              </w:rPr>
              <w:t>1.397558</w:t>
            </w:r>
          </w:p>
        </w:tc>
        <w:tc>
          <w:tcPr>
            <w:tcW w:w="2070" w:type="dxa"/>
          </w:tcPr>
          <w:p w:rsidR="001469CA" w:rsidRDefault="00726187" w:rsidP="00726187">
            <w:pPr>
              <w:jc w:val="center"/>
              <w:rPr>
                <w:rFonts w:ascii="Times New Roman" w:hAnsi="Times New Roman" w:cs="Times New Roman"/>
                <w:sz w:val="24"/>
                <w:szCs w:val="24"/>
              </w:rPr>
            </w:pPr>
            <w:r>
              <w:rPr>
                <w:rFonts w:ascii="Times New Roman" w:hAnsi="Times New Roman" w:cs="Times New Roman"/>
                <w:sz w:val="24"/>
                <w:szCs w:val="24"/>
              </w:rPr>
              <w:t>0.341582</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&lt;0.001</w:t>
            </w:r>
            <w:r w:rsidRPr="00411F4C">
              <w:rPr>
                <w:rFonts w:ascii="Times New Roman" w:hAnsi="Times New Roman" w:cs="Times New Roman"/>
                <w:sz w:val="16"/>
                <w:szCs w:val="16"/>
              </w:rPr>
              <w:t>***</w:t>
            </w:r>
          </w:p>
        </w:tc>
      </w:tr>
      <w:tr w:rsidR="00896923" w:rsidTr="00411F4C">
        <w:tc>
          <w:tcPr>
            <w:tcW w:w="1773" w:type="dxa"/>
          </w:tcPr>
          <w:p w:rsidR="001469CA" w:rsidRPr="00BD27EB" w:rsidRDefault="00BD27EB" w:rsidP="009B4A34">
            <w:pPr>
              <w:rPr>
                <w:rFonts w:ascii="Times New Roman" w:hAnsi="Times New Roman" w:cs="Times New Roman"/>
                <w:sz w:val="24"/>
                <w:szCs w:val="24"/>
                <w:vertAlign w:val="superscript"/>
              </w:rPr>
            </w:pPr>
            <w:r>
              <w:rPr>
                <w:rFonts w:ascii="Times New Roman" w:hAnsi="Times New Roman" w:cs="Times New Roman"/>
                <w:sz w:val="24"/>
                <w:szCs w:val="24"/>
              </w:rPr>
              <w:t>Simps</w:t>
            </w:r>
            <w:r>
              <w:rPr>
                <w:rFonts w:ascii="Times New Roman" w:hAnsi="Times New Roman" w:cs="Times New Roman"/>
                <w:sz w:val="24"/>
                <w:szCs w:val="24"/>
                <w:vertAlign w:val="superscript"/>
              </w:rPr>
              <w:t>2</w:t>
            </w:r>
          </w:p>
        </w:tc>
        <w:tc>
          <w:tcPr>
            <w:tcW w:w="1827"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-0.248</w:t>
            </w:r>
            <w:r w:rsidR="003035CC">
              <w:rPr>
                <w:rFonts w:ascii="Times New Roman" w:hAnsi="Times New Roman" w:cs="Times New Roman"/>
                <w:sz w:val="24"/>
                <w:szCs w:val="24"/>
              </w:rPr>
              <w:t>075</w:t>
            </w:r>
          </w:p>
        </w:tc>
        <w:tc>
          <w:tcPr>
            <w:tcW w:w="207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0.071</w:t>
            </w:r>
            <w:r w:rsidR="00726187">
              <w:rPr>
                <w:rFonts w:ascii="Times New Roman" w:hAnsi="Times New Roman" w:cs="Times New Roman"/>
                <w:sz w:val="24"/>
                <w:szCs w:val="24"/>
              </w:rPr>
              <w:t>203</w:t>
            </w:r>
          </w:p>
        </w:tc>
        <w:tc>
          <w:tcPr>
            <w:tcW w:w="1980" w:type="dxa"/>
          </w:tcPr>
          <w:p w:rsidR="001469CA" w:rsidRDefault="00BD27EB" w:rsidP="00726187">
            <w:pPr>
              <w:jc w:val="center"/>
              <w:rPr>
                <w:rFonts w:ascii="Times New Roman" w:hAnsi="Times New Roman" w:cs="Times New Roman"/>
                <w:sz w:val="24"/>
                <w:szCs w:val="24"/>
              </w:rPr>
            </w:pPr>
            <w:r>
              <w:rPr>
                <w:rFonts w:ascii="Times New Roman" w:hAnsi="Times New Roman" w:cs="Times New Roman"/>
                <w:sz w:val="24"/>
                <w:szCs w:val="24"/>
              </w:rPr>
              <w:t>&lt;0.001</w:t>
            </w:r>
            <w:r w:rsidRPr="00411F4C">
              <w:rPr>
                <w:rFonts w:ascii="Times New Roman" w:hAnsi="Times New Roman" w:cs="Times New Roman"/>
                <w:sz w:val="16"/>
                <w:szCs w:val="16"/>
              </w:rPr>
              <w:t>***</w:t>
            </w:r>
          </w:p>
        </w:tc>
      </w:tr>
      <w:tr w:rsidR="00BD27EB" w:rsidTr="00411F4C">
        <w:tc>
          <w:tcPr>
            <w:tcW w:w="1773" w:type="dxa"/>
          </w:tcPr>
          <w:p w:rsidR="00BD27EB" w:rsidRDefault="00BD27EB" w:rsidP="009B4A34">
            <w:pPr>
              <w:rPr>
                <w:rFonts w:ascii="Times New Roman" w:hAnsi="Times New Roman" w:cs="Times New Roman"/>
                <w:sz w:val="24"/>
                <w:szCs w:val="24"/>
              </w:rPr>
            </w:pPr>
            <w:r>
              <w:rPr>
                <w:rFonts w:ascii="Times New Roman" w:hAnsi="Times New Roman" w:cs="Times New Roman"/>
                <w:sz w:val="24"/>
                <w:szCs w:val="24"/>
              </w:rPr>
              <w:t>Rural</w:t>
            </w:r>
          </w:p>
        </w:tc>
        <w:tc>
          <w:tcPr>
            <w:tcW w:w="1827" w:type="dxa"/>
          </w:tcPr>
          <w:p w:rsidR="00BD27EB" w:rsidRDefault="00BD27EB" w:rsidP="00726187">
            <w:pPr>
              <w:jc w:val="center"/>
              <w:rPr>
                <w:rFonts w:ascii="Times New Roman" w:hAnsi="Times New Roman" w:cs="Times New Roman"/>
                <w:sz w:val="24"/>
                <w:szCs w:val="24"/>
              </w:rPr>
            </w:pPr>
            <w:r>
              <w:rPr>
                <w:rFonts w:ascii="Times New Roman" w:hAnsi="Times New Roman" w:cs="Times New Roman"/>
                <w:sz w:val="24"/>
                <w:szCs w:val="24"/>
              </w:rPr>
              <w:t>0.537</w:t>
            </w:r>
            <w:r w:rsidR="003035CC">
              <w:rPr>
                <w:rFonts w:ascii="Times New Roman" w:hAnsi="Times New Roman" w:cs="Times New Roman"/>
                <w:sz w:val="24"/>
                <w:szCs w:val="24"/>
              </w:rPr>
              <w:t>093</w:t>
            </w:r>
          </w:p>
        </w:tc>
        <w:tc>
          <w:tcPr>
            <w:tcW w:w="2070" w:type="dxa"/>
          </w:tcPr>
          <w:p w:rsidR="00BD27EB" w:rsidRDefault="00BD27EB" w:rsidP="00726187">
            <w:pPr>
              <w:jc w:val="center"/>
              <w:rPr>
                <w:rFonts w:ascii="Times New Roman" w:hAnsi="Times New Roman" w:cs="Times New Roman"/>
                <w:sz w:val="24"/>
                <w:szCs w:val="24"/>
              </w:rPr>
            </w:pPr>
            <w:r>
              <w:rPr>
                <w:rFonts w:ascii="Times New Roman" w:hAnsi="Times New Roman" w:cs="Times New Roman"/>
                <w:sz w:val="24"/>
                <w:szCs w:val="24"/>
              </w:rPr>
              <w:t>0.272</w:t>
            </w:r>
            <w:r w:rsidR="00726187">
              <w:rPr>
                <w:rFonts w:ascii="Times New Roman" w:hAnsi="Times New Roman" w:cs="Times New Roman"/>
                <w:sz w:val="24"/>
                <w:szCs w:val="24"/>
              </w:rPr>
              <w:t>136</w:t>
            </w:r>
          </w:p>
        </w:tc>
        <w:tc>
          <w:tcPr>
            <w:tcW w:w="1980" w:type="dxa"/>
          </w:tcPr>
          <w:p w:rsidR="00BD27EB"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0.051</w:t>
            </w:r>
          </w:p>
        </w:tc>
      </w:tr>
      <w:tr w:rsidR="00BD27EB" w:rsidTr="00411F4C">
        <w:tc>
          <w:tcPr>
            <w:tcW w:w="1773" w:type="dxa"/>
          </w:tcPr>
          <w:p w:rsidR="00BD27EB" w:rsidRDefault="003035CC" w:rsidP="009B4A34">
            <w:pPr>
              <w:rPr>
                <w:rFonts w:ascii="Times New Roman" w:hAnsi="Times New Roman" w:cs="Times New Roman"/>
                <w:sz w:val="24"/>
                <w:szCs w:val="24"/>
              </w:rPr>
            </w:pPr>
            <w:r>
              <w:rPr>
                <w:rFonts w:ascii="Times New Roman" w:hAnsi="Times New Roman" w:cs="Times New Roman"/>
                <w:sz w:val="24"/>
                <w:szCs w:val="24"/>
              </w:rPr>
              <w:t>Liquor</w:t>
            </w:r>
          </w:p>
        </w:tc>
        <w:tc>
          <w:tcPr>
            <w:tcW w:w="1827" w:type="dxa"/>
          </w:tcPr>
          <w:p w:rsidR="00BD27EB"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0.003097</w:t>
            </w:r>
          </w:p>
        </w:tc>
        <w:tc>
          <w:tcPr>
            <w:tcW w:w="2070" w:type="dxa"/>
          </w:tcPr>
          <w:p w:rsidR="00BD27EB"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0.001</w:t>
            </w:r>
            <w:r w:rsidR="00726187">
              <w:rPr>
                <w:rFonts w:ascii="Times New Roman" w:hAnsi="Times New Roman" w:cs="Times New Roman"/>
                <w:sz w:val="24"/>
                <w:szCs w:val="24"/>
              </w:rPr>
              <w:t>220</w:t>
            </w:r>
          </w:p>
        </w:tc>
        <w:tc>
          <w:tcPr>
            <w:tcW w:w="1980" w:type="dxa"/>
          </w:tcPr>
          <w:p w:rsidR="00BD27EB"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0.012</w:t>
            </w:r>
            <w:r w:rsidRPr="00411F4C">
              <w:rPr>
                <w:rFonts w:ascii="Times New Roman" w:hAnsi="Times New Roman" w:cs="Times New Roman"/>
                <w:sz w:val="16"/>
                <w:szCs w:val="16"/>
              </w:rPr>
              <w:t>*</w:t>
            </w:r>
          </w:p>
        </w:tc>
      </w:tr>
      <w:tr w:rsidR="003035CC" w:rsidTr="00411F4C">
        <w:tc>
          <w:tcPr>
            <w:tcW w:w="1773" w:type="dxa"/>
          </w:tcPr>
          <w:p w:rsidR="003035CC" w:rsidRDefault="003035CC" w:rsidP="009B4A34">
            <w:pPr>
              <w:rPr>
                <w:rFonts w:ascii="Times New Roman" w:hAnsi="Times New Roman" w:cs="Times New Roman"/>
                <w:sz w:val="24"/>
                <w:szCs w:val="24"/>
              </w:rPr>
            </w:pPr>
            <w:r>
              <w:rPr>
                <w:rFonts w:ascii="Times New Roman" w:hAnsi="Times New Roman" w:cs="Times New Roman"/>
                <w:sz w:val="24"/>
                <w:szCs w:val="24"/>
              </w:rPr>
              <w:t>Rural*Liquor</w:t>
            </w:r>
          </w:p>
        </w:tc>
        <w:tc>
          <w:tcPr>
            <w:tcW w:w="1827" w:type="dxa"/>
          </w:tcPr>
          <w:p w:rsidR="003035CC"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-0.002993</w:t>
            </w:r>
          </w:p>
        </w:tc>
        <w:tc>
          <w:tcPr>
            <w:tcW w:w="2070" w:type="dxa"/>
          </w:tcPr>
          <w:p w:rsidR="003035CC"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0.001</w:t>
            </w:r>
            <w:r w:rsidR="00726187">
              <w:rPr>
                <w:rFonts w:ascii="Times New Roman" w:hAnsi="Times New Roman" w:cs="Times New Roman"/>
                <w:sz w:val="24"/>
                <w:szCs w:val="24"/>
              </w:rPr>
              <w:t>229</w:t>
            </w:r>
          </w:p>
        </w:tc>
        <w:tc>
          <w:tcPr>
            <w:tcW w:w="1980" w:type="dxa"/>
          </w:tcPr>
          <w:p w:rsidR="003035CC" w:rsidRDefault="003035CC" w:rsidP="00726187">
            <w:pPr>
              <w:jc w:val="center"/>
              <w:rPr>
                <w:rFonts w:ascii="Times New Roman" w:hAnsi="Times New Roman" w:cs="Times New Roman"/>
                <w:sz w:val="24"/>
                <w:szCs w:val="24"/>
              </w:rPr>
            </w:pPr>
            <w:r>
              <w:rPr>
                <w:rFonts w:ascii="Times New Roman" w:hAnsi="Times New Roman" w:cs="Times New Roman"/>
                <w:sz w:val="24"/>
                <w:szCs w:val="24"/>
              </w:rPr>
              <w:t>0.016</w:t>
            </w:r>
            <w:r w:rsidRPr="00411F4C">
              <w:rPr>
                <w:rFonts w:ascii="Times New Roman" w:hAnsi="Times New Roman" w:cs="Times New Roman"/>
                <w:sz w:val="16"/>
                <w:szCs w:val="16"/>
              </w:rPr>
              <w:t>*</w:t>
            </w:r>
          </w:p>
        </w:tc>
      </w:tr>
      <w:tr w:rsidR="00896923" w:rsidTr="00411F4C">
        <w:tc>
          <w:tcPr>
            <w:tcW w:w="1773" w:type="dxa"/>
          </w:tcPr>
          <w:p w:rsidR="001469CA" w:rsidRDefault="00BD27EB" w:rsidP="009B4A34">
            <w:pPr>
              <w:rPr>
                <w:rFonts w:ascii="Times New Roman" w:hAnsi="Times New Roman" w:cs="Times New Roman"/>
                <w:sz w:val="24"/>
                <w:szCs w:val="24"/>
              </w:rPr>
            </w:pPr>
            <w:r>
              <w:rPr>
                <w:rFonts w:ascii="Times New Roman" w:hAnsi="Times New Roman" w:cs="Times New Roman"/>
                <w:sz w:val="24"/>
                <w:szCs w:val="24"/>
              </w:rPr>
              <w:t>Rural*</w:t>
            </w:r>
            <w:proofErr w:type="spellStart"/>
            <w:r>
              <w:rPr>
                <w:rFonts w:ascii="Times New Roman" w:hAnsi="Times New Roman" w:cs="Times New Roman"/>
                <w:sz w:val="24"/>
                <w:szCs w:val="24"/>
              </w:rPr>
              <w:t>Simps</w:t>
            </w:r>
            <w:proofErr w:type="spellEnd"/>
          </w:p>
        </w:tc>
        <w:tc>
          <w:tcPr>
            <w:tcW w:w="1827" w:type="dxa"/>
          </w:tcPr>
          <w:p w:rsidR="001469CA" w:rsidRDefault="003035CC" w:rsidP="00726187">
            <w:pPr>
              <w:jc w:val="center"/>
              <w:rPr>
                <w:rFonts w:ascii="Times New Roman" w:hAnsi="Times New Roman" w:cs="Times New Roman"/>
                <w:sz w:val="24"/>
                <w:szCs w:val="24"/>
              </w:rPr>
            </w:pPr>
            <w:r>
              <w:rPr>
                <w:rFonts w:ascii="Times New Roman" w:hAnsi="Times New Roman" w:cs="Times New Roman"/>
                <w:sz w:val="24"/>
                <w:szCs w:val="24"/>
              </w:rPr>
              <w:t>-0.265700</w:t>
            </w:r>
          </w:p>
        </w:tc>
        <w:tc>
          <w:tcPr>
            <w:tcW w:w="2070" w:type="dxa"/>
          </w:tcPr>
          <w:p w:rsidR="001469CA" w:rsidRDefault="003035CC" w:rsidP="00726187">
            <w:pPr>
              <w:jc w:val="center"/>
              <w:rPr>
                <w:rFonts w:ascii="Times New Roman" w:hAnsi="Times New Roman" w:cs="Times New Roman"/>
                <w:sz w:val="24"/>
                <w:szCs w:val="24"/>
              </w:rPr>
            </w:pPr>
            <w:r>
              <w:rPr>
                <w:rFonts w:ascii="Times New Roman" w:hAnsi="Times New Roman" w:cs="Times New Roman"/>
                <w:sz w:val="24"/>
                <w:szCs w:val="24"/>
              </w:rPr>
              <w:t>0.141167</w:t>
            </w:r>
          </w:p>
        </w:tc>
        <w:tc>
          <w:tcPr>
            <w:tcW w:w="1980" w:type="dxa"/>
          </w:tcPr>
          <w:p w:rsidR="001469CA" w:rsidRDefault="00726187" w:rsidP="00726187">
            <w:pPr>
              <w:jc w:val="center"/>
              <w:rPr>
                <w:rFonts w:ascii="Times New Roman" w:hAnsi="Times New Roman" w:cs="Times New Roman"/>
                <w:sz w:val="24"/>
                <w:szCs w:val="24"/>
              </w:rPr>
            </w:pPr>
            <w:r>
              <w:rPr>
                <w:rFonts w:ascii="Times New Roman" w:hAnsi="Times New Roman" w:cs="Times New Roman"/>
                <w:sz w:val="24"/>
                <w:szCs w:val="24"/>
              </w:rPr>
              <w:t>0.062</w:t>
            </w:r>
          </w:p>
        </w:tc>
      </w:tr>
    </w:tbl>
    <w:p w:rsidR="001469CA" w:rsidRDefault="001469CA" w:rsidP="009B4A34">
      <w:pPr>
        <w:ind w:left="360"/>
        <w:rPr>
          <w:rFonts w:ascii="Times New Roman" w:hAnsi="Times New Roman" w:cs="Times New Roman"/>
          <w:sz w:val="24"/>
          <w:szCs w:val="24"/>
        </w:rPr>
      </w:pPr>
    </w:p>
    <w:p w:rsidR="00EB52D3" w:rsidRDefault="00EB52D3" w:rsidP="00257A2B">
      <w:pPr>
        <w:tabs>
          <w:tab w:val="left" w:pos="7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w:t>
      </w:r>
      <w:r>
        <w:rPr>
          <w:rFonts w:ascii="Times New Roman" w:hAnsi="Times New Roman" w:cs="Times New Roman"/>
          <w:sz w:val="24"/>
          <w:szCs w:val="24"/>
        </w:rPr>
        <w:t xml:space="preserve">-value </w:t>
      </w:r>
      <w:r w:rsidR="00B84F19">
        <w:rPr>
          <w:rFonts w:ascii="Times New Roman" w:hAnsi="Times New Roman" w:cs="Times New Roman"/>
          <w:sz w:val="24"/>
          <w:szCs w:val="24"/>
        </w:rPr>
        <w:t>for the entire model was found to be 1.686e-05 and the adjusted R-squared value was 0.2131.</w:t>
      </w:r>
      <w:r w:rsidR="00053217">
        <w:rPr>
          <w:rFonts w:ascii="Times New Roman" w:hAnsi="Times New Roman" w:cs="Times New Roman"/>
          <w:sz w:val="24"/>
          <w:szCs w:val="24"/>
        </w:rPr>
        <w:t xml:space="preserve"> </w:t>
      </w:r>
      <w:r w:rsidR="00BE4CCC">
        <w:rPr>
          <w:rFonts w:ascii="Times New Roman" w:hAnsi="Times New Roman" w:cs="Times New Roman"/>
          <w:sz w:val="24"/>
          <w:szCs w:val="24"/>
        </w:rPr>
        <w:t xml:space="preserve">All but two variables were proved to be significant with a </w:t>
      </w:r>
      <w:r w:rsidR="00BE4CCC">
        <w:rPr>
          <w:rFonts w:ascii="Times New Roman" w:hAnsi="Times New Roman" w:cs="Times New Roman"/>
          <w:i/>
          <w:sz w:val="24"/>
          <w:szCs w:val="24"/>
        </w:rPr>
        <w:t>p</w:t>
      </w:r>
      <w:r w:rsidR="00032902">
        <w:rPr>
          <w:rFonts w:ascii="Times New Roman" w:hAnsi="Times New Roman" w:cs="Times New Roman"/>
          <w:sz w:val="24"/>
          <w:szCs w:val="24"/>
        </w:rPr>
        <w:t xml:space="preserve">-value less than </w:t>
      </w:r>
      <w:r w:rsidR="00BE4CCC">
        <w:rPr>
          <w:rFonts w:ascii="Times New Roman" w:hAnsi="Times New Roman" w:cs="Times New Roman"/>
          <w:sz w:val="24"/>
          <w:szCs w:val="24"/>
        </w:rPr>
        <w:t>0.05</w:t>
      </w:r>
      <w:r w:rsidR="00032902">
        <w:rPr>
          <w:rFonts w:ascii="Times New Roman" w:hAnsi="Times New Roman" w:cs="Times New Roman"/>
          <w:sz w:val="24"/>
          <w:szCs w:val="24"/>
        </w:rPr>
        <w:t>, which was our significance level</w:t>
      </w:r>
      <w:r w:rsidR="00BE4CCC">
        <w:rPr>
          <w:rFonts w:ascii="Times New Roman" w:hAnsi="Times New Roman" w:cs="Times New Roman"/>
          <w:sz w:val="24"/>
          <w:szCs w:val="24"/>
        </w:rPr>
        <w:t>. The two which were not (Rural and Rural*</w:t>
      </w:r>
      <w:proofErr w:type="spellStart"/>
      <w:r w:rsidR="00BE4CCC">
        <w:rPr>
          <w:rFonts w:ascii="Times New Roman" w:hAnsi="Times New Roman" w:cs="Times New Roman"/>
          <w:sz w:val="24"/>
          <w:szCs w:val="24"/>
        </w:rPr>
        <w:t>Simps</w:t>
      </w:r>
      <w:proofErr w:type="spellEnd"/>
      <w:r w:rsidR="00BE4CCC">
        <w:rPr>
          <w:rFonts w:ascii="Times New Roman" w:hAnsi="Times New Roman" w:cs="Times New Roman"/>
          <w:sz w:val="24"/>
          <w:szCs w:val="24"/>
        </w:rPr>
        <w:t>) had very close numbers though (</w:t>
      </w:r>
      <w:r w:rsidR="00C36352">
        <w:rPr>
          <w:rFonts w:ascii="Times New Roman" w:hAnsi="Times New Roman" w:cs="Times New Roman"/>
          <w:sz w:val="24"/>
          <w:szCs w:val="24"/>
        </w:rPr>
        <w:t>0.051 and 0.06</w:t>
      </w:r>
      <w:r w:rsidR="00BE4CCC">
        <w:rPr>
          <w:rFonts w:ascii="Times New Roman" w:hAnsi="Times New Roman" w:cs="Times New Roman"/>
          <w:sz w:val="24"/>
          <w:szCs w:val="24"/>
        </w:rPr>
        <w:t>2, respectively).</w:t>
      </w:r>
      <w:r w:rsidR="005F6BB0">
        <w:rPr>
          <w:rFonts w:ascii="Times New Roman" w:hAnsi="Times New Roman" w:cs="Times New Roman"/>
          <w:sz w:val="24"/>
          <w:szCs w:val="24"/>
        </w:rPr>
        <w:t xml:space="preserve"> There was a mix of positive and negative coefficient estimates. Percent of Greek life squared, percent of population that was male </w:t>
      </w:r>
      <w:r w:rsidR="005F6BB0">
        <w:rPr>
          <w:rFonts w:ascii="Times New Roman" w:hAnsi="Times New Roman" w:cs="Times New Roman"/>
          <w:sz w:val="24"/>
          <w:szCs w:val="24"/>
        </w:rPr>
        <w:lastRenderedPageBreak/>
        <w:t>squared, Simpson’s Diversity Index squared, Rural times Liquor, and Rural times Simpson’s Diversity Index all had negative values. The linear terms of the squared variables were all positive. This implies there is a positive association between these variables (percent Greek, percent of population that was male, and Simpson’s Diversity Index) and the square root of crime rates. The negative sign for the squared terms suggests that although an increase in these variables increases the response variable</w:t>
      </w:r>
      <w:r w:rsidR="00780741">
        <w:rPr>
          <w:rFonts w:ascii="Times New Roman" w:hAnsi="Times New Roman" w:cs="Times New Roman"/>
          <w:sz w:val="24"/>
          <w:szCs w:val="24"/>
        </w:rPr>
        <w:t>, at some point the values will reach</w:t>
      </w:r>
      <w:r w:rsidR="00242443">
        <w:rPr>
          <w:rFonts w:ascii="Times New Roman" w:hAnsi="Times New Roman" w:cs="Times New Roman"/>
          <w:sz w:val="24"/>
          <w:szCs w:val="24"/>
        </w:rPr>
        <w:t xml:space="preserve"> a threshold and the square root of crime will </w:t>
      </w:r>
      <w:r w:rsidR="005F6BB0">
        <w:rPr>
          <w:rFonts w:ascii="Times New Roman" w:hAnsi="Times New Roman" w:cs="Times New Roman"/>
          <w:sz w:val="24"/>
          <w:szCs w:val="24"/>
        </w:rPr>
        <w:t>begin to decrease</w:t>
      </w:r>
      <w:r w:rsidR="006C08BC">
        <w:rPr>
          <w:rFonts w:ascii="Times New Roman" w:hAnsi="Times New Roman" w:cs="Times New Roman"/>
          <w:sz w:val="24"/>
          <w:szCs w:val="24"/>
        </w:rPr>
        <w:t>, keeping all other variables constant</w:t>
      </w:r>
      <w:r w:rsidR="005F6BB0">
        <w:rPr>
          <w:rFonts w:ascii="Times New Roman" w:hAnsi="Times New Roman" w:cs="Times New Roman"/>
          <w:sz w:val="24"/>
          <w:szCs w:val="24"/>
        </w:rPr>
        <w:t>.</w:t>
      </w:r>
      <w:r w:rsidR="000E58C2">
        <w:rPr>
          <w:rFonts w:ascii="Times New Roman" w:hAnsi="Times New Roman" w:cs="Times New Roman"/>
          <w:sz w:val="24"/>
          <w:szCs w:val="24"/>
        </w:rPr>
        <w:t xml:space="preserve"> Linear terms with negative coefficients (Rural*Liquor and Rural*</w:t>
      </w:r>
      <w:proofErr w:type="spellStart"/>
      <w:r w:rsidR="000E58C2">
        <w:rPr>
          <w:rFonts w:ascii="Times New Roman" w:hAnsi="Times New Roman" w:cs="Times New Roman"/>
          <w:sz w:val="24"/>
          <w:szCs w:val="24"/>
        </w:rPr>
        <w:t>Simps</w:t>
      </w:r>
      <w:proofErr w:type="spellEnd"/>
      <w:r w:rsidR="000E58C2">
        <w:rPr>
          <w:rFonts w:ascii="Times New Roman" w:hAnsi="Times New Roman" w:cs="Times New Roman"/>
          <w:sz w:val="24"/>
          <w:szCs w:val="24"/>
        </w:rPr>
        <w:t>) imply a negative association with the square root of crime rates.</w:t>
      </w:r>
      <w:r w:rsidR="00897C4E">
        <w:rPr>
          <w:rFonts w:ascii="Times New Roman" w:hAnsi="Times New Roman" w:cs="Times New Roman"/>
          <w:sz w:val="24"/>
          <w:szCs w:val="24"/>
        </w:rPr>
        <w:t xml:space="preserve"> Linear terms with positive coefficients denote a positive association with the square root of crime rates.</w:t>
      </w:r>
    </w:p>
    <w:p w:rsidR="003C7137" w:rsidRDefault="00C71ED9" w:rsidP="003C7137">
      <w:pPr>
        <w:tabs>
          <w:tab w:val="left" w:pos="7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The Q-Q plot and histogram of residuals for the model were approximately normal. The plot of the fitted values versus residuals did not show evidence of non-constant variance. The residuals were evenly distributed and there were no signs of systematic patterns.</w:t>
      </w:r>
    </w:p>
    <w:p w:rsidR="00272307" w:rsidRPr="00272307" w:rsidRDefault="00272307" w:rsidP="00E04BFF">
      <w:pPr>
        <w:pStyle w:val="ListParagraph"/>
        <w:numPr>
          <w:ilvl w:val="0"/>
          <w:numId w:val="1"/>
        </w:numPr>
        <w:spacing w:line="480" w:lineRule="auto"/>
        <w:ind w:left="360"/>
        <w:rPr>
          <w:rFonts w:ascii="Times New Roman" w:hAnsi="Times New Roman" w:cs="Times New Roman"/>
          <w:b/>
          <w:sz w:val="24"/>
          <w:szCs w:val="24"/>
        </w:rPr>
      </w:pPr>
      <w:r w:rsidRPr="00272307">
        <w:rPr>
          <w:rFonts w:ascii="Times New Roman" w:hAnsi="Times New Roman" w:cs="Times New Roman"/>
          <w:b/>
          <w:sz w:val="24"/>
          <w:szCs w:val="24"/>
        </w:rPr>
        <w:t>Geographical Analysis</w:t>
      </w:r>
    </w:p>
    <w:p w:rsidR="00272307" w:rsidRPr="00272307" w:rsidRDefault="00272307" w:rsidP="00272307">
      <w:pPr>
        <w:spacing w:line="480" w:lineRule="auto"/>
        <w:rPr>
          <w:rFonts w:ascii="Times New Roman" w:hAnsi="Times New Roman" w:cs="Times New Roman"/>
          <w:sz w:val="24"/>
          <w:szCs w:val="24"/>
        </w:rPr>
      </w:pPr>
      <w:r w:rsidRPr="00272307">
        <w:rPr>
          <w:rFonts w:ascii="Times New Roman" w:hAnsi="Times New Roman" w:cs="Times New Roman"/>
          <w:sz w:val="24"/>
          <w:szCs w:val="24"/>
        </w:rPr>
        <w:tab/>
        <w:t>Using the mapping software, ArcGIS, we mapped the Crime rates at all the schools and separated the schools between Rura</w:t>
      </w:r>
      <w:r w:rsidR="00E04BFF">
        <w:rPr>
          <w:rFonts w:ascii="Times New Roman" w:hAnsi="Times New Roman" w:cs="Times New Roman"/>
          <w:sz w:val="24"/>
          <w:szCs w:val="24"/>
        </w:rPr>
        <w:t xml:space="preserve">l and </w:t>
      </w:r>
      <w:proofErr w:type="gramStart"/>
      <w:r w:rsidR="00E04BFF">
        <w:rPr>
          <w:rFonts w:ascii="Times New Roman" w:hAnsi="Times New Roman" w:cs="Times New Roman"/>
          <w:sz w:val="24"/>
          <w:szCs w:val="24"/>
        </w:rPr>
        <w:t>Urban</w:t>
      </w:r>
      <w:proofErr w:type="gramEnd"/>
      <w:r w:rsidR="00E04BFF">
        <w:rPr>
          <w:rFonts w:ascii="Times New Roman" w:hAnsi="Times New Roman" w:cs="Times New Roman"/>
          <w:sz w:val="24"/>
          <w:szCs w:val="24"/>
        </w:rPr>
        <w:t xml:space="preserve"> cities (see Figure 1).</w:t>
      </w:r>
    </w:p>
    <w:p w:rsidR="00E04BFF" w:rsidRDefault="00E04BFF" w:rsidP="0058364D">
      <w:pPr>
        <w:spacing w:line="480" w:lineRule="auto"/>
        <w:jc w:val="center"/>
        <w:rPr>
          <w:rFonts w:ascii="Times New Roman" w:hAnsi="Times New Roman" w:cs="Times New Roman"/>
          <w:b/>
          <w:sz w:val="24"/>
          <w:szCs w:val="24"/>
        </w:rPr>
      </w:pPr>
      <w:r>
        <w:rPr>
          <w:noProof/>
        </w:rPr>
        <w:lastRenderedPageBreak/>
        <w:drawing>
          <wp:inline distT="0" distB="0" distL="0" distR="0">
            <wp:extent cx="2349500" cy="13002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677" cy="1300340"/>
                    </a:xfrm>
                    <a:prstGeom prst="rect">
                      <a:avLst/>
                    </a:prstGeom>
                    <a:solidFill>
                      <a:srgbClr val="FFFFFF"/>
                    </a:solidFill>
                    <a:ln>
                      <a:noFill/>
                    </a:ln>
                  </pic:spPr>
                </pic:pic>
              </a:graphicData>
            </a:graphic>
          </wp:inline>
        </w:drawing>
      </w:r>
      <w:r>
        <w:rPr>
          <w:noProof/>
        </w:rPr>
        <w:drawing>
          <wp:anchor distT="0" distB="0" distL="0" distR="0" simplePos="0" relativeHeight="251664384" behindDoc="0" locked="0" layoutInCell="1" allowOverlap="1" wp14:anchorId="54BEE9C2" wp14:editId="3B1AA53F">
            <wp:simplePos x="0" y="0"/>
            <wp:positionH relativeFrom="column">
              <wp:posOffset>88900</wp:posOffset>
            </wp:positionH>
            <wp:positionV relativeFrom="paragraph">
              <wp:posOffset>201295</wp:posOffset>
            </wp:positionV>
            <wp:extent cx="6203950" cy="2463800"/>
            <wp:effectExtent l="0" t="0" r="635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803" t="34545" r="1164" b="15065"/>
                    <a:stretch/>
                  </pic:blipFill>
                  <pic:spPr bwMode="auto">
                    <a:xfrm>
                      <a:off x="0" y="0"/>
                      <a:ext cx="6203950" cy="24638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B4BC348" wp14:editId="048F9812">
            <wp:extent cx="2673350" cy="1316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103" cy="1317111"/>
                    </a:xfrm>
                    <a:prstGeom prst="rect">
                      <a:avLst/>
                    </a:prstGeom>
                    <a:solidFill>
                      <a:srgbClr val="FFFFFF"/>
                    </a:solidFill>
                    <a:ln>
                      <a:noFill/>
                    </a:ln>
                  </pic:spPr>
                </pic:pic>
              </a:graphicData>
            </a:graphic>
          </wp:inline>
        </w:drawing>
      </w:r>
    </w:p>
    <w:p w:rsidR="00272307" w:rsidRPr="00272307" w:rsidRDefault="00E04BFF" w:rsidP="00E04BFF">
      <w:pPr>
        <w:spacing w:line="480" w:lineRule="auto"/>
        <w:jc w:val="center"/>
        <w:rPr>
          <w:rFonts w:ascii="Times New Roman" w:hAnsi="Times New Roman" w:cs="Times New Roman"/>
          <w:sz w:val="24"/>
          <w:szCs w:val="24"/>
        </w:rPr>
      </w:pPr>
      <w:proofErr w:type="gramStart"/>
      <w:r w:rsidRPr="00E04BFF">
        <w:rPr>
          <w:rFonts w:ascii="Times New Roman" w:hAnsi="Times New Roman" w:cs="Times New Roman"/>
          <w:b/>
          <w:sz w:val="24"/>
          <w:szCs w:val="24"/>
        </w:rPr>
        <w:t>Figure 1</w:t>
      </w:r>
      <w:r w:rsidR="00272307" w:rsidRPr="00E04BFF">
        <w:rPr>
          <w:rFonts w:ascii="Times New Roman" w:hAnsi="Times New Roman" w:cs="Times New Roman"/>
          <w:b/>
          <w:sz w:val="24"/>
          <w:szCs w:val="24"/>
        </w:rPr>
        <w:t>.</w:t>
      </w:r>
      <w:proofErr w:type="gramEnd"/>
      <w:r w:rsidR="00272307" w:rsidRPr="00272307">
        <w:rPr>
          <w:rFonts w:ascii="Times New Roman" w:hAnsi="Times New Roman" w:cs="Times New Roman"/>
          <w:sz w:val="24"/>
          <w:szCs w:val="24"/>
        </w:rPr>
        <w:t xml:space="preserve"> Crime Rates of the s</w:t>
      </w:r>
      <w:r w:rsidR="00272307">
        <w:rPr>
          <w:rFonts w:ascii="Times New Roman" w:hAnsi="Times New Roman" w:cs="Times New Roman"/>
          <w:sz w:val="24"/>
          <w:szCs w:val="24"/>
        </w:rPr>
        <w:t>chools in Urban and Rural Areas</w:t>
      </w:r>
    </w:p>
    <w:p w:rsidR="00272307" w:rsidRPr="00272307" w:rsidRDefault="00272307" w:rsidP="00272307">
      <w:pPr>
        <w:spacing w:line="480" w:lineRule="auto"/>
        <w:rPr>
          <w:rFonts w:ascii="Times New Roman" w:hAnsi="Times New Roman" w:cs="Times New Roman"/>
          <w:sz w:val="24"/>
          <w:szCs w:val="24"/>
        </w:rPr>
      </w:pPr>
      <w:r w:rsidRPr="00272307">
        <w:rPr>
          <w:rFonts w:ascii="Times New Roman" w:hAnsi="Times New Roman" w:cs="Times New Roman"/>
          <w:sz w:val="24"/>
          <w:szCs w:val="24"/>
        </w:rPr>
        <w:tab/>
        <w:t xml:space="preserve">Figure </w:t>
      </w:r>
      <w:r w:rsidR="00E04BFF">
        <w:rPr>
          <w:rFonts w:ascii="Times New Roman" w:hAnsi="Times New Roman" w:cs="Times New Roman"/>
          <w:sz w:val="24"/>
          <w:szCs w:val="24"/>
        </w:rPr>
        <w:t>1</w:t>
      </w:r>
      <w:r w:rsidRPr="00272307">
        <w:rPr>
          <w:rFonts w:ascii="Times New Roman" w:hAnsi="Times New Roman" w:cs="Times New Roman"/>
          <w:sz w:val="24"/>
          <w:szCs w:val="24"/>
        </w:rPr>
        <w:t xml:space="preserve"> shows that most of the Institutions in Urban cities are located in western United States and that most of the Institutions in Rural cities are located in the southeast part of the United States. It was </w:t>
      </w:r>
      <w:r w:rsidR="003C7137">
        <w:rPr>
          <w:rFonts w:ascii="Times New Roman" w:hAnsi="Times New Roman" w:cs="Times New Roman"/>
          <w:sz w:val="24"/>
          <w:szCs w:val="24"/>
        </w:rPr>
        <w:t>interesting to see that of the four</w:t>
      </w:r>
      <w:r w:rsidRPr="00272307">
        <w:rPr>
          <w:rFonts w:ascii="Times New Roman" w:hAnsi="Times New Roman" w:cs="Times New Roman"/>
          <w:sz w:val="24"/>
          <w:szCs w:val="24"/>
        </w:rPr>
        <w:t xml:space="preserve"> schools in Utah the Institution in the </w:t>
      </w:r>
      <w:proofErr w:type="gramStart"/>
      <w:r w:rsidRPr="00272307">
        <w:rPr>
          <w:rFonts w:ascii="Times New Roman" w:hAnsi="Times New Roman" w:cs="Times New Roman"/>
          <w:sz w:val="24"/>
          <w:szCs w:val="24"/>
        </w:rPr>
        <w:t>Rural</w:t>
      </w:r>
      <w:proofErr w:type="gramEnd"/>
      <w:r w:rsidRPr="00272307">
        <w:rPr>
          <w:rFonts w:ascii="Times New Roman" w:hAnsi="Times New Roman" w:cs="Times New Roman"/>
          <w:sz w:val="24"/>
          <w:szCs w:val="24"/>
        </w:rPr>
        <w:t xml:space="preserve"> city had the highest crime rates on campus. The University of Utah had the highest crime rate while Utah State University, Weber State University, and Brigham Young University all had low crime rates and </w:t>
      </w:r>
      <w:proofErr w:type="gramStart"/>
      <w:r w:rsidRPr="00272307">
        <w:rPr>
          <w:rFonts w:ascii="Times New Roman" w:hAnsi="Times New Roman" w:cs="Times New Roman"/>
          <w:sz w:val="24"/>
          <w:szCs w:val="24"/>
        </w:rPr>
        <w:t>are</w:t>
      </w:r>
      <w:proofErr w:type="gramEnd"/>
      <w:r w:rsidRPr="00272307">
        <w:rPr>
          <w:rFonts w:ascii="Times New Roman" w:hAnsi="Times New Roman" w:cs="Times New Roman"/>
          <w:sz w:val="24"/>
          <w:szCs w:val="24"/>
        </w:rPr>
        <w:t xml:space="preserve"> in urban cities.  </w:t>
      </w:r>
    </w:p>
    <w:p w:rsidR="00272307" w:rsidRDefault="00272307" w:rsidP="00272307">
      <w:pPr>
        <w:spacing w:line="480" w:lineRule="auto"/>
        <w:rPr>
          <w:rFonts w:ascii="Times New Roman" w:hAnsi="Times New Roman" w:cs="Times New Roman"/>
          <w:sz w:val="24"/>
          <w:szCs w:val="24"/>
        </w:rPr>
      </w:pPr>
      <w:r w:rsidRPr="00272307">
        <w:rPr>
          <w:rFonts w:ascii="Times New Roman" w:hAnsi="Times New Roman" w:cs="Times New Roman"/>
          <w:sz w:val="24"/>
          <w:szCs w:val="24"/>
        </w:rPr>
        <w:tab/>
        <w:t xml:space="preserve">From the Model we used two interaction terms involving Rural vs. Urban. </w:t>
      </w:r>
      <w:proofErr w:type="gramStart"/>
      <w:r w:rsidRPr="00272307">
        <w:rPr>
          <w:rFonts w:ascii="Times New Roman" w:hAnsi="Times New Roman" w:cs="Times New Roman"/>
          <w:sz w:val="24"/>
          <w:szCs w:val="24"/>
        </w:rPr>
        <w:t>The Rural vs. Urban variable and the Simpson's Diversity Index variable as one of the interactions.</w:t>
      </w:r>
      <w:proofErr w:type="gramEnd"/>
      <w:r w:rsidRPr="00272307">
        <w:rPr>
          <w:rFonts w:ascii="Times New Roman" w:hAnsi="Times New Roman" w:cs="Times New Roman"/>
          <w:sz w:val="24"/>
          <w:szCs w:val="24"/>
        </w:rPr>
        <w:t xml:space="preserve"> Then we used the Rural vs. Urban variable and amount of Liquor stores in a county variable as the other interaction.</w:t>
      </w:r>
    </w:p>
    <w:p w:rsidR="003C7137" w:rsidRPr="003C7137" w:rsidRDefault="003C7137" w:rsidP="003C7137">
      <w:pPr>
        <w:spacing w:line="480" w:lineRule="auto"/>
        <w:ind w:firstLine="720"/>
        <w:rPr>
          <w:rFonts w:ascii="Times New Roman" w:hAnsi="Times New Roman" w:cs="Times New Roman"/>
          <w:sz w:val="24"/>
          <w:szCs w:val="24"/>
        </w:rPr>
      </w:pPr>
      <w:r w:rsidRPr="003C7137">
        <w:rPr>
          <w:rFonts w:ascii="Times New Roman" w:hAnsi="Times New Roman" w:cs="Times New Roman"/>
          <w:sz w:val="24"/>
          <w:szCs w:val="24"/>
        </w:rPr>
        <w:lastRenderedPageBreak/>
        <w:t xml:space="preserve">In order to analyze possible clusters in our data, we used </w:t>
      </w:r>
      <w:proofErr w:type="spellStart"/>
      <w:r w:rsidRPr="003C7137">
        <w:rPr>
          <w:rFonts w:ascii="Times New Roman" w:hAnsi="Times New Roman" w:cs="Times New Roman"/>
          <w:sz w:val="24"/>
          <w:szCs w:val="24"/>
        </w:rPr>
        <w:t>SatScan</w:t>
      </w:r>
      <w:proofErr w:type="spellEnd"/>
      <w:r w:rsidRPr="003C7137">
        <w:rPr>
          <w:rFonts w:ascii="Times New Roman" w:hAnsi="Times New Roman" w:cs="Times New Roman"/>
          <w:sz w:val="24"/>
          <w:szCs w:val="24"/>
        </w:rPr>
        <w:t xml:space="preserve"> and performed a purely spatial analysis scanning for clusters with high rates using the Discrete Poisson Model. In </w:t>
      </w:r>
      <w:proofErr w:type="spellStart"/>
      <w:r w:rsidRPr="003C7137">
        <w:rPr>
          <w:rFonts w:ascii="Times New Roman" w:hAnsi="Times New Roman" w:cs="Times New Roman"/>
          <w:sz w:val="24"/>
          <w:szCs w:val="24"/>
        </w:rPr>
        <w:t>SatScan</w:t>
      </w:r>
      <w:proofErr w:type="spellEnd"/>
      <w:r w:rsidRPr="003C7137">
        <w:rPr>
          <w:rFonts w:ascii="Times New Roman" w:hAnsi="Times New Roman" w:cs="Times New Roman"/>
          <w:sz w:val="24"/>
          <w:szCs w:val="24"/>
        </w:rPr>
        <w:t xml:space="preserve">, we began by taking the largest distance between two observations and divided that distance in half and used it as the initial radius. We continued to divide the radii in half and used a radius of 445. Using this radius we found </w:t>
      </w:r>
      <w:proofErr w:type="gramStart"/>
      <w:r w:rsidRPr="003C7137">
        <w:rPr>
          <w:rFonts w:ascii="Times New Roman" w:hAnsi="Times New Roman" w:cs="Times New Roman"/>
          <w:sz w:val="24"/>
          <w:szCs w:val="24"/>
        </w:rPr>
        <w:t>a small enough clusters</w:t>
      </w:r>
      <w:proofErr w:type="gramEnd"/>
      <w:r w:rsidRPr="003C7137">
        <w:rPr>
          <w:rFonts w:ascii="Times New Roman" w:hAnsi="Times New Roman" w:cs="Times New Roman"/>
          <w:sz w:val="24"/>
          <w:szCs w:val="24"/>
        </w:rPr>
        <w:t xml:space="preserve"> to make observations. One cluster that we found had a </w:t>
      </w:r>
      <w:r>
        <w:rPr>
          <w:rFonts w:ascii="Times New Roman" w:hAnsi="Times New Roman" w:cs="Times New Roman"/>
          <w:sz w:val="24"/>
          <w:szCs w:val="24"/>
        </w:rPr>
        <w:t>radius of 281.60 and contained nine</w:t>
      </w:r>
      <w:r w:rsidRPr="003C7137">
        <w:rPr>
          <w:rFonts w:ascii="Times New Roman" w:hAnsi="Times New Roman" w:cs="Times New Roman"/>
          <w:sz w:val="24"/>
          <w:szCs w:val="24"/>
        </w:rPr>
        <w:t xml:space="preserve"> observations. Within this cluster, Penn State had crime rate of 3.31</w:t>
      </w:r>
      <w:r>
        <w:rPr>
          <w:rFonts w:ascii="Times New Roman" w:hAnsi="Times New Roman" w:cs="Times New Roman"/>
          <w:sz w:val="24"/>
          <w:szCs w:val="24"/>
        </w:rPr>
        <w:t>9 which was different from the eight</w:t>
      </w:r>
      <w:r w:rsidRPr="003C7137">
        <w:rPr>
          <w:rFonts w:ascii="Times New Roman" w:hAnsi="Times New Roman" w:cs="Times New Roman"/>
          <w:sz w:val="24"/>
          <w:szCs w:val="24"/>
        </w:rPr>
        <w:t xml:space="preserve"> other observations. Another cluster with the </w:t>
      </w:r>
      <w:r w:rsidR="00E50075">
        <w:rPr>
          <w:rFonts w:ascii="Times New Roman" w:hAnsi="Times New Roman" w:cs="Times New Roman"/>
          <w:sz w:val="24"/>
          <w:szCs w:val="24"/>
        </w:rPr>
        <w:t>radius of 145.66 and contained four</w:t>
      </w:r>
      <w:r w:rsidRPr="003C7137">
        <w:rPr>
          <w:rFonts w:ascii="Times New Roman" w:hAnsi="Times New Roman" w:cs="Times New Roman"/>
          <w:sz w:val="24"/>
          <w:szCs w:val="24"/>
        </w:rPr>
        <w:t xml:space="preserve"> observations. This cluster contained University of Utah which had a crime rate of 3.095 and essentially different from th</w:t>
      </w:r>
      <w:r>
        <w:rPr>
          <w:rFonts w:ascii="Times New Roman" w:hAnsi="Times New Roman" w:cs="Times New Roman"/>
          <w:sz w:val="24"/>
          <w:szCs w:val="24"/>
        </w:rPr>
        <w:t>e other three</w:t>
      </w:r>
      <w:r w:rsidRPr="003C7137">
        <w:rPr>
          <w:rFonts w:ascii="Times New Roman" w:hAnsi="Times New Roman" w:cs="Times New Roman"/>
          <w:sz w:val="24"/>
          <w:szCs w:val="24"/>
        </w:rPr>
        <w:t xml:space="preserve"> observations. Ultimately, our observation of these clusters links with our observation that rural areas with many liquor stores have more crime.</w:t>
      </w:r>
    </w:p>
    <w:p w:rsidR="003C7137" w:rsidRPr="00272307" w:rsidRDefault="003C7137" w:rsidP="00272307">
      <w:pPr>
        <w:spacing w:line="480" w:lineRule="auto"/>
        <w:rPr>
          <w:rFonts w:ascii="Times New Roman" w:hAnsi="Times New Roman" w:cs="Times New Roman"/>
          <w:sz w:val="24"/>
          <w:szCs w:val="24"/>
        </w:rPr>
      </w:pPr>
    </w:p>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272307" w:rsidRDefault="00272307" w:rsidP="00272307"/>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4D0F4C" w:rsidRDefault="004D0F4C" w:rsidP="00D576ED">
      <w:pPr>
        <w:tabs>
          <w:tab w:val="left" w:pos="720"/>
        </w:tabs>
        <w:ind w:left="360" w:firstLine="360"/>
        <w:rPr>
          <w:rFonts w:ascii="Times New Roman" w:hAnsi="Times New Roman" w:cs="Times New Roman"/>
          <w:sz w:val="24"/>
          <w:szCs w:val="24"/>
        </w:rPr>
      </w:pPr>
    </w:p>
    <w:p w:rsidR="00BA105C" w:rsidRDefault="00BA105C" w:rsidP="00D576ED">
      <w:pPr>
        <w:tabs>
          <w:tab w:val="left" w:pos="720"/>
        </w:tabs>
        <w:ind w:left="360" w:firstLine="360"/>
        <w:rPr>
          <w:rFonts w:ascii="Times New Roman" w:hAnsi="Times New Roman" w:cs="Times New Roman"/>
          <w:sz w:val="24"/>
          <w:szCs w:val="24"/>
        </w:rPr>
      </w:pPr>
    </w:p>
    <w:p w:rsidR="00BA105C" w:rsidRDefault="003C7137" w:rsidP="00BA105C">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F08017C" wp14:editId="412DAEAA">
                <wp:simplePos x="0" y="0"/>
                <wp:positionH relativeFrom="column">
                  <wp:posOffset>-2923540</wp:posOffset>
                </wp:positionH>
                <wp:positionV relativeFrom="paragraph">
                  <wp:posOffset>125095</wp:posOffset>
                </wp:positionV>
                <wp:extent cx="7221220" cy="1131570"/>
                <wp:effectExtent l="0" t="3175" r="1460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221220" cy="1131570"/>
                        </a:xfrm>
                        <a:prstGeom prst="rect">
                          <a:avLst/>
                        </a:prstGeom>
                        <a:solidFill>
                          <a:srgbClr val="FFFFFF"/>
                        </a:solidFill>
                        <a:ln w="9525">
                          <a:solidFill>
                            <a:srgbClr val="000000"/>
                          </a:solidFill>
                          <a:miter lim="800000"/>
                          <a:headEnd/>
                          <a:tailEnd/>
                        </a:ln>
                      </wps:spPr>
                      <wps:txbx>
                        <w:txbxContent>
                          <w:p w:rsidR="004D0F4C" w:rsidRPr="00AF36E7" w:rsidRDefault="00257A2B" w:rsidP="00BA105C">
                            <w:pPr>
                              <w:rPr>
                                <w:rFonts w:ascii="Times New Roman" w:hAnsi="Times New Roman" w:cs="Times New Roman"/>
                                <w:sz w:val="24"/>
                                <w:szCs w:val="24"/>
                              </w:rPr>
                            </w:pPr>
                            <w:proofErr w:type="gramStart"/>
                            <w:r>
                              <w:rPr>
                                <w:rFonts w:ascii="Times New Roman" w:hAnsi="Times New Roman" w:cs="Times New Roman"/>
                                <w:b/>
                                <w:sz w:val="24"/>
                                <w:szCs w:val="24"/>
                              </w:rPr>
                              <w:t>Table 3</w:t>
                            </w:r>
                            <w:r w:rsidR="004D0F4C" w:rsidRPr="00AF36E7">
                              <w:rPr>
                                <w:rFonts w:ascii="Times New Roman" w:hAnsi="Times New Roman" w:cs="Times New Roman"/>
                                <w:b/>
                                <w:sz w:val="24"/>
                                <w:szCs w:val="24"/>
                              </w:rPr>
                              <w:t>.</w:t>
                            </w:r>
                            <w:proofErr w:type="gramEnd"/>
                            <w:r w:rsidR="00FE2CBD">
                              <w:rPr>
                                <w:rFonts w:ascii="Times New Roman" w:hAnsi="Times New Roman" w:cs="Times New Roman"/>
                                <w:sz w:val="24"/>
                                <w:szCs w:val="24"/>
                              </w:rPr>
                              <w:t xml:space="preserve"> The correlation values between respective variables are found on the upper triangle. The lower triangle contains their corresponding </w:t>
                            </w:r>
                            <w:r w:rsidR="00FE2CBD">
                              <w:rPr>
                                <w:rFonts w:ascii="Times New Roman" w:hAnsi="Times New Roman" w:cs="Times New Roman"/>
                                <w:i/>
                                <w:sz w:val="24"/>
                                <w:szCs w:val="24"/>
                              </w:rPr>
                              <w:t>p</w:t>
                            </w:r>
                            <w:r w:rsidR="00FE2CBD">
                              <w:rPr>
                                <w:rFonts w:ascii="Times New Roman" w:hAnsi="Times New Roman" w:cs="Times New Roman"/>
                                <w:sz w:val="24"/>
                                <w:szCs w:val="24"/>
                              </w:rPr>
                              <w:t>-values for the hypothesis test for statistically significant correlation.</w:t>
                            </w:r>
                            <w:r w:rsidR="004D0F4C" w:rsidRPr="00AF36E7">
                              <w:rPr>
                                <w:rFonts w:ascii="Times New Roman" w:hAnsi="Times New Roman" w:cs="Times New Roman"/>
                                <w:sz w:val="24"/>
                                <w:szCs w:val="24"/>
                              </w:rPr>
                              <w:t xml:space="preserve"> One asterisk denotes significance at the hundredth place and two asterisks represent significance at the thousandths place. Values with three asterisks were significant at a decimal place smaller than a thousandth.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0.2pt;margin-top:9.85pt;width:568.6pt;height:89.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">
                <v:textbox>
                  <w:txbxContent>
                    <w:p w:rsidR="004D0F4C" w:rsidRPr="00AF36E7" w:rsidRDefault="00257A2B" w:rsidP="00BA105C">
                      <w:pPr>
                        <w:rPr>
                          <w:rFonts w:ascii="Times New Roman" w:hAnsi="Times New Roman" w:cs="Times New Roman"/>
                          <w:sz w:val="24"/>
                          <w:szCs w:val="24"/>
                        </w:rPr>
                      </w:pPr>
                      <w:proofErr w:type="gramStart"/>
                      <w:r>
                        <w:rPr>
                          <w:rFonts w:ascii="Times New Roman" w:hAnsi="Times New Roman" w:cs="Times New Roman"/>
                          <w:b/>
                          <w:sz w:val="24"/>
                          <w:szCs w:val="24"/>
                        </w:rPr>
                        <w:t>Table 3</w:t>
                      </w:r>
                      <w:r w:rsidR="004D0F4C" w:rsidRPr="00AF36E7">
                        <w:rPr>
                          <w:rFonts w:ascii="Times New Roman" w:hAnsi="Times New Roman" w:cs="Times New Roman"/>
                          <w:b/>
                          <w:sz w:val="24"/>
                          <w:szCs w:val="24"/>
                        </w:rPr>
                        <w:t>.</w:t>
                      </w:r>
                      <w:proofErr w:type="gramEnd"/>
                      <w:r w:rsidR="00FE2CBD">
                        <w:rPr>
                          <w:rFonts w:ascii="Times New Roman" w:hAnsi="Times New Roman" w:cs="Times New Roman"/>
                          <w:sz w:val="24"/>
                          <w:szCs w:val="24"/>
                        </w:rPr>
                        <w:t xml:space="preserve"> The correlation values between respective variables are found on the upper triangle. The lower triangle contains their corresponding </w:t>
                      </w:r>
                      <w:r w:rsidR="00FE2CBD">
                        <w:rPr>
                          <w:rFonts w:ascii="Times New Roman" w:hAnsi="Times New Roman" w:cs="Times New Roman"/>
                          <w:i/>
                          <w:sz w:val="24"/>
                          <w:szCs w:val="24"/>
                        </w:rPr>
                        <w:t>p</w:t>
                      </w:r>
                      <w:r w:rsidR="00FE2CBD">
                        <w:rPr>
                          <w:rFonts w:ascii="Times New Roman" w:hAnsi="Times New Roman" w:cs="Times New Roman"/>
                          <w:sz w:val="24"/>
                          <w:szCs w:val="24"/>
                        </w:rPr>
                        <w:t>-values for the hypothesis test for statistically significant correlation.</w:t>
                      </w:r>
                      <w:r w:rsidR="004D0F4C" w:rsidRPr="00AF36E7">
                        <w:rPr>
                          <w:rFonts w:ascii="Times New Roman" w:hAnsi="Times New Roman" w:cs="Times New Roman"/>
                          <w:sz w:val="24"/>
                          <w:szCs w:val="24"/>
                        </w:rPr>
                        <w:t xml:space="preserve"> One asterisk denotes significance at the hundredth place and two asterisks represent significance at the thousandths place. Values with three asterisks were significant at a decimal place smaller than a thousandth.</w:t>
                      </w:r>
                    </w:p>
                  </w:txbxContent>
                </v:textbox>
              </v:shape>
            </w:pict>
          </mc:Fallback>
        </mc:AlternateContent>
      </w:r>
    </w:p>
    <w:p w:rsidR="00BA105C" w:rsidRPr="007654C4" w:rsidRDefault="00BA105C" w:rsidP="00BA105C">
      <w:pPr>
        <w:rPr>
          <w:rFonts w:ascii="Times New Roman" w:hAnsi="Times New Roman" w:cs="Times New Roman"/>
          <w:sz w:val="24"/>
          <w:szCs w:val="24"/>
        </w:rPr>
      </w:pPr>
      <w:r w:rsidRPr="007654C4">
        <w:rPr>
          <w:b/>
          <w:noProof/>
        </w:rPr>
        <w:drawing>
          <wp:anchor distT="0" distB="0" distL="114300" distR="114300" simplePos="0" relativeHeight="251659264" behindDoc="0" locked="0" layoutInCell="1" allowOverlap="1" wp14:anchorId="56DC55A8" wp14:editId="5DCEE10D">
            <wp:simplePos x="0" y="0"/>
            <wp:positionH relativeFrom="margin">
              <wp:posOffset>-283210</wp:posOffset>
            </wp:positionH>
            <wp:positionV relativeFrom="margin">
              <wp:posOffset>2458085</wp:posOffset>
            </wp:positionV>
            <wp:extent cx="7876540" cy="3257550"/>
            <wp:effectExtent l="4445"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876540" cy="3257550"/>
                    </a:xfrm>
                    <a:prstGeom prst="rect">
                      <a:avLst/>
                    </a:prstGeom>
                    <a:noFill/>
                    <a:ln>
                      <a:noFill/>
                    </a:ln>
                  </pic:spPr>
                </pic:pic>
              </a:graphicData>
            </a:graphic>
          </wp:anchor>
        </w:drawing>
      </w:r>
    </w:p>
    <w:p w:rsidR="004D0F4C" w:rsidRPr="00257A2B" w:rsidRDefault="004D0F4C" w:rsidP="00257A2B">
      <w:pPr>
        <w:pStyle w:val="ListParagraph"/>
        <w:numPr>
          <w:ilvl w:val="0"/>
          <w:numId w:val="5"/>
        </w:numPr>
        <w:tabs>
          <w:tab w:val="left" w:pos="8247"/>
        </w:tabs>
        <w:rPr>
          <w:rFonts w:ascii="Times New Roman" w:hAnsi="Times New Roman" w:cs="Times New Roman"/>
          <w:b/>
        </w:rPr>
      </w:pPr>
      <w:r w:rsidRPr="00257A2B">
        <w:rPr>
          <w:rFonts w:ascii="Times New Roman" w:hAnsi="Times New Roman" w:cs="Times New Roman"/>
          <w:b/>
        </w:rPr>
        <w:lastRenderedPageBreak/>
        <w:t>Conclusion</w:t>
      </w:r>
    </w:p>
    <w:p w:rsidR="004D0F4C" w:rsidRPr="004D0F4C" w:rsidRDefault="004D0F4C" w:rsidP="004D0F4C">
      <w:pPr>
        <w:spacing w:line="480" w:lineRule="auto"/>
        <w:rPr>
          <w:rFonts w:ascii="Times New Roman" w:hAnsi="Times New Roman" w:cs="Times New Roman"/>
        </w:rPr>
      </w:pPr>
      <w:r w:rsidRPr="004D0F4C">
        <w:rPr>
          <w:rFonts w:ascii="Times New Roman" w:hAnsi="Times New Roman" w:cs="Times New Roman"/>
        </w:rPr>
        <w:tab/>
        <w:t>The resulting model infers a</w:t>
      </w:r>
      <w:r w:rsidR="009140E9">
        <w:rPr>
          <w:rFonts w:ascii="Times New Roman" w:hAnsi="Times New Roman" w:cs="Times New Roman"/>
        </w:rPr>
        <w:t xml:space="preserve"> positive relationship between the percent of s</w:t>
      </w:r>
      <w:r w:rsidRPr="004D0F4C">
        <w:rPr>
          <w:rFonts w:ascii="Times New Roman" w:hAnsi="Times New Roman" w:cs="Times New Roman"/>
        </w:rPr>
        <w:t xml:space="preserve">tudents involved in Greek life on campus and the crime rates on campus, implying that </w:t>
      </w:r>
      <w:r w:rsidR="009140E9">
        <w:rPr>
          <w:rFonts w:ascii="Times New Roman" w:hAnsi="Times New Roman" w:cs="Times New Roman"/>
        </w:rPr>
        <w:t xml:space="preserve">if all other variables are kept </w:t>
      </w:r>
      <w:r w:rsidRPr="004D0F4C">
        <w:rPr>
          <w:rFonts w:ascii="Times New Roman" w:hAnsi="Times New Roman" w:cs="Times New Roman"/>
        </w:rPr>
        <w:t>constant a higher percent of students invo</w:t>
      </w:r>
      <w:r w:rsidR="009140E9">
        <w:rPr>
          <w:rFonts w:ascii="Times New Roman" w:hAnsi="Times New Roman" w:cs="Times New Roman"/>
        </w:rPr>
        <w:t>lved in Greek life on campus was</w:t>
      </w:r>
      <w:r w:rsidRPr="004D0F4C">
        <w:rPr>
          <w:rFonts w:ascii="Times New Roman" w:hAnsi="Times New Roman" w:cs="Times New Roman"/>
        </w:rPr>
        <w:t xml:space="preserve"> a factor in increasing the crime rates on campus. Fox and Hellman studied </w:t>
      </w:r>
      <w:r w:rsidR="0077013F">
        <w:rPr>
          <w:rFonts w:ascii="Times New Roman" w:hAnsi="Times New Roman" w:cs="Times New Roman"/>
        </w:rPr>
        <w:t>the effect of p</w:t>
      </w:r>
      <w:r w:rsidRPr="004D0F4C">
        <w:rPr>
          <w:rFonts w:ascii="Times New Roman" w:hAnsi="Times New Roman" w:cs="Times New Roman"/>
        </w:rPr>
        <w:t xml:space="preserve">ercent of </w:t>
      </w:r>
      <w:r w:rsidR="0077013F">
        <w:rPr>
          <w:rFonts w:ascii="Times New Roman" w:hAnsi="Times New Roman" w:cs="Times New Roman"/>
        </w:rPr>
        <w:t>f</w:t>
      </w:r>
      <w:r w:rsidRPr="004D0F4C">
        <w:rPr>
          <w:rFonts w:ascii="Times New Roman" w:hAnsi="Times New Roman" w:cs="Times New Roman"/>
        </w:rPr>
        <w:t>r</w:t>
      </w:r>
      <w:r w:rsidR="0077013F">
        <w:rPr>
          <w:rFonts w:ascii="Times New Roman" w:hAnsi="Times New Roman" w:cs="Times New Roman"/>
        </w:rPr>
        <w:t>aternities and sororities</w:t>
      </w:r>
      <w:r w:rsidRPr="004D0F4C">
        <w:rPr>
          <w:rFonts w:ascii="Times New Roman" w:hAnsi="Times New Roman" w:cs="Times New Roman"/>
        </w:rPr>
        <w:t xml:space="preserve"> on crime on campus. They grouped this variable with others to test the influence of social organizat</w:t>
      </w:r>
      <w:r w:rsidR="0077013F">
        <w:rPr>
          <w:rFonts w:ascii="Times New Roman" w:hAnsi="Times New Roman" w:cs="Times New Roman"/>
        </w:rPr>
        <w:t xml:space="preserve">ion on crime. The model showed </w:t>
      </w:r>
      <w:r w:rsidRPr="004D0F4C">
        <w:rPr>
          <w:rFonts w:ascii="Times New Roman" w:hAnsi="Times New Roman" w:cs="Times New Roman"/>
        </w:rPr>
        <w:t>significance in the effect of social organization with crime, wh</w:t>
      </w:r>
      <w:r w:rsidR="0077013F">
        <w:rPr>
          <w:rFonts w:ascii="Times New Roman" w:hAnsi="Times New Roman" w:cs="Times New Roman"/>
        </w:rPr>
        <w:t xml:space="preserve">ich confirmed their </w:t>
      </w:r>
      <w:r w:rsidRPr="004D0F4C">
        <w:rPr>
          <w:rFonts w:ascii="Times New Roman" w:hAnsi="Times New Roman" w:cs="Times New Roman"/>
        </w:rPr>
        <w:t>thoughts that factors of social organization on campus negatively influence</w:t>
      </w:r>
      <w:r w:rsidR="0077013F">
        <w:rPr>
          <w:rFonts w:ascii="Times New Roman" w:hAnsi="Times New Roman" w:cs="Times New Roman"/>
        </w:rPr>
        <w:t>d the members of the community</w:t>
      </w:r>
      <w:r w:rsidR="00831871">
        <w:rPr>
          <w:rFonts w:ascii="Times New Roman" w:hAnsi="Times New Roman" w:cs="Times New Roman"/>
        </w:rPr>
        <w:t xml:space="preserve"> </w:t>
      </w:r>
      <w:r w:rsidR="0077013F">
        <w:rPr>
          <w:rFonts w:ascii="Times New Roman" w:hAnsi="Times New Roman" w:cs="Times New Roman"/>
        </w:rPr>
        <w:t>[?</w:t>
      </w:r>
      <w:r w:rsidR="00F316A0">
        <w:rPr>
          <w:rFonts w:ascii="Times New Roman" w:hAnsi="Times New Roman" w:cs="Times New Roman"/>
        </w:rPr>
        <w:t>]. The m</w:t>
      </w:r>
      <w:r w:rsidRPr="004D0F4C">
        <w:rPr>
          <w:rFonts w:ascii="Times New Roman" w:hAnsi="Times New Roman" w:cs="Times New Roman"/>
        </w:rPr>
        <w:t>odel also showed that there is a positive relat</w:t>
      </w:r>
      <w:r w:rsidR="00831871">
        <w:rPr>
          <w:rFonts w:ascii="Times New Roman" w:hAnsi="Times New Roman" w:cs="Times New Roman"/>
        </w:rPr>
        <w:t>ionship between the percent of m</w:t>
      </w:r>
      <w:r w:rsidRPr="004D0F4C">
        <w:rPr>
          <w:rFonts w:ascii="Times New Roman" w:hAnsi="Times New Roman" w:cs="Times New Roman"/>
        </w:rPr>
        <w:t xml:space="preserve">arried couples in a city and the crime on campus, implying </w:t>
      </w:r>
      <w:r w:rsidR="00831871">
        <w:rPr>
          <w:rFonts w:ascii="Times New Roman" w:hAnsi="Times New Roman" w:cs="Times New Roman"/>
        </w:rPr>
        <w:t>that the higher the percent of m</w:t>
      </w:r>
      <w:r w:rsidRPr="004D0F4C">
        <w:rPr>
          <w:rFonts w:ascii="Times New Roman" w:hAnsi="Times New Roman" w:cs="Times New Roman"/>
        </w:rPr>
        <w:t>arried people in the city will increase the crime rates on t</w:t>
      </w:r>
      <w:r w:rsidR="00831871">
        <w:rPr>
          <w:rFonts w:ascii="Times New Roman" w:hAnsi="Times New Roman" w:cs="Times New Roman"/>
        </w:rPr>
        <w:t>he campus. This contradicts the</w:t>
      </w:r>
      <w:r w:rsidRPr="004D0F4C">
        <w:rPr>
          <w:rFonts w:ascii="Times New Roman" w:hAnsi="Times New Roman" w:cs="Times New Roman"/>
        </w:rPr>
        <w:t xml:space="preserve"> results found by Bode and Snow. They found that the percent of married couples in a city decreased the amount of crime on a campus, but this could have been because </w:t>
      </w:r>
      <w:r w:rsidR="00831871">
        <w:rPr>
          <w:rFonts w:ascii="Times New Roman" w:hAnsi="Times New Roman" w:cs="Times New Roman"/>
        </w:rPr>
        <w:t xml:space="preserve">of </w:t>
      </w:r>
      <w:r w:rsidRPr="004D0F4C">
        <w:rPr>
          <w:rFonts w:ascii="Times New Roman" w:hAnsi="Times New Roman" w:cs="Times New Roman"/>
        </w:rPr>
        <w:t>a differe</w:t>
      </w:r>
      <w:r w:rsidR="00831871">
        <w:rPr>
          <w:rFonts w:ascii="Times New Roman" w:hAnsi="Times New Roman" w:cs="Times New Roman"/>
        </w:rPr>
        <w:t>nce in variables and data sets [?</w:t>
      </w:r>
      <w:r w:rsidRPr="004D0F4C">
        <w:rPr>
          <w:rFonts w:ascii="Times New Roman" w:hAnsi="Times New Roman" w:cs="Times New Roman"/>
        </w:rPr>
        <w:t>].</w:t>
      </w:r>
    </w:p>
    <w:p w:rsidR="004D0F4C" w:rsidRPr="004D0F4C" w:rsidRDefault="004D0F4C" w:rsidP="004D0F4C">
      <w:pPr>
        <w:spacing w:line="480" w:lineRule="auto"/>
        <w:rPr>
          <w:rFonts w:ascii="Times New Roman" w:hAnsi="Times New Roman" w:cs="Times New Roman"/>
        </w:rPr>
      </w:pPr>
      <w:r w:rsidRPr="004D0F4C">
        <w:rPr>
          <w:rFonts w:ascii="Times New Roman" w:hAnsi="Times New Roman" w:cs="Times New Roman"/>
        </w:rPr>
        <w:tab/>
        <w:t>Along with</w:t>
      </w:r>
      <w:r w:rsidR="00E42E43">
        <w:rPr>
          <w:rFonts w:ascii="Times New Roman" w:hAnsi="Times New Roman" w:cs="Times New Roman"/>
        </w:rPr>
        <w:t xml:space="preserve"> the percent of married households,</w:t>
      </w:r>
      <w:r w:rsidR="00831871">
        <w:rPr>
          <w:rFonts w:ascii="Times New Roman" w:hAnsi="Times New Roman" w:cs="Times New Roman"/>
        </w:rPr>
        <w:t xml:space="preserve"> the m</w:t>
      </w:r>
      <w:r w:rsidRPr="004D0F4C">
        <w:rPr>
          <w:rFonts w:ascii="Times New Roman" w:hAnsi="Times New Roman" w:cs="Times New Roman"/>
        </w:rPr>
        <w:t>odel similarly showed that there was a</w:t>
      </w:r>
      <w:r w:rsidR="00E42E43">
        <w:rPr>
          <w:rFonts w:ascii="Times New Roman" w:hAnsi="Times New Roman" w:cs="Times New Roman"/>
        </w:rPr>
        <w:t xml:space="preserve"> positive relationship between percent of m</w:t>
      </w:r>
      <w:r w:rsidRPr="004D0F4C">
        <w:rPr>
          <w:rFonts w:ascii="Times New Roman" w:hAnsi="Times New Roman" w:cs="Times New Roman"/>
        </w:rPr>
        <w:t xml:space="preserve">ales in the city and crime on campus, meaning that the higher the percent of male population in the city the higher the crime on campus. This matched with the results from Henderson. He also found the </w:t>
      </w:r>
      <w:r w:rsidR="00E42E43">
        <w:rPr>
          <w:rFonts w:ascii="Times New Roman" w:hAnsi="Times New Roman" w:cs="Times New Roman"/>
        </w:rPr>
        <w:t>percent of m</w:t>
      </w:r>
      <w:r w:rsidRPr="004D0F4C">
        <w:rPr>
          <w:rFonts w:ascii="Times New Roman" w:hAnsi="Times New Roman" w:cs="Times New Roman"/>
        </w:rPr>
        <w:t>ales in a city had a positive relationship with crime</w:t>
      </w:r>
      <w:r w:rsidR="00E42E43">
        <w:rPr>
          <w:rFonts w:ascii="Times New Roman" w:hAnsi="Times New Roman" w:cs="Times New Roman"/>
        </w:rPr>
        <w:t xml:space="preserve"> </w:t>
      </w:r>
      <w:r w:rsidRPr="004D0F4C">
        <w:rPr>
          <w:rFonts w:ascii="Times New Roman" w:hAnsi="Times New Roman" w:cs="Times New Roman"/>
        </w:rPr>
        <w:t>[</w:t>
      </w:r>
      <w:r w:rsidR="00E42E43">
        <w:rPr>
          <w:rFonts w:ascii="Times New Roman" w:hAnsi="Times New Roman" w:cs="Times New Roman"/>
        </w:rPr>
        <w:t>?</w:t>
      </w:r>
      <w:r w:rsidRPr="004D0F4C">
        <w:rPr>
          <w:rFonts w:ascii="Times New Roman" w:hAnsi="Times New Roman" w:cs="Times New Roman"/>
        </w:rPr>
        <w:t>]</w:t>
      </w:r>
      <w:r w:rsidR="00E42E43">
        <w:rPr>
          <w:rFonts w:ascii="Times New Roman" w:hAnsi="Times New Roman" w:cs="Times New Roman"/>
        </w:rPr>
        <w:t>.</w:t>
      </w:r>
      <w:r w:rsidRPr="004D0F4C">
        <w:rPr>
          <w:rFonts w:ascii="Times New Roman" w:hAnsi="Times New Roman" w:cs="Times New Roman"/>
        </w:rPr>
        <w:t xml:space="preserve"> </w:t>
      </w:r>
      <w:r w:rsidR="00E42E43">
        <w:rPr>
          <w:rFonts w:ascii="Times New Roman" w:hAnsi="Times New Roman" w:cs="Times New Roman"/>
        </w:rPr>
        <w:t>T</w:t>
      </w:r>
      <w:r w:rsidRPr="004D0F4C">
        <w:rPr>
          <w:rFonts w:ascii="Times New Roman" w:hAnsi="Times New Roman" w:cs="Times New Roman"/>
        </w:rPr>
        <w:t>he model also infer</w:t>
      </w:r>
      <w:r w:rsidR="00E42E43">
        <w:rPr>
          <w:rFonts w:ascii="Times New Roman" w:hAnsi="Times New Roman" w:cs="Times New Roman"/>
        </w:rPr>
        <w:t>red</w:t>
      </w:r>
      <w:r w:rsidRPr="004D0F4C">
        <w:rPr>
          <w:rFonts w:ascii="Times New Roman" w:hAnsi="Times New Roman" w:cs="Times New Roman"/>
        </w:rPr>
        <w:t xml:space="preserve"> a positive relationship between the Simpson</w:t>
      </w:r>
      <w:r w:rsidR="00E42E43">
        <w:rPr>
          <w:rFonts w:ascii="Times New Roman" w:hAnsi="Times New Roman" w:cs="Times New Roman"/>
        </w:rPr>
        <w:t>’</w:t>
      </w:r>
      <w:r w:rsidRPr="004D0F4C">
        <w:rPr>
          <w:rFonts w:ascii="Times New Roman" w:hAnsi="Times New Roman" w:cs="Times New Roman"/>
        </w:rPr>
        <w:t>s</w:t>
      </w:r>
      <w:r w:rsidR="00E42E43">
        <w:rPr>
          <w:rFonts w:ascii="Times New Roman" w:hAnsi="Times New Roman" w:cs="Times New Roman"/>
        </w:rPr>
        <w:t xml:space="preserve"> Diversity I</w:t>
      </w:r>
      <w:r w:rsidRPr="004D0F4C">
        <w:rPr>
          <w:rFonts w:ascii="Times New Roman" w:hAnsi="Times New Roman" w:cs="Times New Roman"/>
        </w:rPr>
        <w:t>ndex and crime on campus, implying that when all other variables</w:t>
      </w:r>
      <w:r w:rsidR="00DD1086">
        <w:rPr>
          <w:rFonts w:ascii="Times New Roman" w:hAnsi="Times New Roman" w:cs="Times New Roman"/>
        </w:rPr>
        <w:t xml:space="preserve"> are</w:t>
      </w:r>
      <w:r w:rsidRPr="004D0F4C">
        <w:rPr>
          <w:rFonts w:ascii="Times New Roman" w:hAnsi="Times New Roman" w:cs="Times New Roman"/>
        </w:rPr>
        <w:t xml:space="preserve"> held constant, the increase in diversity of a city increases the crime in that city. The model also includes that there is a positive relationship between the amount of liquor stores in a cou</w:t>
      </w:r>
      <w:r w:rsidR="00DD1086">
        <w:rPr>
          <w:rFonts w:ascii="Times New Roman" w:hAnsi="Times New Roman" w:cs="Times New Roman"/>
        </w:rPr>
        <w:t>nty and crime on campus, suggestin</w:t>
      </w:r>
      <w:r w:rsidRPr="004D0F4C">
        <w:rPr>
          <w:rFonts w:ascii="Times New Roman" w:hAnsi="Times New Roman" w:cs="Times New Roman"/>
        </w:rPr>
        <w:t>g that crime on c</w:t>
      </w:r>
      <w:r w:rsidR="00DD1086">
        <w:rPr>
          <w:rFonts w:ascii="Times New Roman" w:hAnsi="Times New Roman" w:cs="Times New Roman"/>
        </w:rPr>
        <w:t>ampus occurs more often in countie</w:t>
      </w:r>
      <w:r w:rsidRPr="004D0F4C">
        <w:rPr>
          <w:rFonts w:ascii="Times New Roman" w:hAnsi="Times New Roman" w:cs="Times New Roman"/>
        </w:rPr>
        <w:t xml:space="preserve">s that have more liquor stores. This significance matched results from Robinson and </w:t>
      </w:r>
      <w:proofErr w:type="spellStart"/>
      <w:r w:rsidRPr="004D0F4C">
        <w:rPr>
          <w:rFonts w:ascii="Times New Roman" w:hAnsi="Times New Roman" w:cs="Times New Roman"/>
        </w:rPr>
        <w:t>Roh</w:t>
      </w:r>
      <w:proofErr w:type="spellEnd"/>
      <w:r w:rsidR="00DD1086">
        <w:rPr>
          <w:rFonts w:ascii="Times New Roman" w:hAnsi="Times New Roman" w:cs="Times New Roman"/>
        </w:rPr>
        <w:t xml:space="preserve">. </w:t>
      </w:r>
    </w:p>
    <w:p w:rsidR="004D0F4C" w:rsidRPr="004D0F4C" w:rsidRDefault="00DD1086" w:rsidP="004D0F4C">
      <w:pPr>
        <w:spacing w:line="480" w:lineRule="auto"/>
        <w:rPr>
          <w:rFonts w:ascii="Times New Roman" w:hAnsi="Times New Roman" w:cs="Times New Roman"/>
        </w:rPr>
      </w:pPr>
      <w:r>
        <w:rPr>
          <w:rFonts w:ascii="Times New Roman" w:hAnsi="Times New Roman" w:cs="Times New Roman"/>
        </w:rPr>
        <w:tab/>
        <w:t>There are also</w:t>
      </w:r>
      <w:r w:rsidR="00E56B64">
        <w:rPr>
          <w:rFonts w:ascii="Times New Roman" w:hAnsi="Times New Roman" w:cs="Times New Roman"/>
        </w:rPr>
        <w:t xml:space="preserve"> two interaction terms</w:t>
      </w:r>
      <w:r w:rsidR="004D0F4C" w:rsidRPr="004D0F4C">
        <w:rPr>
          <w:rFonts w:ascii="Times New Roman" w:hAnsi="Times New Roman" w:cs="Times New Roman"/>
        </w:rPr>
        <w:t xml:space="preserve"> in the model </w:t>
      </w:r>
      <w:r w:rsidR="00E56B64">
        <w:rPr>
          <w:rFonts w:ascii="Times New Roman" w:hAnsi="Times New Roman" w:cs="Times New Roman"/>
        </w:rPr>
        <w:t>which showed significance. The u</w:t>
      </w:r>
      <w:r w:rsidR="004D0F4C" w:rsidRPr="004D0F4C">
        <w:rPr>
          <w:rFonts w:ascii="Times New Roman" w:hAnsi="Times New Roman" w:cs="Times New Roman"/>
        </w:rPr>
        <w:t>rban</w:t>
      </w:r>
      <w:r w:rsidR="00E56B64">
        <w:rPr>
          <w:rFonts w:ascii="Times New Roman" w:hAnsi="Times New Roman" w:cs="Times New Roman"/>
        </w:rPr>
        <w:t xml:space="preserve"> versus rural</w:t>
      </w:r>
      <w:r w:rsidR="007E49FC">
        <w:rPr>
          <w:rFonts w:ascii="Times New Roman" w:hAnsi="Times New Roman" w:cs="Times New Roman"/>
        </w:rPr>
        <w:t xml:space="preserve"> variable a</w:t>
      </w:r>
      <w:r w:rsidR="004D0F4C" w:rsidRPr="004D0F4C">
        <w:rPr>
          <w:rFonts w:ascii="Times New Roman" w:hAnsi="Times New Roman" w:cs="Times New Roman"/>
        </w:rPr>
        <w:t>nd liquor stores interaction showed a negative relationship with crime on campus, sugges</w:t>
      </w:r>
      <w:r w:rsidR="00E56B64">
        <w:rPr>
          <w:rFonts w:ascii="Times New Roman" w:hAnsi="Times New Roman" w:cs="Times New Roman"/>
        </w:rPr>
        <w:t>ting that with all variables ke</w:t>
      </w:r>
      <w:r w:rsidR="004D0F4C" w:rsidRPr="004D0F4C">
        <w:rPr>
          <w:rFonts w:ascii="Times New Roman" w:hAnsi="Times New Roman" w:cs="Times New Roman"/>
        </w:rPr>
        <w:t>p</w:t>
      </w:r>
      <w:r w:rsidR="00E56B64">
        <w:rPr>
          <w:rFonts w:ascii="Times New Roman" w:hAnsi="Times New Roman" w:cs="Times New Roman"/>
        </w:rPr>
        <w:t>t constant, r</w:t>
      </w:r>
      <w:r w:rsidR="004D0F4C" w:rsidRPr="004D0F4C">
        <w:rPr>
          <w:rFonts w:ascii="Times New Roman" w:hAnsi="Times New Roman" w:cs="Times New Roman"/>
        </w:rPr>
        <w:t xml:space="preserve">ural cities with more liquor stores will cause more crime </w:t>
      </w:r>
      <w:r w:rsidR="004D0F4C" w:rsidRPr="004D0F4C">
        <w:rPr>
          <w:rFonts w:ascii="Times New Roman" w:hAnsi="Times New Roman" w:cs="Times New Roman"/>
        </w:rPr>
        <w:lastRenderedPageBreak/>
        <w:t xml:space="preserve">on college </w:t>
      </w:r>
      <w:r w:rsidR="00E56B64">
        <w:rPr>
          <w:rFonts w:ascii="Times New Roman" w:hAnsi="Times New Roman" w:cs="Times New Roman"/>
        </w:rPr>
        <w:t>campuses than u</w:t>
      </w:r>
      <w:r w:rsidR="004D0F4C" w:rsidRPr="004D0F4C">
        <w:rPr>
          <w:rFonts w:ascii="Times New Roman" w:hAnsi="Times New Roman" w:cs="Times New Roman"/>
        </w:rPr>
        <w:t>rban cities</w:t>
      </w:r>
      <w:r w:rsidR="004D0F4C" w:rsidRPr="004D0F4C">
        <w:rPr>
          <w:rFonts w:ascii="Times New Roman" w:hAnsi="Times New Roman" w:cs="Times New Roman"/>
          <w:color w:val="000000"/>
          <w:sz w:val="28"/>
        </w:rPr>
        <w:t>.</w:t>
      </w:r>
      <w:r w:rsidR="004D0F4C" w:rsidRPr="004D0F4C">
        <w:rPr>
          <w:rFonts w:ascii="Times New Roman" w:hAnsi="Times New Roman" w:cs="Times New Roman"/>
        </w:rPr>
        <w:t xml:space="preserve">  The other interaction is Simpson</w:t>
      </w:r>
      <w:r w:rsidR="002E31E5">
        <w:rPr>
          <w:rFonts w:ascii="Times New Roman" w:hAnsi="Times New Roman" w:cs="Times New Roman"/>
        </w:rPr>
        <w:t>’</w:t>
      </w:r>
      <w:r w:rsidR="004D0F4C" w:rsidRPr="004D0F4C">
        <w:rPr>
          <w:rFonts w:ascii="Times New Roman" w:hAnsi="Times New Roman" w:cs="Times New Roman"/>
        </w:rPr>
        <w:t>s</w:t>
      </w:r>
      <w:r w:rsidR="002E31E5">
        <w:rPr>
          <w:rFonts w:ascii="Times New Roman" w:hAnsi="Times New Roman" w:cs="Times New Roman"/>
        </w:rPr>
        <w:t xml:space="preserve"> Diversity</w:t>
      </w:r>
      <w:r w:rsidR="004D0F4C" w:rsidRPr="004D0F4C">
        <w:rPr>
          <w:rFonts w:ascii="Times New Roman" w:hAnsi="Times New Roman" w:cs="Times New Roman"/>
        </w:rPr>
        <w:t xml:space="preserve"> Index and </w:t>
      </w:r>
      <w:r w:rsidR="002E31E5">
        <w:rPr>
          <w:rFonts w:ascii="Times New Roman" w:hAnsi="Times New Roman" w:cs="Times New Roman"/>
        </w:rPr>
        <w:t>u</w:t>
      </w:r>
      <w:r w:rsidR="004D0F4C" w:rsidRPr="004D0F4C">
        <w:rPr>
          <w:rFonts w:ascii="Times New Roman" w:hAnsi="Times New Roman" w:cs="Times New Roman"/>
        </w:rPr>
        <w:t>rban</w:t>
      </w:r>
      <w:r w:rsidR="002E31E5">
        <w:rPr>
          <w:rFonts w:ascii="Times New Roman" w:hAnsi="Times New Roman" w:cs="Times New Roman"/>
        </w:rPr>
        <w:t xml:space="preserve"> versus rural variable.</w:t>
      </w:r>
      <w:r w:rsidR="004D0F4C" w:rsidRPr="004D0F4C">
        <w:rPr>
          <w:rFonts w:ascii="Times New Roman" w:hAnsi="Times New Roman" w:cs="Times New Roman"/>
        </w:rPr>
        <w:t xml:space="preserve"> </w:t>
      </w:r>
      <w:r w:rsidR="002E31E5">
        <w:rPr>
          <w:rFonts w:ascii="Times New Roman" w:hAnsi="Times New Roman" w:cs="Times New Roman"/>
        </w:rPr>
        <w:t>T</w:t>
      </w:r>
      <w:r w:rsidR="004D0F4C" w:rsidRPr="004D0F4C">
        <w:rPr>
          <w:rFonts w:ascii="Times New Roman" w:hAnsi="Times New Roman" w:cs="Times New Roman"/>
        </w:rPr>
        <w:t xml:space="preserve">his </w:t>
      </w:r>
      <w:r w:rsidR="005A4123">
        <w:rPr>
          <w:rFonts w:ascii="Times New Roman" w:hAnsi="Times New Roman" w:cs="Times New Roman"/>
        </w:rPr>
        <w:t xml:space="preserve">term had </w:t>
      </w:r>
      <w:r w:rsidR="004D0F4C" w:rsidRPr="004D0F4C">
        <w:rPr>
          <w:rFonts w:ascii="Times New Roman" w:hAnsi="Times New Roman" w:cs="Times New Roman"/>
        </w:rPr>
        <w:t xml:space="preserve">a negative relationship </w:t>
      </w:r>
      <w:r w:rsidR="00AA7D0C">
        <w:rPr>
          <w:rFonts w:ascii="Times New Roman" w:hAnsi="Times New Roman" w:cs="Times New Roman"/>
        </w:rPr>
        <w:t xml:space="preserve">with crime. This implies that </w:t>
      </w:r>
      <w:proofErr w:type="gramStart"/>
      <w:r w:rsidR="00AA7D0C">
        <w:rPr>
          <w:rFonts w:ascii="Times New Roman" w:hAnsi="Times New Roman" w:cs="Times New Roman"/>
        </w:rPr>
        <w:t>r</w:t>
      </w:r>
      <w:r w:rsidR="004D0F4C" w:rsidRPr="004D0F4C">
        <w:rPr>
          <w:rFonts w:ascii="Times New Roman" w:hAnsi="Times New Roman" w:cs="Times New Roman"/>
        </w:rPr>
        <w:t>u</w:t>
      </w:r>
      <w:r w:rsidR="00C5099A">
        <w:rPr>
          <w:rFonts w:ascii="Times New Roman" w:hAnsi="Times New Roman" w:cs="Times New Roman"/>
        </w:rPr>
        <w:t>ral cities with poor Simpson's Diversity I</w:t>
      </w:r>
      <w:r w:rsidR="004D0F4C" w:rsidRPr="004D0F4C">
        <w:rPr>
          <w:rFonts w:ascii="Times New Roman" w:hAnsi="Times New Roman" w:cs="Times New Roman"/>
        </w:rPr>
        <w:t xml:space="preserve">ndex </w:t>
      </w:r>
      <w:r w:rsidR="00AA7D0C">
        <w:rPr>
          <w:rFonts w:ascii="Times New Roman" w:hAnsi="Times New Roman" w:cs="Times New Roman"/>
        </w:rPr>
        <w:t>ratings</w:t>
      </w:r>
      <w:r w:rsidR="004D0F4C" w:rsidRPr="004D0F4C">
        <w:rPr>
          <w:rFonts w:ascii="Times New Roman" w:hAnsi="Times New Roman" w:cs="Times New Roman"/>
        </w:rPr>
        <w:t xml:space="preserve"> i</w:t>
      </w:r>
      <w:r w:rsidR="00C5099A">
        <w:rPr>
          <w:rFonts w:ascii="Times New Roman" w:hAnsi="Times New Roman" w:cs="Times New Roman"/>
        </w:rPr>
        <w:t>s</w:t>
      </w:r>
      <w:proofErr w:type="gramEnd"/>
      <w:r w:rsidR="00C5099A">
        <w:rPr>
          <w:rFonts w:ascii="Times New Roman" w:hAnsi="Times New Roman" w:cs="Times New Roman"/>
        </w:rPr>
        <w:t xml:space="preserve"> a cause of crime on campus</w:t>
      </w:r>
      <w:r w:rsidR="004D0F4C" w:rsidRPr="004D0F4C">
        <w:rPr>
          <w:rFonts w:ascii="Times New Roman" w:hAnsi="Times New Roman" w:cs="Times New Roman"/>
        </w:rPr>
        <w:t>.</w:t>
      </w:r>
    </w:p>
    <w:p w:rsidR="004D0F4C" w:rsidRPr="00257A2B" w:rsidRDefault="00257A2B" w:rsidP="00257A2B">
      <w:pPr>
        <w:pStyle w:val="ListParagraph"/>
        <w:numPr>
          <w:ilvl w:val="0"/>
          <w:numId w:val="5"/>
        </w:numPr>
        <w:spacing w:line="480" w:lineRule="auto"/>
        <w:rPr>
          <w:rFonts w:ascii="Times New Roman" w:hAnsi="Times New Roman" w:cs="Times New Roman"/>
          <w:b/>
          <w:sz w:val="24"/>
          <w:szCs w:val="24"/>
        </w:rPr>
      </w:pPr>
      <w:r w:rsidRPr="00257A2B">
        <w:rPr>
          <w:rFonts w:ascii="Times New Roman" w:hAnsi="Times New Roman" w:cs="Times New Roman"/>
          <w:b/>
          <w:sz w:val="24"/>
          <w:szCs w:val="24"/>
        </w:rPr>
        <w:t>Discussion</w:t>
      </w:r>
    </w:p>
    <w:p w:rsidR="004D0F4C" w:rsidRPr="004D0F4C" w:rsidRDefault="004D0F4C" w:rsidP="004D0F4C">
      <w:pPr>
        <w:spacing w:line="480" w:lineRule="auto"/>
        <w:rPr>
          <w:rFonts w:ascii="Times New Roman" w:hAnsi="Times New Roman" w:cs="Times New Roman"/>
          <w:sz w:val="24"/>
          <w:szCs w:val="24"/>
        </w:rPr>
      </w:pPr>
      <w:r w:rsidRPr="004D0F4C">
        <w:rPr>
          <w:rFonts w:ascii="Times New Roman" w:hAnsi="Times New Roman" w:cs="Times New Roman"/>
          <w:sz w:val="24"/>
          <w:szCs w:val="24"/>
        </w:rPr>
        <w:tab/>
        <w:t>This study analyze</w:t>
      </w:r>
      <w:r w:rsidR="004D5ADE">
        <w:rPr>
          <w:rFonts w:ascii="Times New Roman" w:hAnsi="Times New Roman" w:cs="Times New Roman"/>
          <w:sz w:val="24"/>
          <w:szCs w:val="24"/>
        </w:rPr>
        <w:t>d</w:t>
      </w:r>
      <w:r w:rsidRPr="004D0F4C">
        <w:rPr>
          <w:rFonts w:ascii="Times New Roman" w:hAnsi="Times New Roman" w:cs="Times New Roman"/>
          <w:sz w:val="24"/>
          <w:szCs w:val="24"/>
        </w:rPr>
        <w:t xml:space="preserve"> the relationship between the crime rates at large universities and the characteristics of the cities that surround each school. </w:t>
      </w:r>
      <w:r w:rsidR="004D5ADE">
        <w:rPr>
          <w:rFonts w:ascii="Times New Roman" w:hAnsi="Times New Roman" w:cs="Times New Roman"/>
          <w:sz w:val="24"/>
          <w:szCs w:val="24"/>
        </w:rPr>
        <w:t>This work checked</w:t>
      </w:r>
      <w:r w:rsidRPr="004D0F4C">
        <w:rPr>
          <w:rFonts w:ascii="Times New Roman" w:hAnsi="Times New Roman" w:cs="Times New Roman"/>
          <w:sz w:val="24"/>
          <w:szCs w:val="24"/>
        </w:rPr>
        <w:t xml:space="preserve"> for spatial relationships between the location of colleges and crime rates a</w:t>
      </w:r>
      <w:r w:rsidR="004D5ADE">
        <w:rPr>
          <w:rFonts w:ascii="Times New Roman" w:hAnsi="Times New Roman" w:cs="Times New Roman"/>
          <w:sz w:val="24"/>
          <w:szCs w:val="24"/>
        </w:rPr>
        <w:t>t each school and whether urban versus rural areas had an effect on crime. We also modeled</w:t>
      </w:r>
      <w:r w:rsidRPr="004D0F4C">
        <w:rPr>
          <w:rFonts w:ascii="Times New Roman" w:hAnsi="Times New Roman" w:cs="Times New Roman"/>
          <w:sz w:val="24"/>
          <w:szCs w:val="24"/>
        </w:rPr>
        <w:t xml:space="preserve"> the relationship between crime rates of schools and influential factors</w:t>
      </w:r>
      <w:r w:rsidR="004D5ADE">
        <w:rPr>
          <w:rFonts w:ascii="Times New Roman" w:hAnsi="Times New Roman" w:cs="Times New Roman"/>
          <w:sz w:val="24"/>
          <w:szCs w:val="24"/>
        </w:rPr>
        <w:t>,</w:t>
      </w:r>
      <w:r w:rsidRPr="004D0F4C">
        <w:rPr>
          <w:rFonts w:ascii="Times New Roman" w:hAnsi="Times New Roman" w:cs="Times New Roman"/>
          <w:sz w:val="24"/>
          <w:szCs w:val="24"/>
        </w:rPr>
        <w:t xml:space="preserve"> such as the demographics of the city, tuition of each school, and the percent of students involved in Greek life.  </w:t>
      </w:r>
    </w:p>
    <w:p w:rsidR="004D0F4C" w:rsidRPr="004D0F4C" w:rsidRDefault="004D0F4C" w:rsidP="004D0F4C">
      <w:pPr>
        <w:spacing w:line="480" w:lineRule="auto"/>
        <w:rPr>
          <w:rFonts w:ascii="Times New Roman" w:hAnsi="Times New Roman" w:cs="Times New Roman"/>
          <w:sz w:val="24"/>
          <w:szCs w:val="24"/>
        </w:rPr>
      </w:pPr>
      <w:r w:rsidRPr="004D0F4C">
        <w:rPr>
          <w:rFonts w:ascii="Times New Roman" w:hAnsi="Times New Roman" w:cs="Times New Roman"/>
          <w:sz w:val="24"/>
          <w:szCs w:val="24"/>
        </w:rPr>
        <w:tab/>
        <w:t>As we noted earlier, we want</w:t>
      </w:r>
      <w:r w:rsidR="004D5ADE">
        <w:rPr>
          <w:rFonts w:ascii="Times New Roman" w:hAnsi="Times New Roman" w:cs="Times New Roman"/>
          <w:sz w:val="24"/>
          <w:szCs w:val="24"/>
        </w:rPr>
        <w:t>ed</w:t>
      </w:r>
      <w:r w:rsidRPr="004D0F4C">
        <w:rPr>
          <w:rFonts w:ascii="Times New Roman" w:hAnsi="Times New Roman" w:cs="Times New Roman"/>
          <w:sz w:val="24"/>
          <w:szCs w:val="24"/>
        </w:rPr>
        <w:t xml:space="preserve"> to investigate the relationship between the type of city that surrounds each university and the crime rates at those schools</w:t>
      </w:r>
      <w:r w:rsidR="004D5ADE">
        <w:rPr>
          <w:rFonts w:ascii="Times New Roman" w:hAnsi="Times New Roman" w:cs="Times New Roman"/>
          <w:sz w:val="24"/>
          <w:szCs w:val="24"/>
        </w:rPr>
        <w:t>.</w:t>
      </w:r>
      <w:r w:rsidRPr="004D0F4C">
        <w:rPr>
          <w:rFonts w:ascii="Times New Roman" w:hAnsi="Times New Roman" w:cs="Times New Roman"/>
          <w:sz w:val="24"/>
          <w:szCs w:val="24"/>
        </w:rPr>
        <w:t xml:space="preserve"> Fox</w:t>
      </w:r>
      <w:r w:rsidR="003E3660">
        <w:rPr>
          <w:rFonts w:ascii="Times New Roman" w:hAnsi="Times New Roman" w:cs="Times New Roman"/>
          <w:sz w:val="24"/>
          <w:szCs w:val="24"/>
        </w:rPr>
        <w:t xml:space="preserve"> and Hamilton suggested almost thirty</w:t>
      </w:r>
      <w:r w:rsidRPr="004D0F4C">
        <w:rPr>
          <w:rFonts w:ascii="Times New Roman" w:hAnsi="Times New Roman" w:cs="Times New Roman"/>
          <w:sz w:val="24"/>
          <w:szCs w:val="24"/>
        </w:rPr>
        <w:t xml:space="preserve"> years ago that there was no relationship between the location of a school and its crime rates. In other words, we want</w:t>
      </w:r>
      <w:r w:rsidR="003E3660">
        <w:rPr>
          <w:rFonts w:ascii="Times New Roman" w:hAnsi="Times New Roman" w:cs="Times New Roman"/>
          <w:sz w:val="24"/>
          <w:szCs w:val="24"/>
        </w:rPr>
        <w:t xml:space="preserve">ed to see if there </w:t>
      </w:r>
      <w:r w:rsidR="000C4886">
        <w:rPr>
          <w:rFonts w:ascii="Times New Roman" w:hAnsi="Times New Roman" w:cs="Times New Roman"/>
          <w:sz w:val="24"/>
          <w:szCs w:val="24"/>
        </w:rPr>
        <w:t xml:space="preserve">now exists </w:t>
      </w:r>
      <w:r w:rsidRPr="004D0F4C">
        <w:rPr>
          <w:rFonts w:ascii="Times New Roman" w:hAnsi="Times New Roman" w:cs="Times New Roman"/>
          <w:sz w:val="24"/>
          <w:szCs w:val="24"/>
        </w:rPr>
        <w:t>a “spillover effect” from the cities into the college communities. After computing the final model, we discover</w:t>
      </w:r>
      <w:r w:rsidR="003E3660">
        <w:rPr>
          <w:rFonts w:ascii="Times New Roman" w:hAnsi="Times New Roman" w:cs="Times New Roman"/>
          <w:sz w:val="24"/>
          <w:szCs w:val="24"/>
        </w:rPr>
        <w:t>ed</w:t>
      </w:r>
      <w:r w:rsidRPr="004D0F4C">
        <w:rPr>
          <w:rFonts w:ascii="Times New Roman" w:hAnsi="Times New Roman" w:cs="Times New Roman"/>
          <w:sz w:val="24"/>
          <w:szCs w:val="24"/>
        </w:rPr>
        <w:t>, contrary to Fox and Hellman’s findings, that the type of city that a school is nested in has a strong relationship with the crime rate at each school. However, our findings may</w:t>
      </w:r>
      <w:r w:rsidR="00C2731B">
        <w:rPr>
          <w:rFonts w:ascii="Times New Roman" w:hAnsi="Times New Roman" w:cs="Times New Roman"/>
          <w:sz w:val="24"/>
          <w:szCs w:val="24"/>
        </w:rPr>
        <w:t xml:space="preserve"> have</w:t>
      </w:r>
      <w:r w:rsidRPr="004D0F4C">
        <w:rPr>
          <w:rFonts w:ascii="Times New Roman" w:hAnsi="Times New Roman" w:cs="Times New Roman"/>
          <w:sz w:val="24"/>
          <w:szCs w:val="24"/>
        </w:rPr>
        <w:t xml:space="preserve"> differ</w:t>
      </w:r>
      <w:r w:rsidR="00C2731B">
        <w:rPr>
          <w:rFonts w:ascii="Times New Roman" w:hAnsi="Times New Roman" w:cs="Times New Roman"/>
          <w:sz w:val="24"/>
          <w:szCs w:val="24"/>
        </w:rPr>
        <w:t>ed</w:t>
      </w:r>
      <w:r w:rsidR="006A2B4B">
        <w:rPr>
          <w:rFonts w:ascii="Times New Roman" w:hAnsi="Times New Roman" w:cs="Times New Roman"/>
          <w:sz w:val="24"/>
          <w:szCs w:val="24"/>
        </w:rPr>
        <w:t xml:space="preserve"> from those</w:t>
      </w:r>
      <w:r w:rsidRPr="004D0F4C">
        <w:rPr>
          <w:rFonts w:ascii="Times New Roman" w:hAnsi="Times New Roman" w:cs="Times New Roman"/>
          <w:sz w:val="24"/>
          <w:szCs w:val="24"/>
        </w:rPr>
        <w:t xml:space="preserve"> of Fox and Hellman since the explanatory variables they used to test the relationship of the location and crime were much different from the ones we used. Also, they tested if schools that were more urban had more crimes. Unexpectedly, they found that they did not. They concluded that more urban schools did not have significantly larger crime rates because they invested in more security measures. Furthermore, their differences in results may have occurred from the </w:t>
      </w:r>
      <w:r w:rsidRPr="004D0F4C">
        <w:rPr>
          <w:rFonts w:ascii="Times New Roman" w:hAnsi="Times New Roman" w:cs="Times New Roman"/>
          <w:sz w:val="24"/>
          <w:szCs w:val="24"/>
        </w:rPr>
        <w:lastRenderedPageBreak/>
        <w:t xml:space="preserve">different schools they used. On the other hand, similar to our finding, they learned that the percent of students that were involved in Greek life had a strong relationship with the crime rates at each school. Their model estimated that schools with larger percentages of students involved in Greek life had higher crime rates. </w:t>
      </w:r>
    </w:p>
    <w:p w:rsidR="004D0F4C" w:rsidRPr="004D0F4C" w:rsidRDefault="004D0F4C" w:rsidP="004D0F4C">
      <w:pPr>
        <w:spacing w:line="480" w:lineRule="auto"/>
        <w:rPr>
          <w:rFonts w:ascii="Times New Roman" w:hAnsi="Times New Roman" w:cs="Times New Roman"/>
          <w:sz w:val="24"/>
          <w:szCs w:val="24"/>
        </w:rPr>
      </w:pPr>
      <w:r w:rsidRPr="004D0F4C">
        <w:rPr>
          <w:rFonts w:ascii="Times New Roman" w:hAnsi="Times New Roman" w:cs="Times New Roman"/>
          <w:sz w:val="24"/>
          <w:szCs w:val="24"/>
        </w:rPr>
        <w:tab/>
        <w:t>On another note, a study by Sloan in 1994 suggested that the racial makeup of the student body at each school had a strong relationship wit</w:t>
      </w:r>
      <w:r w:rsidR="00DA2BB5">
        <w:rPr>
          <w:rFonts w:ascii="Times New Roman" w:hAnsi="Times New Roman" w:cs="Times New Roman"/>
          <w:sz w:val="24"/>
          <w:szCs w:val="24"/>
        </w:rPr>
        <w:t>h the crime rates</w:t>
      </w:r>
      <w:r w:rsidRPr="004D0F4C">
        <w:rPr>
          <w:rFonts w:ascii="Times New Roman" w:hAnsi="Times New Roman" w:cs="Times New Roman"/>
          <w:sz w:val="24"/>
          <w:szCs w:val="24"/>
        </w:rPr>
        <w:t>. We wanted to apply this study to the cities that surround each school. Similarly, we found that the Simpson</w:t>
      </w:r>
      <w:r w:rsidR="00DA2BB5">
        <w:rPr>
          <w:rFonts w:ascii="Times New Roman" w:hAnsi="Times New Roman" w:cs="Times New Roman"/>
          <w:sz w:val="24"/>
          <w:szCs w:val="24"/>
        </w:rPr>
        <w:t>’s</w:t>
      </w:r>
      <w:r w:rsidRPr="004D0F4C">
        <w:rPr>
          <w:rFonts w:ascii="Times New Roman" w:hAnsi="Times New Roman" w:cs="Times New Roman"/>
          <w:sz w:val="24"/>
          <w:szCs w:val="24"/>
        </w:rPr>
        <w:t xml:space="preserve"> </w:t>
      </w:r>
      <w:r w:rsidR="00DA2BB5">
        <w:rPr>
          <w:rFonts w:ascii="Times New Roman" w:hAnsi="Times New Roman" w:cs="Times New Roman"/>
          <w:sz w:val="24"/>
          <w:szCs w:val="24"/>
        </w:rPr>
        <w:t>D</w:t>
      </w:r>
      <w:r w:rsidRPr="004D0F4C">
        <w:rPr>
          <w:rFonts w:ascii="Times New Roman" w:hAnsi="Times New Roman" w:cs="Times New Roman"/>
          <w:sz w:val="24"/>
          <w:szCs w:val="24"/>
        </w:rPr>
        <w:t xml:space="preserve">iversity </w:t>
      </w:r>
      <w:r w:rsidR="00DA2BB5">
        <w:rPr>
          <w:rFonts w:ascii="Times New Roman" w:hAnsi="Times New Roman" w:cs="Times New Roman"/>
          <w:sz w:val="24"/>
          <w:szCs w:val="24"/>
        </w:rPr>
        <w:t>I</w:t>
      </w:r>
      <w:r w:rsidRPr="004D0F4C">
        <w:rPr>
          <w:rFonts w:ascii="Times New Roman" w:hAnsi="Times New Roman" w:cs="Times New Roman"/>
          <w:sz w:val="24"/>
          <w:szCs w:val="24"/>
        </w:rPr>
        <w:t xml:space="preserve">ndex rating for each city had a strong relationship with the crime rate at each school. </w:t>
      </w:r>
    </w:p>
    <w:p w:rsidR="004D0F4C" w:rsidRPr="004D0F4C" w:rsidRDefault="004D0F4C" w:rsidP="004D0F4C">
      <w:pPr>
        <w:spacing w:line="480" w:lineRule="auto"/>
        <w:rPr>
          <w:rFonts w:ascii="Times New Roman" w:hAnsi="Times New Roman" w:cs="Times New Roman"/>
          <w:sz w:val="24"/>
          <w:szCs w:val="24"/>
        </w:rPr>
      </w:pPr>
      <w:r w:rsidRPr="004D0F4C">
        <w:rPr>
          <w:rFonts w:ascii="Times New Roman" w:hAnsi="Times New Roman" w:cs="Times New Roman"/>
          <w:sz w:val="24"/>
          <w:szCs w:val="24"/>
        </w:rPr>
        <w:tab/>
        <w:t>Oth</w:t>
      </w:r>
      <w:r w:rsidR="00C13B44">
        <w:rPr>
          <w:rFonts w:ascii="Times New Roman" w:hAnsi="Times New Roman" w:cs="Times New Roman"/>
          <w:sz w:val="24"/>
          <w:szCs w:val="24"/>
        </w:rPr>
        <w:t>er differences between our research</w:t>
      </w:r>
      <w:r w:rsidRPr="004D0F4C">
        <w:rPr>
          <w:rFonts w:ascii="Times New Roman" w:hAnsi="Times New Roman" w:cs="Times New Roman"/>
          <w:sz w:val="24"/>
          <w:szCs w:val="24"/>
        </w:rPr>
        <w:t xml:space="preserve"> and previous studies may have resulted from the types of crimes t</w:t>
      </w:r>
      <w:r w:rsidR="00DA2BB5">
        <w:rPr>
          <w:rFonts w:ascii="Times New Roman" w:hAnsi="Times New Roman" w:cs="Times New Roman"/>
          <w:sz w:val="24"/>
          <w:szCs w:val="24"/>
        </w:rPr>
        <w:t>hat were considered</w:t>
      </w:r>
      <w:r w:rsidRPr="004D0F4C">
        <w:rPr>
          <w:rFonts w:ascii="Times New Roman" w:hAnsi="Times New Roman" w:cs="Times New Roman"/>
          <w:sz w:val="24"/>
          <w:szCs w:val="24"/>
        </w:rPr>
        <w:t xml:space="preserve">. For example, the crimes that were used in the study by </w:t>
      </w:r>
      <w:proofErr w:type="spellStart"/>
      <w:r w:rsidRPr="004D0F4C">
        <w:rPr>
          <w:rFonts w:ascii="Times New Roman" w:hAnsi="Times New Roman" w:cs="Times New Roman"/>
          <w:sz w:val="24"/>
          <w:szCs w:val="24"/>
        </w:rPr>
        <w:t>McPheters</w:t>
      </w:r>
      <w:proofErr w:type="spellEnd"/>
      <w:r w:rsidRPr="004D0F4C">
        <w:rPr>
          <w:rFonts w:ascii="Times New Roman" w:hAnsi="Times New Roman" w:cs="Times New Roman"/>
          <w:sz w:val="24"/>
          <w:szCs w:val="24"/>
        </w:rPr>
        <w:t xml:space="preserve"> were crimes that were reported to the police on that campus. This study was performed before the </w:t>
      </w:r>
      <w:proofErr w:type="spellStart"/>
      <w:r w:rsidRPr="004D0F4C">
        <w:rPr>
          <w:rFonts w:ascii="Times New Roman" w:hAnsi="Times New Roman" w:cs="Times New Roman"/>
          <w:sz w:val="24"/>
          <w:szCs w:val="24"/>
        </w:rPr>
        <w:t>Clery</w:t>
      </w:r>
      <w:proofErr w:type="spellEnd"/>
      <w:r w:rsidRPr="004D0F4C">
        <w:rPr>
          <w:rFonts w:ascii="Times New Roman" w:hAnsi="Times New Roman" w:cs="Times New Roman"/>
          <w:sz w:val="24"/>
          <w:szCs w:val="24"/>
        </w:rPr>
        <w:t xml:space="preserve"> Act was passed. Therefore, each school was not required to report their crimes and the type of crimes that occur</w:t>
      </w:r>
      <w:r w:rsidR="00B0521C">
        <w:rPr>
          <w:rFonts w:ascii="Times New Roman" w:hAnsi="Times New Roman" w:cs="Times New Roman"/>
          <w:sz w:val="24"/>
          <w:szCs w:val="24"/>
        </w:rPr>
        <w:t>red on campus to the O</w:t>
      </w:r>
      <w:r w:rsidR="00647714">
        <w:rPr>
          <w:rFonts w:ascii="Times New Roman" w:hAnsi="Times New Roman" w:cs="Times New Roman"/>
          <w:sz w:val="24"/>
          <w:szCs w:val="24"/>
        </w:rPr>
        <w:t>ffice of P</w:t>
      </w:r>
      <w:r w:rsidRPr="004D0F4C">
        <w:rPr>
          <w:rFonts w:ascii="Times New Roman" w:hAnsi="Times New Roman" w:cs="Times New Roman"/>
          <w:sz w:val="24"/>
          <w:szCs w:val="24"/>
        </w:rPr>
        <w:t xml:space="preserve">ostsecondary </w:t>
      </w:r>
      <w:r w:rsidR="00B0521C">
        <w:rPr>
          <w:rFonts w:ascii="Times New Roman" w:hAnsi="Times New Roman" w:cs="Times New Roman"/>
          <w:sz w:val="24"/>
          <w:szCs w:val="24"/>
        </w:rPr>
        <w:t>E</w:t>
      </w:r>
      <w:r w:rsidRPr="004D0F4C">
        <w:rPr>
          <w:rFonts w:ascii="Times New Roman" w:hAnsi="Times New Roman" w:cs="Times New Roman"/>
          <w:sz w:val="24"/>
          <w:szCs w:val="24"/>
        </w:rPr>
        <w:t>duc</w:t>
      </w:r>
      <w:r w:rsidR="00B0521C">
        <w:rPr>
          <w:rFonts w:ascii="Times New Roman" w:hAnsi="Times New Roman" w:cs="Times New Roman"/>
          <w:sz w:val="24"/>
          <w:szCs w:val="24"/>
        </w:rPr>
        <w:t xml:space="preserve">ation. However, like </w:t>
      </w:r>
      <w:proofErr w:type="spellStart"/>
      <w:r w:rsidR="00B0521C">
        <w:rPr>
          <w:rFonts w:ascii="Times New Roman" w:hAnsi="Times New Roman" w:cs="Times New Roman"/>
          <w:sz w:val="24"/>
          <w:szCs w:val="24"/>
        </w:rPr>
        <w:t>McPheters</w:t>
      </w:r>
      <w:proofErr w:type="spellEnd"/>
      <w:r w:rsidR="00B0521C">
        <w:rPr>
          <w:rFonts w:ascii="Times New Roman" w:hAnsi="Times New Roman" w:cs="Times New Roman"/>
          <w:sz w:val="24"/>
          <w:szCs w:val="24"/>
        </w:rPr>
        <w:t>’ crime rates, our crime rates we</w:t>
      </w:r>
      <w:r w:rsidRPr="004D0F4C">
        <w:rPr>
          <w:rFonts w:ascii="Times New Roman" w:hAnsi="Times New Roman" w:cs="Times New Roman"/>
          <w:sz w:val="24"/>
          <w:szCs w:val="24"/>
        </w:rPr>
        <w:t xml:space="preserve">re expected to have discrepancies and errors according to the Office of Postsecondary Education.  </w:t>
      </w:r>
    </w:p>
    <w:p w:rsidR="004D0F4C" w:rsidRPr="004D0F4C" w:rsidRDefault="00B0521C" w:rsidP="004D0F4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fe</w:t>
      </w:r>
      <w:r w:rsidR="004D0F4C" w:rsidRPr="004D0F4C">
        <w:rPr>
          <w:rFonts w:ascii="Times New Roman" w:hAnsi="Times New Roman" w:cs="Times New Roman"/>
          <w:sz w:val="24"/>
          <w:szCs w:val="24"/>
        </w:rPr>
        <w:t>l</w:t>
      </w:r>
      <w:r>
        <w:rPr>
          <w:rFonts w:ascii="Times New Roman" w:hAnsi="Times New Roman" w:cs="Times New Roman"/>
          <w:sz w:val="24"/>
          <w:szCs w:val="24"/>
        </w:rPr>
        <w:t>t these findings we</w:t>
      </w:r>
      <w:r w:rsidR="004D0F4C" w:rsidRPr="004D0F4C">
        <w:rPr>
          <w:rFonts w:ascii="Times New Roman" w:hAnsi="Times New Roman" w:cs="Times New Roman"/>
          <w:sz w:val="24"/>
          <w:szCs w:val="24"/>
        </w:rPr>
        <w:t>re pivotal in the research of factors that affect</w:t>
      </w:r>
      <w:r>
        <w:rPr>
          <w:rFonts w:ascii="Times New Roman" w:hAnsi="Times New Roman" w:cs="Times New Roman"/>
          <w:sz w:val="24"/>
          <w:szCs w:val="24"/>
        </w:rPr>
        <w:t>ed</w:t>
      </w:r>
      <w:r w:rsidR="004D0F4C" w:rsidRPr="004D0F4C">
        <w:rPr>
          <w:rFonts w:ascii="Times New Roman" w:hAnsi="Times New Roman" w:cs="Times New Roman"/>
          <w:sz w:val="24"/>
          <w:szCs w:val="24"/>
        </w:rPr>
        <w:t xml:space="preserve"> the crimes at large universities around the United States. Our hope is that future researchers can take these results and investigate them further. For example, we hope researchers may invest</w:t>
      </w:r>
      <w:r>
        <w:rPr>
          <w:rFonts w:ascii="Times New Roman" w:hAnsi="Times New Roman" w:cs="Times New Roman"/>
          <w:sz w:val="24"/>
          <w:szCs w:val="24"/>
        </w:rPr>
        <w:t>igate characteristics of Greek l</w:t>
      </w:r>
      <w:r w:rsidR="004D0F4C" w:rsidRPr="004D0F4C">
        <w:rPr>
          <w:rFonts w:ascii="Times New Roman" w:hAnsi="Times New Roman" w:cs="Times New Roman"/>
          <w:sz w:val="24"/>
          <w:szCs w:val="24"/>
        </w:rPr>
        <w:t xml:space="preserve">ife that may be expected to influence crime rates on campuses or if Greek life on campuses causes a “spillover effect” in crime rates from the cities into the college community. Also we hope that researchers may study why rural cities with more diverse populations and more liquor stores are estimated to change the crime rates at large colleges.   </w:t>
      </w:r>
      <w:r w:rsidR="004D0F4C" w:rsidRPr="004D0F4C">
        <w:rPr>
          <w:rFonts w:ascii="Times New Roman" w:hAnsi="Times New Roman" w:cs="Times New Roman"/>
          <w:sz w:val="24"/>
          <w:szCs w:val="24"/>
        </w:rPr>
        <w:lastRenderedPageBreak/>
        <w:t xml:space="preserve">Crime at universities has been a topic that has been researched more thoroughly since the </w:t>
      </w:r>
      <w:proofErr w:type="spellStart"/>
      <w:r w:rsidR="004D0F4C" w:rsidRPr="004D0F4C">
        <w:rPr>
          <w:rFonts w:ascii="Times New Roman" w:hAnsi="Times New Roman" w:cs="Times New Roman"/>
          <w:sz w:val="24"/>
          <w:szCs w:val="24"/>
        </w:rPr>
        <w:t>Clery</w:t>
      </w:r>
      <w:proofErr w:type="spellEnd"/>
      <w:r w:rsidR="004D0F4C" w:rsidRPr="004D0F4C">
        <w:rPr>
          <w:rFonts w:ascii="Times New Roman" w:hAnsi="Times New Roman" w:cs="Times New Roman"/>
          <w:sz w:val="24"/>
          <w:szCs w:val="24"/>
        </w:rPr>
        <w:t xml:space="preserve"> Act was passed in the early 90</w:t>
      </w:r>
      <w:r>
        <w:rPr>
          <w:rFonts w:ascii="Times New Roman" w:hAnsi="Times New Roman" w:cs="Times New Roman"/>
          <w:sz w:val="24"/>
          <w:szCs w:val="24"/>
        </w:rPr>
        <w:t>’</w:t>
      </w:r>
      <w:r w:rsidR="004D0F4C" w:rsidRPr="004D0F4C">
        <w:rPr>
          <w:rFonts w:ascii="Times New Roman" w:hAnsi="Times New Roman" w:cs="Times New Roman"/>
          <w:sz w:val="24"/>
          <w:szCs w:val="24"/>
        </w:rPr>
        <w:t xml:space="preserve">s and we hope our study may inspire even more researchers to search for other factors that may play a role in the high crime rates at schools. </w:t>
      </w:r>
    </w:p>
    <w:p w:rsidR="004D0F4C" w:rsidRPr="004D0F4C" w:rsidRDefault="004D0F4C" w:rsidP="004D0F4C">
      <w:pPr>
        <w:spacing w:line="480" w:lineRule="auto"/>
        <w:ind w:firstLine="720"/>
        <w:rPr>
          <w:rFonts w:ascii="Times New Roman" w:hAnsi="Times New Roman" w:cs="Times New Roman"/>
          <w:sz w:val="24"/>
          <w:szCs w:val="24"/>
        </w:rPr>
      </w:pPr>
      <w:r w:rsidRPr="004D0F4C">
        <w:rPr>
          <w:rFonts w:ascii="Times New Roman" w:hAnsi="Times New Roman" w:cs="Times New Roman"/>
          <w:sz w:val="24"/>
          <w:szCs w:val="24"/>
        </w:rPr>
        <w:t xml:space="preserve">Unfortunately, like all research, our study has its limitations. The first one being that there may have been errors in the crimes that were reported by each school. As we noted earlier, the Office of Postsecondary Education does say there are possible errors in their reported crimes and we have reason to believe that a few schools may have false reports. However, our model did not show enough evidence to say that this was the case. Furthermore, our study only focused on criminal offenses that occurred on campuses and the rates were calculated by the total number of crimes that occurred on campus. According to </w:t>
      </w:r>
      <w:proofErr w:type="spellStart"/>
      <w:r w:rsidRPr="004D0F4C">
        <w:rPr>
          <w:rFonts w:ascii="Times New Roman" w:hAnsi="Times New Roman" w:cs="Times New Roman"/>
          <w:sz w:val="24"/>
          <w:szCs w:val="24"/>
        </w:rPr>
        <w:t>Teraguchi</w:t>
      </w:r>
      <w:proofErr w:type="spellEnd"/>
      <w:r w:rsidRPr="004D0F4C">
        <w:rPr>
          <w:rFonts w:ascii="Times New Roman" w:hAnsi="Times New Roman" w:cs="Times New Roman"/>
          <w:sz w:val="24"/>
          <w:szCs w:val="24"/>
        </w:rPr>
        <w:t>, hate crimes have been occurring more often at schools and hate crimes were not a focus of our study. Therefore, some schools may have appeared to have a safer community, but they may have large number of hate crimes or other crimes oc</w:t>
      </w:r>
      <w:r w:rsidR="00563A63">
        <w:rPr>
          <w:rFonts w:ascii="Times New Roman" w:hAnsi="Times New Roman" w:cs="Times New Roman"/>
          <w:sz w:val="24"/>
          <w:szCs w:val="24"/>
        </w:rPr>
        <w:t>curring around campus that were no</w:t>
      </w:r>
      <w:r w:rsidRPr="004D0F4C">
        <w:rPr>
          <w:rFonts w:ascii="Times New Roman" w:hAnsi="Times New Roman" w:cs="Times New Roman"/>
          <w:sz w:val="24"/>
          <w:szCs w:val="24"/>
        </w:rPr>
        <w:t xml:space="preserve">t investigated in our study. Also, since we used the total number of crimes, some universities may appear to have a dangerous environment, but they may have only had a large amount of small crimes such as burglary. On the other hand, other institutes may appear to be safe with a smaller crime rate, but they have a larger number of homicides, forcible rapes, and aggravated assault when compared to other schools. Finally, a large constraint was that we were unaware of how much security was involved with each campus. For instance, schools that were located in more urban areas or dangerous cities may have had greater securities to prevent outsiders from disturbing the campus community. On the other hand, schools in small cities or rural areas may have had less security, allowing more outsiders to create disturbances on campus. Therefore, the type and amount of security that was available on each campus may have a large effect on the crime rates at each school. </w:t>
      </w:r>
    </w:p>
    <w:p w:rsidR="004D0F4C" w:rsidRDefault="004D0F4C" w:rsidP="00257A2B">
      <w:pPr>
        <w:spacing w:line="480" w:lineRule="auto"/>
        <w:ind w:firstLine="720"/>
        <w:rPr>
          <w:rFonts w:ascii="Times New Roman" w:hAnsi="Times New Roman" w:cs="Times New Roman"/>
          <w:sz w:val="24"/>
          <w:szCs w:val="24"/>
        </w:rPr>
      </w:pPr>
      <w:r w:rsidRPr="004D0F4C">
        <w:rPr>
          <w:rFonts w:ascii="Times New Roman" w:hAnsi="Times New Roman" w:cs="Times New Roman"/>
          <w:sz w:val="24"/>
          <w:szCs w:val="24"/>
        </w:rPr>
        <w:lastRenderedPageBreak/>
        <w:t>In order to do a more comprehensive study, we would like to perform analysis on the different types of crime rates at more diverse schools. We would like to investigate what types of crimes are occurring at each school and not refer to only the total number of criminal offenses that are occurring on campus. Furthermore, we would like to perform a study that looks at the types of security that are at each institute. However, the availability of this type of data may be limited. It would also be beneficial to look at the crime rates of each city and see if they are comparable with the crime rates of the schools they surround to perform a better study of the “spillover effect”.  Meanwhile, to check the validity of our model, we would like to perform the same procedures on one of the datasets that was mentioned earlier.</w:t>
      </w:r>
    </w:p>
    <w:p w:rsidR="00C857FD" w:rsidRDefault="00C857FD" w:rsidP="00C857FD">
      <w:pPr>
        <w:spacing w:line="480" w:lineRule="auto"/>
        <w:jc w:val="center"/>
        <w:rPr>
          <w:rFonts w:ascii="Times New Roman" w:hAnsi="Times New Roman" w:cs="Times New Roman"/>
          <w:b/>
          <w:sz w:val="24"/>
          <w:szCs w:val="24"/>
        </w:rPr>
      </w:pPr>
      <w:r w:rsidRPr="00D02310">
        <w:rPr>
          <w:rFonts w:ascii="Times New Roman" w:hAnsi="Times New Roman" w:cs="Times New Roman"/>
          <w:b/>
          <w:sz w:val="24"/>
          <w:szCs w:val="24"/>
        </w:rPr>
        <w:t>Acknowledgements</w:t>
      </w:r>
    </w:p>
    <w:p w:rsidR="00C857FD" w:rsidRPr="00D02310" w:rsidRDefault="00C857FD" w:rsidP="00C857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authors would like to thank the SUMSRI program at Miami University of Ohio for funding their project. </w:t>
      </w:r>
    </w:p>
    <w:p w:rsidR="00C857FD" w:rsidRPr="004D0F4C" w:rsidRDefault="00C857FD" w:rsidP="00257A2B">
      <w:pPr>
        <w:spacing w:line="480" w:lineRule="auto"/>
        <w:ind w:firstLine="720"/>
        <w:rPr>
          <w:rFonts w:ascii="Times New Roman" w:hAnsi="Times New Roman" w:cs="Times New Roman"/>
          <w:sz w:val="24"/>
          <w:szCs w:val="24"/>
        </w:rPr>
      </w:pPr>
    </w:p>
    <w:p w:rsidR="004D0F4C" w:rsidRPr="004D0F4C" w:rsidRDefault="004D0F4C" w:rsidP="004D0F4C">
      <w:pPr>
        <w:rPr>
          <w:rFonts w:ascii="Times New Roman" w:hAnsi="Times New Roman" w:cs="Times New Roman"/>
          <w:sz w:val="24"/>
          <w:szCs w:val="24"/>
        </w:rPr>
      </w:pPr>
    </w:p>
    <w:p w:rsidR="004D0F4C" w:rsidRPr="004D0F4C" w:rsidRDefault="004D0F4C" w:rsidP="004D0F4C">
      <w:pPr>
        <w:rPr>
          <w:rFonts w:ascii="Times New Roman" w:hAnsi="Times New Roman" w:cs="Times New Roman"/>
          <w:sz w:val="24"/>
          <w:szCs w:val="24"/>
        </w:rPr>
      </w:pPr>
    </w:p>
    <w:p w:rsidR="004D0F4C" w:rsidRPr="004D0F4C" w:rsidRDefault="004D0F4C" w:rsidP="004D0F4C">
      <w:pPr>
        <w:rPr>
          <w:rFonts w:ascii="Times New Roman" w:hAnsi="Times New Roman" w:cs="Times New Roman"/>
          <w:sz w:val="24"/>
          <w:szCs w:val="24"/>
        </w:rPr>
      </w:pPr>
    </w:p>
    <w:p w:rsidR="004D0F4C" w:rsidRPr="004D0F4C" w:rsidRDefault="004D0F4C" w:rsidP="004D0F4C">
      <w:pPr>
        <w:rPr>
          <w:rFonts w:ascii="Times New Roman" w:hAnsi="Times New Roman" w:cs="Times New Roman"/>
          <w:sz w:val="24"/>
          <w:szCs w:val="24"/>
        </w:rPr>
      </w:pPr>
    </w:p>
    <w:p w:rsidR="00BA105C" w:rsidRPr="004D0F4C" w:rsidRDefault="00BA105C" w:rsidP="004D0F4C">
      <w:pPr>
        <w:rPr>
          <w:rFonts w:ascii="Times New Roman" w:hAnsi="Times New Roman" w:cs="Times New Roman"/>
          <w:sz w:val="24"/>
          <w:szCs w:val="24"/>
        </w:rPr>
      </w:pPr>
    </w:p>
    <w:sectPr w:rsidR="00BA105C" w:rsidRPr="004D0F4C" w:rsidSect="0067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4701"/>
    <w:multiLevelType w:val="hybridMultilevel"/>
    <w:tmpl w:val="EA6E1CA2"/>
    <w:lvl w:ilvl="0" w:tplc="7C72821C">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237E42F8"/>
    <w:multiLevelType w:val="hybridMultilevel"/>
    <w:tmpl w:val="E49CE2E0"/>
    <w:lvl w:ilvl="0" w:tplc="F4306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E67E8"/>
    <w:multiLevelType w:val="hybridMultilevel"/>
    <w:tmpl w:val="B76890DA"/>
    <w:lvl w:ilvl="0" w:tplc="87F2F13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05582"/>
    <w:multiLevelType w:val="hybridMultilevel"/>
    <w:tmpl w:val="EF9CEAB2"/>
    <w:lvl w:ilvl="0" w:tplc="BC409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B0AE8"/>
    <w:multiLevelType w:val="hybridMultilevel"/>
    <w:tmpl w:val="5CB4E27A"/>
    <w:lvl w:ilvl="0" w:tplc="BC1E462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59"/>
    <w:rsid w:val="00010DB2"/>
    <w:rsid w:val="00027AC3"/>
    <w:rsid w:val="00030308"/>
    <w:rsid w:val="00032902"/>
    <w:rsid w:val="0005014C"/>
    <w:rsid w:val="00053217"/>
    <w:rsid w:val="00093A44"/>
    <w:rsid w:val="000C4886"/>
    <w:rsid w:val="000E58C2"/>
    <w:rsid w:val="000E6245"/>
    <w:rsid w:val="00135EF8"/>
    <w:rsid w:val="001415E9"/>
    <w:rsid w:val="001469CA"/>
    <w:rsid w:val="00151876"/>
    <w:rsid w:val="00191D98"/>
    <w:rsid w:val="001A3AC1"/>
    <w:rsid w:val="001A68DE"/>
    <w:rsid w:val="001A77FF"/>
    <w:rsid w:val="001C7022"/>
    <w:rsid w:val="001D74FA"/>
    <w:rsid w:val="001F6609"/>
    <w:rsid w:val="002235B3"/>
    <w:rsid w:val="0024152B"/>
    <w:rsid w:val="00242443"/>
    <w:rsid w:val="0024344D"/>
    <w:rsid w:val="00257A2B"/>
    <w:rsid w:val="002670AC"/>
    <w:rsid w:val="00272307"/>
    <w:rsid w:val="00277554"/>
    <w:rsid w:val="0029306E"/>
    <w:rsid w:val="00295D93"/>
    <w:rsid w:val="002960BF"/>
    <w:rsid w:val="002E31E5"/>
    <w:rsid w:val="002E6947"/>
    <w:rsid w:val="002F196B"/>
    <w:rsid w:val="002F6A2B"/>
    <w:rsid w:val="003035CC"/>
    <w:rsid w:val="00347B3A"/>
    <w:rsid w:val="00352882"/>
    <w:rsid w:val="003543D9"/>
    <w:rsid w:val="00356162"/>
    <w:rsid w:val="00382759"/>
    <w:rsid w:val="003A0F0A"/>
    <w:rsid w:val="003B31F7"/>
    <w:rsid w:val="003C5B04"/>
    <w:rsid w:val="003C7137"/>
    <w:rsid w:val="003E3660"/>
    <w:rsid w:val="00411F4C"/>
    <w:rsid w:val="0042440F"/>
    <w:rsid w:val="004865CC"/>
    <w:rsid w:val="00487C9E"/>
    <w:rsid w:val="00492C88"/>
    <w:rsid w:val="004A284D"/>
    <w:rsid w:val="004C49D2"/>
    <w:rsid w:val="004C7075"/>
    <w:rsid w:val="004D0F4C"/>
    <w:rsid w:val="004D2651"/>
    <w:rsid w:val="004D5ADE"/>
    <w:rsid w:val="004E4AFB"/>
    <w:rsid w:val="00563A63"/>
    <w:rsid w:val="0058364D"/>
    <w:rsid w:val="005A0AF5"/>
    <w:rsid w:val="005A4123"/>
    <w:rsid w:val="005A44A5"/>
    <w:rsid w:val="005C6074"/>
    <w:rsid w:val="005D3383"/>
    <w:rsid w:val="005F6BB0"/>
    <w:rsid w:val="00601969"/>
    <w:rsid w:val="006315DE"/>
    <w:rsid w:val="00643441"/>
    <w:rsid w:val="00647714"/>
    <w:rsid w:val="00676F6F"/>
    <w:rsid w:val="00687C48"/>
    <w:rsid w:val="006A00A9"/>
    <w:rsid w:val="006A112E"/>
    <w:rsid w:val="006A2B4B"/>
    <w:rsid w:val="006A6F2B"/>
    <w:rsid w:val="006B1BA5"/>
    <w:rsid w:val="006C08BC"/>
    <w:rsid w:val="006C0CB8"/>
    <w:rsid w:val="006D045F"/>
    <w:rsid w:val="006F4AC2"/>
    <w:rsid w:val="00726187"/>
    <w:rsid w:val="0077013F"/>
    <w:rsid w:val="00780741"/>
    <w:rsid w:val="007818E7"/>
    <w:rsid w:val="007D03F8"/>
    <w:rsid w:val="007E36EE"/>
    <w:rsid w:val="007E49FC"/>
    <w:rsid w:val="00827FE5"/>
    <w:rsid w:val="00831871"/>
    <w:rsid w:val="008374B2"/>
    <w:rsid w:val="0084244E"/>
    <w:rsid w:val="008428B6"/>
    <w:rsid w:val="00871099"/>
    <w:rsid w:val="00872D03"/>
    <w:rsid w:val="00874A52"/>
    <w:rsid w:val="00896923"/>
    <w:rsid w:val="00897C4E"/>
    <w:rsid w:val="008D6012"/>
    <w:rsid w:val="00904E5E"/>
    <w:rsid w:val="00911887"/>
    <w:rsid w:val="009140E9"/>
    <w:rsid w:val="00963926"/>
    <w:rsid w:val="009660BD"/>
    <w:rsid w:val="009807C9"/>
    <w:rsid w:val="00980D1B"/>
    <w:rsid w:val="0099489F"/>
    <w:rsid w:val="009A0DBA"/>
    <w:rsid w:val="009A7A3E"/>
    <w:rsid w:val="009B4A34"/>
    <w:rsid w:val="009E551A"/>
    <w:rsid w:val="00A2577D"/>
    <w:rsid w:val="00A36A24"/>
    <w:rsid w:val="00A51F8D"/>
    <w:rsid w:val="00A53206"/>
    <w:rsid w:val="00A60BCC"/>
    <w:rsid w:val="00AA7D0C"/>
    <w:rsid w:val="00AD229E"/>
    <w:rsid w:val="00B0521C"/>
    <w:rsid w:val="00B43019"/>
    <w:rsid w:val="00B63FE0"/>
    <w:rsid w:val="00B80410"/>
    <w:rsid w:val="00B84F19"/>
    <w:rsid w:val="00B8646C"/>
    <w:rsid w:val="00BA105C"/>
    <w:rsid w:val="00BC25BC"/>
    <w:rsid w:val="00BC2B1B"/>
    <w:rsid w:val="00BD27EB"/>
    <w:rsid w:val="00BE4CCC"/>
    <w:rsid w:val="00C07ABD"/>
    <w:rsid w:val="00C13B44"/>
    <w:rsid w:val="00C2731B"/>
    <w:rsid w:val="00C3051E"/>
    <w:rsid w:val="00C30C1F"/>
    <w:rsid w:val="00C31A19"/>
    <w:rsid w:val="00C36352"/>
    <w:rsid w:val="00C5099A"/>
    <w:rsid w:val="00C71ED9"/>
    <w:rsid w:val="00C857FD"/>
    <w:rsid w:val="00C93161"/>
    <w:rsid w:val="00CA399A"/>
    <w:rsid w:val="00D0013D"/>
    <w:rsid w:val="00D300B2"/>
    <w:rsid w:val="00D32D7B"/>
    <w:rsid w:val="00D576ED"/>
    <w:rsid w:val="00D63944"/>
    <w:rsid w:val="00D80B4E"/>
    <w:rsid w:val="00D83CB6"/>
    <w:rsid w:val="00DA2BB5"/>
    <w:rsid w:val="00DC2A4E"/>
    <w:rsid w:val="00DD1086"/>
    <w:rsid w:val="00DD244C"/>
    <w:rsid w:val="00DE2E03"/>
    <w:rsid w:val="00E04BFF"/>
    <w:rsid w:val="00E3336A"/>
    <w:rsid w:val="00E42E43"/>
    <w:rsid w:val="00E50075"/>
    <w:rsid w:val="00E56B64"/>
    <w:rsid w:val="00E61007"/>
    <w:rsid w:val="00EB52D3"/>
    <w:rsid w:val="00F038E8"/>
    <w:rsid w:val="00F05259"/>
    <w:rsid w:val="00F21F22"/>
    <w:rsid w:val="00F316A0"/>
    <w:rsid w:val="00F440BF"/>
    <w:rsid w:val="00F53A1B"/>
    <w:rsid w:val="00F77798"/>
    <w:rsid w:val="00F8004E"/>
    <w:rsid w:val="00F802F7"/>
    <w:rsid w:val="00F85E99"/>
    <w:rsid w:val="00FE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59"/>
    <w:pPr>
      <w:ind w:left="720"/>
      <w:contextualSpacing/>
    </w:pPr>
  </w:style>
  <w:style w:type="table" w:styleId="TableGrid">
    <w:name w:val="Table Grid"/>
    <w:basedOn w:val="TableNormal"/>
    <w:uiPriority w:val="59"/>
    <w:rsid w:val="0014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4D0F4C"/>
    <w:rPr>
      <w:color w:val="000080"/>
      <w:u w:val="single"/>
    </w:rPr>
  </w:style>
  <w:style w:type="paragraph" w:customStyle="1" w:styleId="TextBody">
    <w:name w:val="Text Body"/>
    <w:basedOn w:val="Normal"/>
    <w:rsid w:val="004D0F4C"/>
    <w:pPr>
      <w:widowControl w:val="0"/>
      <w:suppressAutoHyphens/>
      <w:spacing w:after="120"/>
    </w:pPr>
    <w:rPr>
      <w:rFonts w:ascii="Times New Roman" w:eastAsia="SimSun" w:hAnsi="Times New Roman" w:cs="Mangal"/>
      <w:sz w:val="24"/>
      <w:szCs w:val="24"/>
      <w:lang w:eastAsia="zh-CN" w:bidi="hi-IN"/>
    </w:rPr>
  </w:style>
  <w:style w:type="paragraph" w:styleId="BalloonText">
    <w:name w:val="Balloon Text"/>
    <w:basedOn w:val="Normal"/>
    <w:link w:val="BalloonTextChar"/>
    <w:uiPriority w:val="99"/>
    <w:semiHidden/>
    <w:unhideWhenUsed/>
    <w:rsid w:val="004D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4C"/>
    <w:rPr>
      <w:rFonts w:ascii="Tahoma" w:hAnsi="Tahoma" w:cs="Tahoma"/>
      <w:sz w:val="16"/>
      <w:szCs w:val="16"/>
    </w:rPr>
  </w:style>
  <w:style w:type="table" w:styleId="LightList-Accent5">
    <w:name w:val="Light List Accent 5"/>
    <w:basedOn w:val="TableNormal"/>
    <w:uiPriority w:val="61"/>
    <w:rsid w:val="004D0F4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semiHidden/>
    <w:unhideWhenUsed/>
    <w:rsid w:val="00093A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59"/>
    <w:pPr>
      <w:ind w:left="720"/>
      <w:contextualSpacing/>
    </w:pPr>
  </w:style>
  <w:style w:type="table" w:styleId="TableGrid">
    <w:name w:val="Table Grid"/>
    <w:basedOn w:val="TableNormal"/>
    <w:uiPriority w:val="59"/>
    <w:rsid w:val="0014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4D0F4C"/>
    <w:rPr>
      <w:color w:val="000080"/>
      <w:u w:val="single"/>
    </w:rPr>
  </w:style>
  <w:style w:type="paragraph" w:customStyle="1" w:styleId="TextBody">
    <w:name w:val="Text Body"/>
    <w:basedOn w:val="Normal"/>
    <w:rsid w:val="004D0F4C"/>
    <w:pPr>
      <w:widowControl w:val="0"/>
      <w:suppressAutoHyphens/>
      <w:spacing w:after="120"/>
    </w:pPr>
    <w:rPr>
      <w:rFonts w:ascii="Times New Roman" w:eastAsia="SimSun" w:hAnsi="Times New Roman" w:cs="Mangal"/>
      <w:sz w:val="24"/>
      <w:szCs w:val="24"/>
      <w:lang w:eastAsia="zh-CN" w:bidi="hi-IN"/>
    </w:rPr>
  </w:style>
  <w:style w:type="paragraph" w:styleId="BalloonText">
    <w:name w:val="Balloon Text"/>
    <w:basedOn w:val="Normal"/>
    <w:link w:val="BalloonTextChar"/>
    <w:uiPriority w:val="99"/>
    <w:semiHidden/>
    <w:unhideWhenUsed/>
    <w:rsid w:val="004D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4C"/>
    <w:rPr>
      <w:rFonts w:ascii="Tahoma" w:hAnsi="Tahoma" w:cs="Tahoma"/>
      <w:sz w:val="16"/>
      <w:szCs w:val="16"/>
    </w:rPr>
  </w:style>
  <w:style w:type="table" w:styleId="LightList-Accent5">
    <w:name w:val="Light List Accent 5"/>
    <w:basedOn w:val="TableNormal"/>
    <w:uiPriority w:val="61"/>
    <w:rsid w:val="004D0F4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semiHidden/>
    <w:unhideWhenUsed/>
    <w:rsid w:val="00093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Maxwell</dc:creator>
  <cp:lastModifiedBy>Jane</cp:lastModifiedBy>
  <cp:revision>3</cp:revision>
  <dcterms:created xsi:type="dcterms:W3CDTF">2013-07-30T14:22:00Z</dcterms:created>
  <dcterms:modified xsi:type="dcterms:W3CDTF">2013-07-30T14:40:00Z</dcterms:modified>
</cp:coreProperties>
</file>