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Fußgängeratlas Stuttgart</w:t>
      </w:r>
    </w:p>
    <w:p>
      <w:pPr>
        <w:pStyle w:val="Subtitle"/>
      </w:pPr>
      <w:r>
        <w:t>Hauptdokumentation</w:t>
      </w:r>
    </w:p>
    <w:p>
      <w:r>
        <w:t>Datengrundlagen, Methoden, Anwendung und Grenzen</w:t>
      </w:r>
    </w:p>
    <w:p>
      <w:r>
        <w:t>Mohammadreza Bakhshi</w:t>
        <w:br/>
        <w:t>Entwicklung im MobiData-BW-Kontext · HfWU</w:t>
        <w:br/>
        <w:t>Datenpaket vom 15. September 2026 · Deutsche Fassung</w:t>
      </w:r>
    </w:p>
    <w:p>
      <w:pPr>
        <w:pStyle w:val="Heading2"/>
      </w:pPr>
      <w:r>
        <w:t>Zweck des Atlas</w:t>
      </w:r>
    </w:p>
    <w:p>
      <w:r>
        <w:t>Der Fußgängeratlas Stuttgart bündelt Informationen zu Straßen und Wegen, die für den Fußverkehr relevant sind. Er verbindet die Längsneigung mit modelliertem Schatten, thermischer Belastung, einem relativen Windindex, Oberflächenangaben und Lärminformationen. Ergänzend zeigt er unter anderem Treppen, Aufzüge, Querungsstellen und Sitzgelegenheiten. Damit lassen sich örtliche Bedingungen vergleichen und Bereiche für eine nähere Untersuchung auswählen.</w:t>
      </w:r>
    </w:p>
    <w:p>
      <w:r>
        <w:t>Der Atlas ist ein GIS-Datenbestand mit vorbereiteten Kartenansichten. Er enthält weder eine fertige Routenberechnung noch eine Echtzeitvorhersage. Seine Werte ersetzen keine örtliche Prüfung der Zugänglichkeit und keine bautechnische Bewertung. Insbesondere darf eine günstige Steigungsklasse nicht mit einer vollständig barrierefreien Verbindung gleichgesetzt werden.</w:t>
      </w:r>
    </w:p>
    <w:p>
      <w:pPr>
        <w:pStyle w:val="Heading2"/>
      </w:pPr>
      <w:r>
        <w:t>Der dokumentierte Bestand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74"/>
      </w:tblGrid>
      <w:tr>
        <w:trPr>
          <w:cantSplit/>
          <w:tblHeader/>
        </w:trPr>
        <w:tc>
          <w:tcPr>
            <w:tcW w:type="dxa" w:w="4320"/>
            <w:vAlign w:val="center"/>
            <w:shd w:fill="DCE6EF"/>
            <w:tcMar>
              <w:top w:w="70" w:type="dxa"/>
              <w:left w:w="70" w:type="dxa"/>
              <w:bottom w:w="70" w:type="dxa"/>
              <w:right w:w="70" w:type="dxa"/>
            </w:tcMar>
          </w:tcPr>
          <w:p>
            <w:pPr>
              <w:spacing w:after="20" w:line="240" w:lineRule="auto"/>
            </w:pPr>
            <w:r>
              <w:rPr>
                <w:b/>
                <w:sz w:val="20"/>
              </w:rPr>
              <w:t>Merkmal</w:t>
            </w:r>
          </w:p>
        </w:tc>
        <w:tc>
          <w:tcPr>
            <w:tcW w:type="dxa" w:w="5674"/>
            <w:vAlign w:val="center"/>
            <w:shd w:fill="DCE6EF"/>
            <w:tcMar>
              <w:top w:w="70" w:type="dxa"/>
              <w:left w:w="70" w:type="dxa"/>
              <w:bottom w:w="70" w:type="dxa"/>
              <w:right w:w="70" w:type="dxa"/>
            </w:tcMar>
          </w:tcPr>
          <w:p>
            <w:pPr>
              <w:spacing w:after="20" w:line="240" w:lineRule="auto"/>
            </w:pPr>
            <w:r>
              <w:rPr>
                <w:b/>
                <w:sz w:val="20"/>
              </w:rPr>
              <w:t>Umfang</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Straßen- und Wegsegmente</w:t>
            </w:r>
          </w:p>
        </w:tc>
        <w:tc>
          <w:tcPr>
            <w:tcW w:type="dxa" w:w="5674"/>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4320"/>
            <w:vAlign w:val="center"/>
            <w:shd w:fill="F5F7F9"/>
            <w:tcMar>
              <w:top w:w="70" w:type="dxa"/>
              <w:left w:w="70" w:type="dxa"/>
              <w:bottom w:w="70" w:type="dxa"/>
              <w:right w:w="70" w:type="dxa"/>
            </w:tcMar>
          </w:tcPr>
          <w:p>
            <w:pPr>
              <w:spacing w:after="20" w:line="240" w:lineRule="auto"/>
            </w:pPr>
            <w:r>
              <w:rPr>
                <w:b w:val="0"/>
                <w:sz w:val="20"/>
              </w:rPr>
              <w:t>Fachebenen im GeoPackage</w:t>
            </w:r>
          </w:p>
        </w:tc>
        <w:tc>
          <w:tcPr>
            <w:tcW w:type="dxa" w:w="5674"/>
            <w:vAlign w:val="center"/>
            <w:shd w:fill="F5F7F9"/>
            <w:tcMar>
              <w:top w:w="70" w:type="dxa"/>
              <w:left w:w="70" w:type="dxa"/>
              <w:bottom w:w="70" w:type="dxa"/>
              <w:right w:w="70" w:type="dxa"/>
            </w:tcMar>
          </w:tcPr>
          <w:p>
            <w:pPr>
              <w:spacing w:after="20" w:line="240" w:lineRule="auto"/>
            </w:pPr>
            <w:r>
              <w:rPr>
                <w:b w:val="0"/>
                <w:sz w:val="20"/>
              </w:rPr>
              <w:t>21</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Gebäude / Einzelbäume</w:t>
            </w:r>
          </w:p>
        </w:tc>
        <w:tc>
          <w:tcPr>
            <w:tcW w:type="dxa" w:w="5674"/>
            <w:vAlign w:val="center"/>
            <w:shd w:fill="FFFFFF"/>
            <w:tcMar>
              <w:top w:w="70" w:type="dxa"/>
              <w:left w:w="70" w:type="dxa"/>
              <w:bottom w:w="70" w:type="dxa"/>
              <w:right w:w="70" w:type="dxa"/>
            </w:tcMar>
          </w:tcPr>
          <w:p>
            <w:pPr>
              <w:spacing w:after="20" w:line="240" w:lineRule="auto"/>
            </w:pPr>
            <w:r>
              <w:rPr>
                <w:b w:val="0"/>
                <w:sz w:val="20"/>
              </w:rPr>
              <w:t>105.521 / 23.486</w:t>
            </w:r>
          </w:p>
        </w:tc>
      </w:tr>
      <w:tr>
        <w:trPr>
          <w:cantSplit/>
        </w:trPr>
        <w:tc>
          <w:tcPr>
            <w:tcW w:type="dxa" w:w="4320"/>
            <w:vAlign w:val="center"/>
            <w:shd w:fill="F5F7F9"/>
            <w:tcMar>
              <w:top w:w="70" w:type="dxa"/>
              <w:left w:w="70" w:type="dxa"/>
              <w:bottom w:w="70" w:type="dxa"/>
              <w:right w:w="70" w:type="dxa"/>
            </w:tcMar>
          </w:tcPr>
          <w:p>
            <w:pPr>
              <w:spacing w:after="20" w:line="240" w:lineRule="auto"/>
            </w:pPr>
            <w:r>
              <w:rPr>
                <w:b w:val="0"/>
                <w:sz w:val="20"/>
              </w:rPr>
              <w:t>Kartenstile / Symboldateien</w:t>
            </w:r>
          </w:p>
        </w:tc>
        <w:tc>
          <w:tcPr>
            <w:tcW w:type="dxa" w:w="5674"/>
            <w:vAlign w:val="center"/>
            <w:shd w:fill="F5F7F9"/>
            <w:tcMar>
              <w:top w:w="70" w:type="dxa"/>
              <w:left w:w="70" w:type="dxa"/>
              <w:bottom w:w="70" w:type="dxa"/>
              <w:right w:w="70" w:type="dxa"/>
            </w:tcMar>
          </w:tcPr>
          <w:p>
            <w:pPr>
              <w:spacing w:after="20" w:line="240" w:lineRule="auto"/>
            </w:pPr>
            <w:r>
              <w:rPr>
                <w:b w:val="0"/>
                <w:sz w:val="20"/>
              </w:rPr>
              <w:t>21 QML / 11 SVG</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Räumlicher Bezug</w:t>
            </w:r>
          </w:p>
        </w:tc>
        <w:tc>
          <w:tcPr>
            <w:tcW w:type="dxa" w:w="5674"/>
            <w:vAlign w:val="center"/>
            <w:shd w:fill="FFFFFF"/>
            <w:tcMar>
              <w:top w:w="70" w:type="dxa"/>
              <w:left w:w="70" w:type="dxa"/>
              <w:bottom w:w="70" w:type="dxa"/>
              <w:right w:w="70" w:type="dxa"/>
            </w:tcMar>
          </w:tcPr>
          <w:p>
            <w:pPr>
              <w:spacing w:after="20" w:line="240" w:lineRule="auto"/>
            </w:pPr>
            <w:r>
              <w:rPr>
                <w:b w:val="0"/>
                <w:sz w:val="20"/>
              </w:rPr>
              <w:t>Stuttgart · ETRS89 / UTM Zone 32N, EPSG:25832</w:t>
            </w:r>
          </w:p>
        </w:tc>
      </w:tr>
    </w:tbl>
    <w:p>
      <w:pPr>
        <w:spacing w:after="20"/>
      </w:pPr>
    </w:p>
    <w:p>
      <w:r>
        <w:t>Die Mengenangaben beziehen sich auf das gelieferte GeoPackage. Die zusätzliche Hintergrundkarte im QGIS-Projekt ist darin nicht als Fachebene enthalten. Das Paketdatum bezeichnet den Bearbeitungsstand des Atlas, nicht das gemeinsame Erhebungsdatum aller Eingangsdaten. [1]</w:t>
      </w:r>
    </w:p>
    <w:p>
      <w:r>
        <w:br w:type="page"/>
      </w:r>
    </w:p>
    <w:p>
      <w:pPr>
        <w:pStyle w:val="Heading1"/>
      </w:pPr>
      <w:r>
        <w:t>1 Nutzung und Einordnung</w:t>
      </w:r>
    </w:p>
    <w:p>
      <w:r>
        <w:t>Die Hauptdokumentation richtet sich an Verwaltung, Planung, Forschung und weitere Interessierte. Sie erläutert, welche Aussagen die Karten ermöglichen, wie die wichtigsten Werte entstehen und wo ihre Grenzen liegen. Einzelne Implementierungsdetails, das vollständige Feldverzeichnis und die reproduzierbare Verarbeitung gehören in die gesonderte technische Dokumentation.</w:t>
      </w:r>
    </w:p>
    <w:p>
      <w:pPr>
        <w:pStyle w:val="Heading2"/>
      </w:pPr>
      <w:r>
        <w:t>Wofür sich die Daten eignen</w:t>
      </w:r>
    </w:p>
    <w:p>
      <w:r>
        <w:t>In der Fußverkehrsplanung können Steigung, Oberflächenangaben und vorhandene Infrastruktur gemeinsam betrachtet werden. Für eine erste Bewertung sommerlicher Belastung lassen sich Abschnitte mit wenig modelliertem Schatten auswählen. In der Forschung kann der Bestand als Ausgangspunkt für räumliche Vergleiche oder für die Entwicklung angepasster Routenmodelle dienen. Eine Priorisierung von Maßnahmen erfordert zusätzlich Informationen über Nutzung, Aufenthaltsdauer, örtlichen Zustand und betroffene Bevölkerungsgruppen.</w:t>
      </w:r>
    </w:p>
    <w:p>
      <w:r>
        <w:t>Die Themen werden bewusst getrennt bereitgestellt. Eine einzige Gesamtpunktzahl würde verdecken, dass Anforderungen unterschiedlich sind: Ein schattiger Weg kann im Sommer angenehm, im Winter dagegen ungünstiger sein. Ein kurzer Weg kann zugleich steil oder mit Treppen versehen sein. Der Atlas legt keine allgemeingültige Gewichtung dieser Eigenschaften fest.</w:t>
      </w:r>
    </w:p>
    <w:p>
      <w:pPr>
        <w:pStyle w:val="Heading2"/>
      </w:pPr>
      <w:r>
        <w:t>Was die Karte nicht zusichert</w:t>
      </w:r>
    </w:p>
    <w:p>
      <w:r>
        <w:t>Die Netzgeometrien stammen aus einem Straßen- und Wegebestand. Sie bilden nicht überall einzelne Gehwegseiten ab. Ein kartierter Straßenabschnitt ist daher kein Nachweis für einen begehbaren, durchgängigen oder rechtlich zugänglichen Gehweg. Verkehrsrechtliche Einschränkungen, Öffnungszeiten und private Zugänge müssen vor einer konkreten Routenfreigabe gesondert bewertet werden.</w:t>
      </w:r>
    </w:p>
    <w:p>
      <w:r>
        <w:t>Auch die Infrastrukturpunkte sind Bestandsangaben. Die Darstellung eines Aufzugs sagt beispielsweise nichts über seinen aktuellen Betriebszustand aus. Fehlende Punkte oder Attribute können auf Erfassungslücken beruhen. Das Fehlen eines Symbols beweist deshalb nicht, dass die betreffende Ausstattung vor Ort fehlt.</w:t>
      </w:r>
    </w:p>
    <w:p>
      <w:pPr>
        <w:pStyle w:val="Heading2"/>
      </w:pPr>
      <w:r>
        <w:t>Leseführung</w:t>
      </w:r>
    </w:p>
    <w:p>
      <w:r>
        <w:t>Kapitel 2 beschreibt die Dateien und Ebenen. Kapitel 3 führt durch die Karten und Tabellen. Die Kapitel 4 bis 7 erläutern die sechs Themen sowie die ergänzende Infrastruktur. Kapitel 8 behandelt die Datenqualität, Kapitel 9 die Aktualisierung. Quellen und Rechte sind in den Kapiteln 10 und 11 dokumentiert.</w:t>
      </w:r>
    </w:p>
    <w:p>
      <w:r>
        <w:br w:type="page"/>
      </w:r>
    </w:p>
    <w:p>
      <w:pPr>
        <w:pStyle w:val="Heading1"/>
      </w:pPr>
      <w:r>
        <w:t>2 Dateien und Fachebenen</w:t>
      </w:r>
    </w:p>
    <w:p>
      <w:r>
        <w:t>Die Datei Fussgaengeratlas_Stuttgart.gpkg enthält Geometrien, Attribute und eingebettete Kartenstile. Fussgaengeratlas_Stuttgart.qgz speichert die Projektansicht. Im Ordner Styling liegen die externen QML-Stile, unter Styling/SVG die Symbole. Documentation enthält unter anderem Mengenangaben, Prüfprotokolle und das Prüfsummenverzeichnis.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5242"/>
        <w:gridCol w:w="1728"/>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Ebene im Paket</w:t>
            </w:r>
          </w:p>
        </w:tc>
        <w:tc>
          <w:tcPr>
            <w:tcW w:type="dxa" w:w="5242"/>
            <w:vAlign w:val="center"/>
            <w:shd w:fill="DCE6EF"/>
            <w:tcMar>
              <w:top w:w="70" w:type="dxa"/>
              <w:left w:w="70" w:type="dxa"/>
              <w:bottom w:w="70" w:type="dxa"/>
              <w:right w:w="70" w:type="dxa"/>
            </w:tcMar>
          </w:tcPr>
          <w:p>
            <w:pPr>
              <w:spacing w:after="20" w:line="240" w:lineRule="auto"/>
            </w:pPr>
            <w:r>
              <w:rPr>
                <w:b/>
                <w:sz w:val="20"/>
              </w:rPr>
              <w:t>Inhalt</w:t>
            </w:r>
          </w:p>
        </w:tc>
        <w:tc>
          <w:tcPr>
            <w:tcW w:type="dxa" w:w="1728"/>
            <w:vAlign w:val="center"/>
            <w:shd w:fill="DCE6EF"/>
            <w:tcMar>
              <w:top w:w="70" w:type="dxa"/>
              <w:left w:w="70" w:type="dxa"/>
              <w:bottom w:w="70" w:type="dxa"/>
              <w:right w:w="70" w:type="dxa"/>
            </w:tcMar>
          </w:tcPr>
          <w:p>
            <w:pPr>
              <w:spacing w:after="20" w:line="240" w:lineRule="auto"/>
            </w:pPr>
            <w:r>
              <w:rPr>
                <w:b/>
                <w:sz w:val="20"/>
              </w:rPr>
              <w:t>Objekte</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Pedestrian_Network</w:t>
            </w:r>
          </w:p>
        </w:tc>
        <w:tc>
          <w:tcPr>
            <w:tcW w:type="dxa" w:w="5242"/>
            <w:vAlign w:val="center"/>
            <w:shd w:fill="FFFFFF"/>
            <w:tcMar>
              <w:top w:w="70" w:type="dxa"/>
              <w:left w:w="70" w:type="dxa"/>
              <w:bottom w:w="70" w:type="dxa"/>
              <w:right w:w="70" w:type="dxa"/>
            </w:tcMar>
          </w:tcPr>
          <w:p>
            <w:pPr>
              <w:spacing w:after="20" w:line="240" w:lineRule="auto"/>
            </w:pPr>
            <w:r>
              <w:rPr>
                <w:b w:val="0"/>
                <w:sz w:val="20"/>
              </w:rPr>
              <w:t>Hauptbestand mit Themenattributen</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Shade_Summer</w:t>
            </w:r>
          </w:p>
        </w:tc>
        <w:tc>
          <w:tcPr>
            <w:tcW w:type="dxa" w:w="5242"/>
            <w:vAlign w:val="center"/>
            <w:shd w:fill="F5F7F9"/>
            <w:tcMar>
              <w:top w:w="70" w:type="dxa"/>
              <w:left w:w="70" w:type="dxa"/>
              <w:bottom w:w="70" w:type="dxa"/>
              <w:right w:w="70" w:type="dxa"/>
            </w:tcMar>
          </w:tcPr>
          <w:p>
            <w:pPr>
              <w:spacing w:after="20" w:line="240" w:lineRule="auto"/>
            </w:pPr>
            <w:r>
              <w:rPr>
                <w:b w:val="0"/>
                <w:sz w:val="20"/>
              </w:rPr>
              <w:t>Sommerschatten</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Shade_Winter</w:t>
            </w:r>
          </w:p>
        </w:tc>
        <w:tc>
          <w:tcPr>
            <w:tcW w:type="dxa" w:w="5242"/>
            <w:vAlign w:val="center"/>
            <w:shd w:fill="FFFFFF"/>
            <w:tcMar>
              <w:top w:w="70" w:type="dxa"/>
              <w:left w:w="70" w:type="dxa"/>
              <w:bottom w:w="70" w:type="dxa"/>
              <w:right w:w="70" w:type="dxa"/>
            </w:tcMar>
          </w:tcPr>
          <w:p>
            <w:pPr>
              <w:spacing w:after="20" w:line="240" w:lineRule="auto"/>
            </w:pPr>
            <w:r>
              <w:rPr>
                <w:b w:val="0"/>
                <w:sz w:val="20"/>
              </w:rPr>
              <w:t>Winterschatten</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UTCI_Summer</w:t>
            </w:r>
          </w:p>
        </w:tc>
        <w:tc>
          <w:tcPr>
            <w:tcW w:type="dxa" w:w="5242"/>
            <w:vAlign w:val="center"/>
            <w:shd w:fill="F5F7F9"/>
            <w:tcMar>
              <w:top w:w="70" w:type="dxa"/>
              <w:left w:w="70" w:type="dxa"/>
              <w:bottom w:w="70" w:type="dxa"/>
              <w:right w:w="70" w:type="dxa"/>
            </w:tcMar>
          </w:tcPr>
          <w:p>
            <w:pPr>
              <w:spacing w:after="20" w:line="240" w:lineRule="auto"/>
            </w:pPr>
            <w:r>
              <w:rPr>
                <w:b w:val="0"/>
                <w:sz w:val="20"/>
              </w:rPr>
              <w:t>Thermische Belastung im Sommer</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UTCI_Winter</w:t>
            </w:r>
          </w:p>
        </w:tc>
        <w:tc>
          <w:tcPr>
            <w:tcW w:type="dxa" w:w="5242"/>
            <w:vAlign w:val="center"/>
            <w:shd w:fill="FFFFFF"/>
            <w:tcMar>
              <w:top w:w="70" w:type="dxa"/>
              <w:left w:w="70" w:type="dxa"/>
              <w:bottom w:w="70" w:type="dxa"/>
              <w:right w:w="70" w:type="dxa"/>
            </w:tcMar>
          </w:tcPr>
          <w:p>
            <w:pPr>
              <w:spacing w:after="20" w:line="240" w:lineRule="auto"/>
            </w:pPr>
            <w:r>
              <w:rPr>
                <w:b w:val="0"/>
                <w:sz w:val="20"/>
              </w:rPr>
              <w:t>Thermische Belastung im Winter</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Wind</w:t>
            </w:r>
          </w:p>
        </w:tc>
        <w:tc>
          <w:tcPr>
            <w:tcW w:type="dxa" w:w="5242"/>
            <w:vAlign w:val="center"/>
            <w:shd w:fill="F5F7F9"/>
            <w:tcMar>
              <w:top w:w="70" w:type="dxa"/>
              <w:left w:w="70" w:type="dxa"/>
              <w:bottom w:w="70" w:type="dxa"/>
              <w:right w:w="70" w:type="dxa"/>
            </w:tcMar>
          </w:tcPr>
          <w:p>
            <w:pPr>
              <w:spacing w:after="20" w:line="240" w:lineRule="auto"/>
            </w:pPr>
            <w:r>
              <w:rPr>
                <w:b w:val="0"/>
                <w:sz w:val="20"/>
              </w:rPr>
              <w:t>Relativer Windindex</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Surface</w:t>
            </w:r>
          </w:p>
        </w:tc>
        <w:tc>
          <w:tcPr>
            <w:tcW w:type="dxa" w:w="5242"/>
            <w:vAlign w:val="center"/>
            <w:shd w:fill="FFFFFF"/>
            <w:tcMar>
              <w:top w:w="70" w:type="dxa"/>
              <w:left w:w="70" w:type="dxa"/>
              <w:bottom w:w="70" w:type="dxa"/>
              <w:right w:w="70" w:type="dxa"/>
            </w:tcMar>
          </w:tcPr>
          <w:p>
            <w:pPr>
              <w:spacing w:after="20" w:line="240" w:lineRule="auto"/>
            </w:pPr>
            <w:r>
              <w:rPr>
                <w:b w:val="0"/>
                <w:sz w:val="20"/>
              </w:rPr>
              <w:t>Oberflächenklassen</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Noise</w:t>
            </w:r>
          </w:p>
        </w:tc>
        <w:tc>
          <w:tcPr>
            <w:tcW w:type="dxa" w:w="5242"/>
            <w:vAlign w:val="center"/>
            <w:shd w:fill="F5F7F9"/>
            <w:tcMar>
              <w:top w:w="70" w:type="dxa"/>
              <w:left w:w="70" w:type="dxa"/>
              <w:bottom w:w="70" w:type="dxa"/>
              <w:right w:w="70" w:type="dxa"/>
            </w:tcMar>
          </w:tcPr>
          <w:p>
            <w:pPr>
              <w:spacing w:after="20" w:line="240" w:lineRule="auto"/>
            </w:pPr>
            <w:r>
              <w:rPr>
                <w:b w:val="0"/>
                <w:sz w:val="20"/>
              </w:rPr>
              <w:t>Lärminformationen</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Trees</w:t>
            </w:r>
          </w:p>
        </w:tc>
        <w:tc>
          <w:tcPr>
            <w:tcW w:type="dxa" w:w="5242"/>
            <w:vAlign w:val="center"/>
            <w:shd w:fill="FFFFFF"/>
            <w:tcMar>
              <w:top w:w="70" w:type="dxa"/>
              <w:left w:w="70" w:type="dxa"/>
              <w:bottom w:w="70" w:type="dxa"/>
              <w:right w:w="70" w:type="dxa"/>
            </w:tcMar>
          </w:tcPr>
          <w:p>
            <w:pPr>
              <w:spacing w:after="20" w:line="240" w:lineRule="auto"/>
            </w:pPr>
            <w:r>
              <w:rPr>
                <w:b w:val="0"/>
                <w:sz w:val="20"/>
              </w:rPr>
              <w:t>Einzelbäume</w:t>
            </w:r>
          </w:p>
        </w:tc>
        <w:tc>
          <w:tcPr>
            <w:tcW w:type="dxa" w:w="1728"/>
            <w:vAlign w:val="center"/>
            <w:shd w:fill="FFFFFF"/>
            <w:tcMar>
              <w:top w:w="70" w:type="dxa"/>
              <w:left w:w="70" w:type="dxa"/>
              <w:bottom w:w="70" w:type="dxa"/>
              <w:right w:w="70" w:type="dxa"/>
            </w:tcMar>
          </w:tcPr>
          <w:p>
            <w:pPr>
              <w:spacing w:after="20" w:line="240" w:lineRule="auto"/>
            </w:pPr>
            <w:r>
              <w:rPr>
                <w:b w:val="0"/>
                <w:sz w:val="20"/>
              </w:rPr>
              <w:t>23.486</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Buildings</w:t>
            </w:r>
          </w:p>
        </w:tc>
        <w:tc>
          <w:tcPr>
            <w:tcW w:type="dxa" w:w="5242"/>
            <w:vAlign w:val="center"/>
            <w:shd w:fill="F5F7F9"/>
            <w:tcMar>
              <w:top w:w="70" w:type="dxa"/>
              <w:left w:w="70" w:type="dxa"/>
              <w:bottom w:w="70" w:type="dxa"/>
              <w:right w:w="70" w:type="dxa"/>
            </w:tcMar>
          </w:tcPr>
          <w:p>
            <w:pPr>
              <w:spacing w:after="20" w:line="240" w:lineRule="auto"/>
            </w:pPr>
            <w:r>
              <w:rPr>
                <w:b w:val="0"/>
                <w:sz w:val="20"/>
              </w:rPr>
              <w:t>Gebäude mit Höhenattributen</w:t>
            </w:r>
          </w:p>
        </w:tc>
        <w:tc>
          <w:tcPr>
            <w:tcW w:type="dxa" w:w="1728"/>
            <w:vAlign w:val="center"/>
            <w:shd w:fill="F5F7F9"/>
            <w:tcMar>
              <w:top w:w="70" w:type="dxa"/>
              <w:left w:w="70" w:type="dxa"/>
              <w:bottom w:w="70" w:type="dxa"/>
              <w:right w:w="70" w:type="dxa"/>
            </w:tcMar>
          </w:tcPr>
          <w:p>
            <w:pPr>
              <w:spacing w:after="20" w:line="240" w:lineRule="auto"/>
            </w:pPr>
            <w:r>
              <w:rPr>
                <w:b w:val="0"/>
                <w:sz w:val="20"/>
              </w:rPr>
              <w:t>105.521</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Elevators</w:t>
            </w:r>
          </w:p>
        </w:tc>
        <w:tc>
          <w:tcPr>
            <w:tcW w:type="dxa" w:w="5242"/>
            <w:vAlign w:val="center"/>
            <w:shd w:fill="FFFFFF"/>
            <w:tcMar>
              <w:top w:w="70" w:type="dxa"/>
              <w:left w:w="70" w:type="dxa"/>
              <w:bottom w:w="70" w:type="dxa"/>
              <w:right w:w="70" w:type="dxa"/>
            </w:tcMar>
          </w:tcPr>
          <w:p>
            <w:pPr>
              <w:spacing w:after="20" w:line="240" w:lineRule="auto"/>
            </w:pPr>
            <w:r>
              <w:rPr>
                <w:b w:val="0"/>
                <w:sz w:val="20"/>
              </w:rPr>
              <w:t>Aufzüge</w:t>
            </w:r>
          </w:p>
        </w:tc>
        <w:tc>
          <w:tcPr>
            <w:tcW w:type="dxa" w:w="1728"/>
            <w:vAlign w:val="center"/>
            <w:shd w:fill="FFFFFF"/>
            <w:tcMar>
              <w:top w:w="70" w:type="dxa"/>
              <w:left w:w="70" w:type="dxa"/>
              <w:bottom w:w="70" w:type="dxa"/>
              <w:right w:w="70" w:type="dxa"/>
            </w:tcMar>
          </w:tcPr>
          <w:p>
            <w:pPr>
              <w:spacing w:after="20" w:line="240" w:lineRule="auto"/>
            </w:pPr>
            <w:r>
              <w:rPr>
                <w:b w:val="0"/>
                <w:sz w:val="20"/>
              </w:rPr>
              <w:t>147</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Escalators</w:t>
            </w:r>
          </w:p>
        </w:tc>
        <w:tc>
          <w:tcPr>
            <w:tcW w:type="dxa" w:w="5242"/>
            <w:vAlign w:val="center"/>
            <w:shd w:fill="F5F7F9"/>
            <w:tcMar>
              <w:top w:w="70" w:type="dxa"/>
              <w:left w:w="70" w:type="dxa"/>
              <w:bottom w:w="70" w:type="dxa"/>
              <w:right w:w="70" w:type="dxa"/>
            </w:tcMar>
          </w:tcPr>
          <w:p>
            <w:pPr>
              <w:spacing w:after="20" w:line="240" w:lineRule="auto"/>
            </w:pPr>
            <w:r>
              <w:rPr>
                <w:b w:val="0"/>
                <w:sz w:val="20"/>
              </w:rPr>
              <w:t>Rolltreppen</w:t>
            </w:r>
          </w:p>
        </w:tc>
        <w:tc>
          <w:tcPr>
            <w:tcW w:type="dxa" w:w="1728"/>
            <w:vAlign w:val="center"/>
            <w:shd w:fill="F5F7F9"/>
            <w:tcMar>
              <w:top w:w="70" w:type="dxa"/>
              <w:left w:w="70" w:type="dxa"/>
              <w:bottom w:w="70" w:type="dxa"/>
              <w:right w:w="70" w:type="dxa"/>
            </w:tcMar>
          </w:tcPr>
          <w:p>
            <w:pPr>
              <w:spacing w:after="20" w:line="240" w:lineRule="auto"/>
            </w:pPr>
            <w:r>
              <w:rPr>
                <w:b w:val="0"/>
                <w:sz w:val="20"/>
              </w:rPr>
              <w:t>59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Ramps</w:t>
            </w:r>
          </w:p>
        </w:tc>
        <w:tc>
          <w:tcPr>
            <w:tcW w:type="dxa" w:w="5242"/>
            <w:vAlign w:val="center"/>
            <w:shd w:fill="FFFFFF"/>
            <w:tcMar>
              <w:top w:w="70" w:type="dxa"/>
              <w:left w:w="70" w:type="dxa"/>
              <w:bottom w:w="70" w:type="dxa"/>
              <w:right w:w="70" w:type="dxa"/>
            </w:tcMar>
          </w:tcPr>
          <w:p>
            <w:pPr>
              <w:spacing w:after="20" w:line="240" w:lineRule="auto"/>
            </w:pPr>
            <w:r>
              <w:rPr>
                <w:b w:val="0"/>
                <w:sz w:val="20"/>
              </w:rPr>
              <w:t>Rampen</w:t>
            </w:r>
          </w:p>
        </w:tc>
        <w:tc>
          <w:tcPr>
            <w:tcW w:type="dxa" w:w="1728"/>
            <w:vAlign w:val="center"/>
            <w:shd w:fill="FFFFFF"/>
            <w:tcMar>
              <w:top w:w="70" w:type="dxa"/>
              <w:left w:w="70" w:type="dxa"/>
              <w:bottom w:w="70" w:type="dxa"/>
              <w:right w:w="70" w:type="dxa"/>
            </w:tcMar>
          </w:tcPr>
          <w:p>
            <w:pPr>
              <w:spacing w:after="20" w:line="240" w:lineRule="auto"/>
            </w:pPr>
            <w:r>
              <w:rPr>
                <w:b w:val="0"/>
                <w:sz w:val="20"/>
              </w:rPr>
              <w:t>132</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Stairs</w:t>
            </w:r>
          </w:p>
        </w:tc>
        <w:tc>
          <w:tcPr>
            <w:tcW w:type="dxa" w:w="5242"/>
            <w:vAlign w:val="center"/>
            <w:shd w:fill="F5F7F9"/>
            <w:tcMar>
              <w:top w:w="70" w:type="dxa"/>
              <w:left w:w="70" w:type="dxa"/>
              <w:bottom w:w="70" w:type="dxa"/>
              <w:right w:w="70" w:type="dxa"/>
            </w:tcMar>
          </w:tcPr>
          <w:p>
            <w:pPr>
              <w:spacing w:after="20" w:line="240" w:lineRule="auto"/>
            </w:pPr>
            <w:r>
              <w:rPr>
                <w:b w:val="0"/>
                <w:sz w:val="20"/>
              </w:rPr>
              <w:t>Treppen als Infrastrukturpunkte</w:t>
            </w:r>
          </w:p>
        </w:tc>
        <w:tc>
          <w:tcPr>
            <w:tcW w:type="dxa" w:w="1728"/>
            <w:vAlign w:val="center"/>
            <w:shd w:fill="F5F7F9"/>
            <w:tcMar>
              <w:top w:w="70" w:type="dxa"/>
              <w:left w:w="70" w:type="dxa"/>
              <w:bottom w:w="70" w:type="dxa"/>
              <w:right w:w="70" w:type="dxa"/>
            </w:tcMar>
          </w:tcPr>
          <w:p>
            <w:pPr>
              <w:spacing w:after="20" w:line="240" w:lineRule="auto"/>
            </w:pPr>
            <w:r>
              <w:rPr>
                <w:b w:val="0"/>
                <w:sz w:val="20"/>
              </w:rPr>
              <w:t>208</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Barriers_and_Gates</w:t>
            </w:r>
          </w:p>
        </w:tc>
        <w:tc>
          <w:tcPr>
            <w:tcW w:type="dxa" w:w="5242"/>
            <w:vAlign w:val="center"/>
            <w:shd w:fill="FFFFFF"/>
            <w:tcMar>
              <w:top w:w="70" w:type="dxa"/>
              <w:left w:w="70" w:type="dxa"/>
              <w:bottom w:w="70" w:type="dxa"/>
              <w:right w:w="70" w:type="dxa"/>
            </w:tcMar>
          </w:tcPr>
          <w:p>
            <w:pPr>
              <w:spacing w:after="20" w:line="240" w:lineRule="auto"/>
            </w:pPr>
            <w:r>
              <w:rPr>
                <w:b w:val="0"/>
                <w:sz w:val="20"/>
              </w:rPr>
              <w:t>Barrieren und Tore</w:t>
            </w:r>
          </w:p>
        </w:tc>
        <w:tc>
          <w:tcPr>
            <w:tcW w:type="dxa" w:w="1728"/>
            <w:vAlign w:val="center"/>
            <w:shd w:fill="FFFFFF"/>
            <w:tcMar>
              <w:top w:w="70" w:type="dxa"/>
              <w:left w:w="70" w:type="dxa"/>
              <w:bottom w:w="70" w:type="dxa"/>
              <w:right w:w="70" w:type="dxa"/>
            </w:tcMar>
          </w:tcPr>
          <w:p>
            <w:pPr>
              <w:spacing w:after="20" w:line="240" w:lineRule="auto"/>
            </w:pPr>
            <w:r>
              <w:rPr>
                <w:b w:val="0"/>
                <w:sz w:val="20"/>
              </w:rPr>
              <w:t>2.127</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Lowered_Curbs</w:t>
            </w:r>
          </w:p>
        </w:tc>
        <w:tc>
          <w:tcPr>
            <w:tcW w:type="dxa" w:w="5242"/>
            <w:vAlign w:val="center"/>
            <w:shd w:fill="F5F7F9"/>
            <w:tcMar>
              <w:top w:w="70" w:type="dxa"/>
              <w:left w:w="70" w:type="dxa"/>
              <w:bottom w:w="70" w:type="dxa"/>
              <w:right w:w="70" w:type="dxa"/>
            </w:tcMar>
          </w:tcPr>
          <w:p>
            <w:pPr>
              <w:spacing w:after="20" w:line="240" w:lineRule="auto"/>
            </w:pPr>
            <w:r>
              <w:rPr>
                <w:b w:val="0"/>
                <w:sz w:val="20"/>
              </w:rPr>
              <w:t>Abgesenkte Bordsteine</w:t>
            </w:r>
          </w:p>
        </w:tc>
        <w:tc>
          <w:tcPr>
            <w:tcW w:type="dxa" w:w="1728"/>
            <w:vAlign w:val="center"/>
            <w:shd w:fill="F5F7F9"/>
            <w:tcMar>
              <w:top w:w="70" w:type="dxa"/>
              <w:left w:w="70" w:type="dxa"/>
              <w:bottom w:w="70" w:type="dxa"/>
              <w:right w:w="70" w:type="dxa"/>
            </w:tcMar>
          </w:tcPr>
          <w:p>
            <w:pPr>
              <w:spacing w:after="20" w:line="240" w:lineRule="auto"/>
            </w:pPr>
            <w:r>
              <w:rPr>
                <w:b w:val="0"/>
                <w:sz w:val="20"/>
              </w:rPr>
              <w:t>378</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Raised_Curbs</w:t>
            </w:r>
          </w:p>
        </w:tc>
        <w:tc>
          <w:tcPr>
            <w:tcW w:type="dxa" w:w="5242"/>
            <w:vAlign w:val="center"/>
            <w:shd w:fill="FFFFFF"/>
            <w:tcMar>
              <w:top w:w="70" w:type="dxa"/>
              <w:left w:w="70" w:type="dxa"/>
              <w:bottom w:w="70" w:type="dxa"/>
              <w:right w:w="70" w:type="dxa"/>
            </w:tcMar>
          </w:tcPr>
          <w:p>
            <w:pPr>
              <w:spacing w:after="20" w:line="240" w:lineRule="auto"/>
            </w:pPr>
            <w:r>
              <w:rPr>
                <w:b w:val="0"/>
                <w:sz w:val="20"/>
              </w:rPr>
              <w:t>Erhöhte Bordsteine</w:t>
            </w:r>
          </w:p>
        </w:tc>
        <w:tc>
          <w:tcPr>
            <w:tcW w:type="dxa" w:w="1728"/>
            <w:vAlign w:val="center"/>
            <w:shd w:fill="FFFFFF"/>
            <w:tcMar>
              <w:top w:w="70" w:type="dxa"/>
              <w:left w:w="70" w:type="dxa"/>
              <w:bottom w:w="70" w:type="dxa"/>
              <w:right w:w="70" w:type="dxa"/>
            </w:tcMar>
          </w:tcPr>
          <w:p>
            <w:pPr>
              <w:spacing w:after="20" w:line="240" w:lineRule="auto"/>
            </w:pPr>
            <w:r>
              <w:rPr>
                <w:b w:val="0"/>
                <w:sz w:val="20"/>
              </w:rPr>
              <w:t>154</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Signalized_Crossings</w:t>
            </w:r>
          </w:p>
        </w:tc>
        <w:tc>
          <w:tcPr>
            <w:tcW w:type="dxa" w:w="5242"/>
            <w:vAlign w:val="center"/>
            <w:shd w:fill="F5F7F9"/>
            <w:tcMar>
              <w:top w:w="70" w:type="dxa"/>
              <w:left w:w="70" w:type="dxa"/>
              <w:bottom w:w="70" w:type="dxa"/>
              <w:right w:w="70" w:type="dxa"/>
            </w:tcMar>
          </w:tcPr>
          <w:p>
            <w:pPr>
              <w:spacing w:after="20" w:line="240" w:lineRule="auto"/>
            </w:pPr>
            <w:r>
              <w:rPr>
                <w:b w:val="0"/>
                <w:sz w:val="20"/>
              </w:rPr>
              <w:t>Signalisierte Querungsstellen</w:t>
            </w:r>
          </w:p>
        </w:tc>
        <w:tc>
          <w:tcPr>
            <w:tcW w:type="dxa" w:w="1728"/>
            <w:vAlign w:val="center"/>
            <w:shd w:fill="F5F7F9"/>
            <w:tcMar>
              <w:top w:w="70" w:type="dxa"/>
              <w:left w:w="70" w:type="dxa"/>
              <w:bottom w:w="70" w:type="dxa"/>
              <w:right w:w="70" w:type="dxa"/>
            </w:tcMar>
          </w:tcPr>
          <w:p>
            <w:pPr>
              <w:spacing w:after="20" w:line="240" w:lineRule="auto"/>
            </w:pPr>
            <w:r>
              <w:rPr>
                <w:b w:val="0"/>
                <w:sz w:val="20"/>
              </w:rPr>
              <w:t>4.261</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Shelters</w:t>
            </w:r>
          </w:p>
        </w:tc>
        <w:tc>
          <w:tcPr>
            <w:tcW w:type="dxa" w:w="5242"/>
            <w:vAlign w:val="center"/>
            <w:shd w:fill="FFFFFF"/>
            <w:tcMar>
              <w:top w:w="70" w:type="dxa"/>
              <w:left w:w="70" w:type="dxa"/>
              <w:bottom w:w="70" w:type="dxa"/>
              <w:right w:w="70" w:type="dxa"/>
            </w:tcMar>
          </w:tcPr>
          <w:p>
            <w:pPr>
              <w:spacing w:after="20" w:line="240" w:lineRule="auto"/>
            </w:pPr>
            <w:r>
              <w:rPr>
                <w:b w:val="0"/>
                <w:sz w:val="20"/>
              </w:rPr>
              <w:t>Unterstände</w:t>
            </w:r>
          </w:p>
        </w:tc>
        <w:tc>
          <w:tcPr>
            <w:tcW w:type="dxa" w:w="1728"/>
            <w:vAlign w:val="center"/>
            <w:shd w:fill="FFFFFF"/>
            <w:tcMar>
              <w:top w:w="70" w:type="dxa"/>
              <w:left w:w="70" w:type="dxa"/>
              <w:bottom w:w="70" w:type="dxa"/>
              <w:right w:w="70" w:type="dxa"/>
            </w:tcMar>
          </w:tcPr>
          <w:p>
            <w:pPr>
              <w:spacing w:after="20" w:line="240" w:lineRule="auto"/>
            </w:pPr>
            <w:r>
              <w:rPr>
                <w:b w:val="0"/>
                <w:sz w:val="20"/>
              </w:rPr>
              <w:t>70</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Benches</w:t>
            </w:r>
          </w:p>
        </w:tc>
        <w:tc>
          <w:tcPr>
            <w:tcW w:type="dxa" w:w="5242"/>
            <w:vAlign w:val="center"/>
            <w:shd w:fill="F5F7F9"/>
            <w:tcMar>
              <w:top w:w="70" w:type="dxa"/>
              <w:left w:w="70" w:type="dxa"/>
              <w:bottom w:w="70" w:type="dxa"/>
              <w:right w:w="70" w:type="dxa"/>
            </w:tcMar>
          </w:tcPr>
          <w:p>
            <w:pPr>
              <w:spacing w:after="20" w:line="240" w:lineRule="auto"/>
            </w:pPr>
            <w:r>
              <w:rPr>
                <w:b w:val="0"/>
                <w:sz w:val="20"/>
              </w:rPr>
              <w:t>Sitzbänke</w:t>
            </w:r>
          </w:p>
        </w:tc>
        <w:tc>
          <w:tcPr>
            <w:tcW w:type="dxa" w:w="1728"/>
            <w:vAlign w:val="center"/>
            <w:shd w:fill="F5F7F9"/>
            <w:tcMar>
              <w:top w:w="70" w:type="dxa"/>
              <w:left w:w="70" w:type="dxa"/>
              <w:bottom w:w="70" w:type="dxa"/>
              <w:right w:w="70" w:type="dxa"/>
            </w:tcMar>
          </w:tcPr>
          <w:p>
            <w:pPr>
              <w:spacing w:after="20" w:line="240" w:lineRule="auto"/>
            </w:pPr>
            <w:r>
              <w:rPr>
                <w:b w:val="0"/>
                <w:sz w:val="20"/>
              </w:rPr>
              <w:t>5.643</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Stuttgart_Municipality</w:t>
            </w:r>
          </w:p>
        </w:tc>
        <w:tc>
          <w:tcPr>
            <w:tcW w:type="dxa" w:w="5242"/>
            <w:vAlign w:val="center"/>
            <w:shd w:fill="FFFFFF"/>
            <w:tcMar>
              <w:top w:w="70" w:type="dxa"/>
              <w:left w:w="70" w:type="dxa"/>
              <w:bottom w:w="70" w:type="dxa"/>
              <w:right w:w="70" w:type="dxa"/>
            </w:tcMar>
          </w:tcPr>
          <w:p>
            <w:pPr>
              <w:spacing w:after="20" w:line="240" w:lineRule="auto"/>
            </w:pPr>
            <w:r>
              <w:rPr>
                <w:b w:val="0"/>
                <w:sz w:val="20"/>
              </w:rPr>
              <w:t>Gebietsgrenze</w:t>
            </w:r>
          </w:p>
        </w:tc>
        <w:tc>
          <w:tcPr>
            <w:tcW w:type="dxa" w:w="1728"/>
            <w:vAlign w:val="center"/>
            <w:shd w:fill="FFFFFF"/>
            <w:tcMar>
              <w:top w:w="70" w:type="dxa"/>
              <w:left w:w="70" w:type="dxa"/>
              <w:bottom w:w="70" w:type="dxa"/>
              <w:right w:w="70" w:type="dxa"/>
            </w:tcMar>
          </w:tcPr>
          <w:p>
            <w:pPr>
              <w:spacing w:after="20" w:line="240" w:lineRule="auto"/>
            </w:pPr>
            <w:r>
              <w:rPr>
                <w:b w:val="0"/>
                <w:sz w:val="20"/>
              </w:rPr>
              <w:t>1</w:t>
            </w:r>
          </w:p>
        </w:tc>
      </w:tr>
    </w:tbl>
    <w:p>
      <w:pPr>
        <w:spacing w:after="20"/>
      </w:pPr>
    </w:p>
    <w:p>
      <w:r>
        <w:t>Die sieben Themenebenen sind Ansichten beziehungsweise separate Tabellen desselben Segmentbestands. Ihre Objektzahlen dürfen nicht zur Größe des Hauptnetzes addiert werden. Treppenpunkte und treppenartige Linien beschreiben unterschiedliche Geometriearten und sind ebenfalls nicht gleichzusetzen.</w:t>
      </w:r>
    </w:p>
    <w:p>
      <w:r>
        <w:br w:type="page"/>
      </w:r>
    </w:p>
    <w:p>
      <w:pPr>
        <w:pStyle w:val="Heading1"/>
      </w:pPr>
      <w:r>
        <w:t>3 Karten und Tabellen verwenden</w:t>
      </w:r>
    </w:p>
    <w:p>
      <w:pPr>
        <w:pStyle w:val="Heading2"/>
      </w:pPr>
      <w:r>
        <w:t>Projekt öffnen</w:t>
      </w:r>
    </w:p>
    <w:p>
      <w:r>
        <w:t>Das gesamte Paket wird zunächst in einen gemeinsamen Ordner entpackt. Anschließend wird die QGZ-Datei in QGIS geöffnet. Die zugehörige GPKG-Datei und die Ordner mit Stilen und Symbolen sollen ihre relative Anordnung behalten. Das Öffnen des Projekts erhält die vorbereitete Ebenenstruktur und Darstellung; beim alleinigen Laden der GPKG muss die Auswahl der Ebenen selbst vorgenommen werden.</w:t>
      </w:r>
    </w:p>
    <w:p>
      <w:r>
        <w:t>Die Paket-QGZ nennt QGIS 3.44.13 als speichernde Version. Dies dokumentiert den gespeicherten Projektstand, ist aber keine pauschale Kompatibilitätszusage für jede andere Version. Die Verarbeitung im Projektverlauf erfolgte mit QGIS und Python sowie GDAL/OGR, GeoPandas, Shapely, NumPy und pandas. Für UTCI wurde pythermalcomfort eingesetzt. [1, 2, 10, 12]</w:t>
      </w:r>
    </w:p>
    <w:p>
      <w:pPr>
        <w:pStyle w:val="Heading2"/>
      </w:pPr>
      <w:r>
        <w:t>Themen einzeln vergleichen</w:t>
      </w:r>
    </w:p>
    <w:p>
      <w:r>
        <w:t>Für einen übersichtlichen Vergleich wird jeweils eine thematische Linienebene eingeschaltet. Die Legende beschreibt die Darstellung dieser Ebene. Mehrere gleichzeitig sichtbare Linienebenen können einander überdecken. Ergänzende Punkte, beispielsweise Aufzüge oder Sitzbänke, lassen sich unabhängig davon einblenden.</w:t>
      </w:r>
    </w:p>
    <w:p>
      <w:r>
        <w:t>Die Kartenlegende kann numerische Werte feiner unterteilen als das gespeicherte Klassenfeld. So verwendet die Schattenkarte mehr Farbstufen als die vier regulären Schattenklassen. Diese feinere Darstellung verändert die gespeicherten Mess- oder Modellwerte nicht. Für eine statistische Auswertung ist deshalb vorab festzulegen, ob das numerische Feld oder die Klassenvariable verwendet wird.</w:t>
      </w:r>
    </w:p>
    <w:p>
      <w:pPr>
        <w:pStyle w:val="Heading2"/>
      </w:pPr>
      <w:r>
        <w:t>Attribute richtig lesen</w:t>
      </w:r>
    </w:p>
    <w:p>
      <w:r>
        <w:t>Im Hauptnetz dient atlas_id als eindeutige Kennung innerhalb dieses Bestands. Alle 69.769 Segmente besitzen einen unterschiedlichen, nicht leeren Wert. osm_id verweist auf das OSM-Ausgangsobjekt; mehrere Segmente können dasselbe Ausgangsobjekt haben. Eine dauerhafte Identität über künftige Neusegmentierungen hinweg ist durch die aktuelle Eindeutigkeit allein nicht gewährleistet.</w:t>
      </w:r>
    </w:p>
    <w:p>
      <w:r>
        <w:t>Die Tabellen ordnen Kennungen und Identität vor den wichtigsten Ergebnissen an. Danach folgen fachliche Details, zusätzliche OSM-Angaben sowie Herkunfts- und Prüffelder. Die Ebenennamen und Anzeigealiase sind englisch. Eigennamen und originale Quellwerte können weiterhin andere Sprachen enthalten. Ein leerer Wert, in GIS häufig NULL genannt, ist kein Nullwert und darf nicht als 0 interpretiert werden.</w:t>
      </w:r>
    </w:p>
    <w:p>
      <w:r>
        <w:t>Das Feld osm_data_date trägt im Hauptnetz durchgehend den 30. August 2026. Es kennzeichnet den dokumentierten OSM-Anreicherungsstand. Daraus folgt nicht, dass sämtliche Netzgeometrien, Gebäude, Bäume und Umweltdaten an diesem Tag neu erhoben wurden. [1]</w:t>
      </w:r>
    </w:p>
    <w:p>
      <w:r>
        <w:br w:type="page"/>
      </w:r>
    </w:p>
    <w:p>
      <w:pPr>
        <w:pStyle w:val="Heading1"/>
      </w:pPr>
      <w:r>
        <w:t>4 Steigung und Oberfläche</w:t>
      </w:r>
    </w:p>
    <w:p>
      <w:pPr>
        <w:pStyle w:val="Heading2"/>
      </w:pPr>
      <w:r>
        <w:t>Längsneigung</w:t>
      </w:r>
    </w:p>
    <w:p>
      <w:r>
        <w:t>Die Grundberechnung verwendet den Höhenunterschied zwischen Anfang und Ende eines Segments und dessen horizontale Linienlänge. Ein Anstieg um 5 Meter auf 100 Metern entspricht 5 Prozent. Die Höhen stammen aus dem DGM1 des LGL. Ein solches Geländemodell beschreibt grundsätzlich den Boden ohne Vegetation und Hochbauten. Bei Brücken, Tunneln oder innerhalb von Gebäuden muss die tatsächliche Gehfläche nicht mit dieser Oberfläche übereinstimmen. [2, 4]</w:t>
      </w:r>
    </w:p>
    <w:p>
      <w:r>
        <w:t>Die Endpunktmethode beschreibt die mittlere Nettoänderung über den Abschnitt. Ein Zwischenanstieg mit anschließendem Gefälle kann dadurch verdeckt werden. Die dargestellte Pfeilrichtung orientiert sich an der berechneten Bergaufrichtung, nicht an einer vorgeschriebenen Gehrichtung. Korrigierte oder als unzuverlässig behandelte Fälle sind gesondert zu berücksichtigen.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5242"/>
        <w:gridCol w:w="1728"/>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Gespeicherte Klasse</w:t>
            </w:r>
          </w:p>
        </w:tc>
        <w:tc>
          <w:tcPr>
            <w:tcW w:type="dxa" w:w="5242"/>
            <w:vAlign w:val="center"/>
            <w:shd w:fill="DCE6EF"/>
            <w:tcMar>
              <w:top w:w="70" w:type="dxa"/>
              <w:left w:w="70" w:type="dxa"/>
              <w:bottom w:w="70" w:type="dxa"/>
              <w:right w:w="70" w:type="dxa"/>
            </w:tcMar>
          </w:tcPr>
          <w:p>
            <w:pPr>
              <w:spacing w:after="20" w:line="240" w:lineRule="auto"/>
            </w:pPr>
            <w:r>
              <w:rPr>
                <w:b/>
                <w:sz w:val="20"/>
              </w:rPr>
              <w:t>Einordnung</w:t>
            </w:r>
          </w:p>
        </w:tc>
        <w:tc>
          <w:tcPr>
            <w:tcW w:type="dxa" w:w="1728"/>
            <w:vAlign w:val="center"/>
            <w:shd w:fill="DCE6EF"/>
            <w:tcMar>
              <w:top w:w="70" w:type="dxa"/>
              <w:left w:w="70" w:type="dxa"/>
              <w:bottom w:w="70" w:type="dxa"/>
              <w:right w:w="70" w:type="dxa"/>
            </w:tcMar>
          </w:tcPr>
          <w:p>
            <w:pPr>
              <w:spacing w:after="20" w:line="240" w:lineRule="auto"/>
            </w:pPr>
            <w:r>
              <w:rPr>
                <w:b/>
                <w:sz w:val="20"/>
              </w:rPr>
              <w:t>Segmente</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flat</w:t>
            </w:r>
          </w:p>
        </w:tc>
        <w:tc>
          <w:tcPr>
            <w:tcW w:type="dxa" w:w="5242"/>
            <w:vAlign w:val="center"/>
            <w:shd w:fill="FFFFFF"/>
            <w:tcMar>
              <w:top w:w="70" w:type="dxa"/>
              <w:left w:w="70" w:type="dxa"/>
              <w:bottom w:w="70" w:type="dxa"/>
              <w:right w:w="70" w:type="dxa"/>
            </w:tcMar>
          </w:tcPr>
          <w:p>
            <w:pPr>
              <w:spacing w:after="20" w:line="240" w:lineRule="auto"/>
            </w:pPr>
            <w:r>
              <w:rPr>
                <w:b w:val="0"/>
                <w:sz w:val="20"/>
              </w:rPr>
              <w:t>Flach</w:t>
            </w:r>
          </w:p>
        </w:tc>
        <w:tc>
          <w:tcPr>
            <w:tcW w:type="dxa" w:w="1728"/>
            <w:vAlign w:val="center"/>
            <w:shd w:fill="FFFFFF"/>
            <w:tcMar>
              <w:top w:w="70" w:type="dxa"/>
              <w:left w:w="70" w:type="dxa"/>
              <w:bottom w:w="70" w:type="dxa"/>
              <w:right w:w="70" w:type="dxa"/>
            </w:tcMar>
          </w:tcPr>
          <w:p>
            <w:pPr>
              <w:spacing w:after="20" w:line="240" w:lineRule="auto"/>
            </w:pPr>
            <w:r>
              <w:rPr>
                <w:b w:val="0"/>
                <w:sz w:val="20"/>
              </w:rPr>
              <w:t>41.695</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moderate</w:t>
            </w:r>
          </w:p>
        </w:tc>
        <w:tc>
          <w:tcPr>
            <w:tcW w:type="dxa" w:w="5242"/>
            <w:vAlign w:val="center"/>
            <w:shd w:fill="F5F7F9"/>
            <w:tcMar>
              <w:top w:w="70" w:type="dxa"/>
              <w:left w:w="70" w:type="dxa"/>
              <w:bottom w:w="70" w:type="dxa"/>
              <w:right w:w="70" w:type="dxa"/>
            </w:tcMar>
          </w:tcPr>
          <w:p>
            <w:pPr>
              <w:spacing w:after="20" w:line="240" w:lineRule="auto"/>
            </w:pPr>
            <w:r>
              <w:rPr>
                <w:b w:val="0"/>
                <w:sz w:val="20"/>
              </w:rPr>
              <w:t>Moderat</w:t>
            </w:r>
          </w:p>
        </w:tc>
        <w:tc>
          <w:tcPr>
            <w:tcW w:type="dxa" w:w="1728"/>
            <w:vAlign w:val="center"/>
            <w:shd w:fill="F5F7F9"/>
            <w:tcMar>
              <w:top w:w="70" w:type="dxa"/>
              <w:left w:w="70" w:type="dxa"/>
              <w:bottom w:w="70" w:type="dxa"/>
              <w:right w:w="70" w:type="dxa"/>
            </w:tcMar>
          </w:tcPr>
          <w:p>
            <w:pPr>
              <w:spacing w:after="20" w:line="240" w:lineRule="auto"/>
            </w:pPr>
            <w:r>
              <w:rPr>
                <w:b w:val="0"/>
                <w:sz w:val="20"/>
              </w:rPr>
              <w:t>13.685</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steep</w:t>
            </w:r>
          </w:p>
        </w:tc>
        <w:tc>
          <w:tcPr>
            <w:tcW w:type="dxa" w:w="5242"/>
            <w:vAlign w:val="center"/>
            <w:shd w:fill="FFFFFF"/>
            <w:tcMar>
              <w:top w:w="70" w:type="dxa"/>
              <w:left w:w="70" w:type="dxa"/>
              <w:bottom w:w="70" w:type="dxa"/>
              <w:right w:w="70" w:type="dxa"/>
            </w:tcMar>
          </w:tcPr>
          <w:p>
            <w:pPr>
              <w:spacing w:after="20" w:line="240" w:lineRule="auto"/>
            </w:pPr>
            <w:r>
              <w:rPr>
                <w:b w:val="0"/>
                <w:sz w:val="20"/>
              </w:rPr>
              <w:t>Steil</w:t>
            </w:r>
          </w:p>
        </w:tc>
        <w:tc>
          <w:tcPr>
            <w:tcW w:type="dxa" w:w="1728"/>
            <w:vAlign w:val="center"/>
            <w:shd w:fill="FFFFFF"/>
            <w:tcMar>
              <w:top w:w="70" w:type="dxa"/>
              <w:left w:w="70" w:type="dxa"/>
              <w:bottom w:w="70" w:type="dxa"/>
              <w:right w:w="70" w:type="dxa"/>
            </w:tcMar>
          </w:tcPr>
          <w:p>
            <w:pPr>
              <w:spacing w:after="20" w:line="240" w:lineRule="auto"/>
            </w:pPr>
            <w:r>
              <w:rPr>
                <w:b w:val="0"/>
                <w:sz w:val="20"/>
              </w:rPr>
              <w:t>6.315</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very_steep</w:t>
            </w:r>
          </w:p>
        </w:tc>
        <w:tc>
          <w:tcPr>
            <w:tcW w:type="dxa" w:w="5242"/>
            <w:vAlign w:val="center"/>
            <w:shd w:fill="F5F7F9"/>
            <w:tcMar>
              <w:top w:w="70" w:type="dxa"/>
              <w:left w:w="70" w:type="dxa"/>
              <w:bottom w:w="70" w:type="dxa"/>
              <w:right w:w="70" w:type="dxa"/>
            </w:tcMar>
          </w:tcPr>
          <w:p>
            <w:pPr>
              <w:spacing w:after="20" w:line="240" w:lineRule="auto"/>
            </w:pPr>
            <w:r>
              <w:rPr>
                <w:b w:val="0"/>
                <w:sz w:val="20"/>
              </w:rPr>
              <w:t>Sehr steil</w:t>
            </w:r>
          </w:p>
        </w:tc>
        <w:tc>
          <w:tcPr>
            <w:tcW w:type="dxa" w:w="1728"/>
            <w:vAlign w:val="center"/>
            <w:shd w:fill="F5F7F9"/>
            <w:tcMar>
              <w:top w:w="70" w:type="dxa"/>
              <w:left w:w="70" w:type="dxa"/>
              <w:bottom w:w="70" w:type="dxa"/>
              <w:right w:w="70" w:type="dxa"/>
            </w:tcMar>
          </w:tcPr>
          <w:p>
            <w:pPr>
              <w:spacing w:after="20" w:line="240" w:lineRule="auto"/>
            </w:pPr>
            <w:r>
              <w:rPr>
                <w:b w:val="0"/>
                <w:sz w:val="20"/>
              </w:rPr>
              <w:t>8.066</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no_data</w:t>
            </w:r>
          </w:p>
        </w:tc>
        <w:tc>
          <w:tcPr>
            <w:tcW w:type="dxa" w:w="5242"/>
            <w:vAlign w:val="center"/>
            <w:shd w:fill="FFFFFF"/>
            <w:tcMar>
              <w:top w:w="70" w:type="dxa"/>
              <w:left w:w="70" w:type="dxa"/>
              <w:bottom w:w="70" w:type="dxa"/>
              <w:right w:w="70" w:type="dxa"/>
            </w:tcMar>
          </w:tcPr>
          <w:p>
            <w:pPr>
              <w:spacing w:after="20" w:line="240" w:lineRule="auto"/>
            </w:pPr>
            <w:r>
              <w:rPr>
                <w:b w:val="0"/>
                <w:sz w:val="20"/>
              </w:rPr>
              <w:t>Keine Daten</w:t>
            </w:r>
          </w:p>
        </w:tc>
        <w:tc>
          <w:tcPr>
            <w:tcW w:type="dxa" w:w="1728"/>
            <w:vAlign w:val="center"/>
            <w:shd w:fill="FFFFFF"/>
            <w:tcMar>
              <w:top w:w="70" w:type="dxa"/>
              <w:left w:w="70" w:type="dxa"/>
              <w:bottom w:w="70" w:type="dxa"/>
              <w:right w:w="70" w:type="dxa"/>
            </w:tcMar>
          </w:tcPr>
          <w:p>
            <w:pPr>
              <w:spacing w:after="20" w:line="240" w:lineRule="auto"/>
            </w:pPr>
            <w:r>
              <w:rPr>
                <w:b w:val="0"/>
                <w:sz w:val="20"/>
              </w:rPr>
              <w:t>8</w:t>
            </w:r>
          </w:p>
        </w:tc>
      </w:tr>
    </w:tbl>
    <w:p>
      <w:pPr>
        <w:spacing w:after="20"/>
      </w:pPr>
    </w:p>
    <w:p>
      <w:r>
        <w:t>Die fachlichen Klassengrenzen liegen bei 3, 6 und 10 Prozent. Die Tabelle zählt die gespeicherten Klassen, nicht eine erneut berechnete Normprüfung. 138 Segmente enthalten Steigungswerte über 60 Prozent, mit einem Maximum von 4.095,16 Prozent. Diese Werte sind vor einer belastbaren Steigungsstatistik zu prüfen; insbesondere die Extremwerte sind nicht als plausible Längsneigungen zu interpretieren. [1]</w:t>
      </w:r>
    </w:p>
    <w:p>
      <w:pPr>
        <w:pStyle w:val="Heading2"/>
      </w:pPr>
      <w:r>
        <w:t>Oberflächenangaben</w:t>
      </w:r>
    </w:p>
    <w:p>
      <w:r>
        <w:t>Die Oberflächenklasse wird aus dem OSM-Attribut surface abgeleitet. Beispielsweise werden Asphalt und Beton als good, bestimmte Pflasterarten und verdichtete Beläge als medium sowie lose oder unbefestigte Materialien als poor eingestuft. Das ist eine projektbezogene Gruppierung; Zustand, Unebenheiten, Nässe und tatsächliche Befahrbarkeit werden dadurch nicht vollständig erfasst. [2,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90"/>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Klasse</w:t>
            </w:r>
          </w:p>
        </w:tc>
        <w:tc>
          <w:tcPr>
            <w:tcW w:type="dxa" w:w="2880"/>
            <w:vAlign w:val="center"/>
            <w:shd w:fill="DCE6EF"/>
            <w:tcMar>
              <w:top w:w="70" w:type="dxa"/>
              <w:left w:w="70" w:type="dxa"/>
              <w:bottom w:w="70" w:type="dxa"/>
              <w:right w:w="70" w:type="dxa"/>
            </w:tcMar>
          </w:tcPr>
          <w:p>
            <w:pPr>
              <w:spacing w:after="20" w:line="240" w:lineRule="auto"/>
            </w:pPr>
            <w:r>
              <w:rPr>
                <w:b/>
                <w:sz w:val="20"/>
              </w:rPr>
              <w:t>Segmente</w:t>
            </w:r>
          </w:p>
        </w:tc>
        <w:tc>
          <w:tcPr>
            <w:tcW w:type="dxa" w:w="4090"/>
            <w:vAlign w:val="center"/>
            <w:shd w:fill="DCE6EF"/>
            <w:tcMar>
              <w:top w:w="70" w:type="dxa"/>
              <w:left w:w="70" w:type="dxa"/>
              <w:bottom w:w="70" w:type="dxa"/>
              <w:right w:w="70" w:type="dxa"/>
            </w:tcMar>
          </w:tcPr>
          <w:p>
            <w:pPr>
              <w:spacing w:after="20" w:line="240" w:lineRule="auto"/>
            </w:pPr>
            <w:r>
              <w:rPr>
                <w:b/>
                <w:sz w:val="20"/>
              </w:rPr>
              <w:t>Anteil am Hauptnetz</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good</w:t>
            </w:r>
          </w:p>
        </w:tc>
        <w:tc>
          <w:tcPr>
            <w:tcW w:type="dxa" w:w="2880"/>
            <w:vAlign w:val="center"/>
            <w:shd w:fill="FFFFFF"/>
            <w:tcMar>
              <w:top w:w="70" w:type="dxa"/>
              <w:left w:w="70" w:type="dxa"/>
              <w:bottom w:w="70" w:type="dxa"/>
              <w:right w:w="70" w:type="dxa"/>
            </w:tcMar>
          </w:tcPr>
          <w:p>
            <w:pPr>
              <w:spacing w:after="20" w:line="240" w:lineRule="auto"/>
            </w:pPr>
            <w:r>
              <w:rPr>
                <w:b w:val="0"/>
                <w:sz w:val="20"/>
              </w:rPr>
              <w:t>21.981</w:t>
            </w:r>
          </w:p>
        </w:tc>
        <w:tc>
          <w:tcPr>
            <w:tcW w:type="dxa" w:w="4090"/>
            <w:vAlign w:val="center"/>
            <w:shd w:fill="FFFFFF"/>
            <w:tcMar>
              <w:top w:w="70" w:type="dxa"/>
              <w:left w:w="70" w:type="dxa"/>
              <w:bottom w:w="70" w:type="dxa"/>
              <w:right w:w="70" w:type="dxa"/>
            </w:tcMar>
          </w:tcPr>
          <w:p>
            <w:pPr>
              <w:spacing w:after="20" w:line="240" w:lineRule="auto"/>
            </w:pPr>
            <w:r>
              <w:rPr>
                <w:b w:val="0"/>
                <w:sz w:val="20"/>
              </w:rPr>
              <w:t>31,5 %</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medium</w:t>
            </w:r>
          </w:p>
        </w:tc>
        <w:tc>
          <w:tcPr>
            <w:tcW w:type="dxa" w:w="2880"/>
            <w:vAlign w:val="center"/>
            <w:shd w:fill="F5F7F9"/>
            <w:tcMar>
              <w:top w:w="70" w:type="dxa"/>
              <w:left w:w="70" w:type="dxa"/>
              <w:bottom w:w="70" w:type="dxa"/>
              <w:right w:w="70" w:type="dxa"/>
            </w:tcMar>
          </w:tcPr>
          <w:p>
            <w:pPr>
              <w:spacing w:after="20" w:line="240" w:lineRule="auto"/>
            </w:pPr>
            <w:r>
              <w:rPr>
                <w:b w:val="0"/>
                <w:sz w:val="20"/>
              </w:rPr>
              <w:t>14.122</w:t>
            </w:r>
          </w:p>
        </w:tc>
        <w:tc>
          <w:tcPr>
            <w:tcW w:type="dxa" w:w="4090"/>
            <w:vAlign w:val="center"/>
            <w:shd w:fill="F5F7F9"/>
            <w:tcMar>
              <w:top w:w="70" w:type="dxa"/>
              <w:left w:w="70" w:type="dxa"/>
              <w:bottom w:w="70" w:type="dxa"/>
              <w:right w:w="70" w:type="dxa"/>
            </w:tcMar>
          </w:tcPr>
          <w:p>
            <w:pPr>
              <w:spacing w:after="20" w:line="240" w:lineRule="auto"/>
            </w:pPr>
            <w:r>
              <w:rPr>
                <w:b w:val="0"/>
                <w:sz w:val="20"/>
              </w:rPr>
              <w:t>20,2 %</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poor</w:t>
            </w:r>
          </w:p>
        </w:tc>
        <w:tc>
          <w:tcPr>
            <w:tcW w:type="dxa" w:w="2880"/>
            <w:vAlign w:val="center"/>
            <w:shd w:fill="FFFFFF"/>
            <w:tcMar>
              <w:top w:w="70" w:type="dxa"/>
              <w:left w:w="70" w:type="dxa"/>
              <w:bottom w:w="70" w:type="dxa"/>
              <w:right w:w="70" w:type="dxa"/>
            </w:tcMar>
          </w:tcPr>
          <w:p>
            <w:pPr>
              <w:spacing w:after="20" w:line="240" w:lineRule="auto"/>
            </w:pPr>
            <w:r>
              <w:rPr>
                <w:b w:val="0"/>
                <w:sz w:val="20"/>
              </w:rPr>
              <w:t>4.047</w:t>
            </w:r>
          </w:p>
        </w:tc>
        <w:tc>
          <w:tcPr>
            <w:tcW w:type="dxa" w:w="4090"/>
            <w:vAlign w:val="center"/>
            <w:shd w:fill="FFFFFF"/>
            <w:tcMar>
              <w:top w:w="70" w:type="dxa"/>
              <w:left w:w="70" w:type="dxa"/>
              <w:bottom w:w="70" w:type="dxa"/>
              <w:right w:w="70" w:type="dxa"/>
            </w:tcMar>
          </w:tcPr>
          <w:p>
            <w:pPr>
              <w:spacing w:after="20" w:line="240" w:lineRule="auto"/>
            </w:pPr>
            <w:r>
              <w:rPr>
                <w:b w:val="0"/>
                <w:sz w:val="20"/>
              </w:rPr>
              <w:t>5,8 %</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unknown</w:t>
            </w:r>
          </w:p>
        </w:tc>
        <w:tc>
          <w:tcPr>
            <w:tcW w:type="dxa" w:w="2880"/>
            <w:vAlign w:val="center"/>
            <w:shd w:fill="F5F7F9"/>
            <w:tcMar>
              <w:top w:w="70" w:type="dxa"/>
              <w:left w:w="70" w:type="dxa"/>
              <w:bottom w:w="70" w:type="dxa"/>
              <w:right w:w="70" w:type="dxa"/>
            </w:tcMar>
          </w:tcPr>
          <w:p>
            <w:pPr>
              <w:spacing w:after="20" w:line="240" w:lineRule="auto"/>
            </w:pPr>
            <w:r>
              <w:rPr>
                <w:b w:val="0"/>
                <w:sz w:val="20"/>
              </w:rPr>
              <w:t>29.619</w:t>
            </w:r>
          </w:p>
        </w:tc>
        <w:tc>
          <w:tcPr>
            <w:tcW w:type="dxa" w:w="4090"/>
            <w:vAlign w:val="center"/>
            <w:shd w:fill="F5F7F9"/>
            <w:tcMar>
              <w:top w:w="70" w:type="dxa"/>
              <w:left w:w="70" w:type="dxa"/>
              <w:bottom w:w="70" w:type="dxa"/>
              <w:right w:w="70" w:type="dxa"/>
            </w:tcMar>
          </w:tcPr>
          <w:p>
            <w:pPr>
              <w:spacing w:after="20" w:line="240" w:lineRule="auto"/>
            </w:pPr>
            <w:r>
              <w:rPr>
                <w:b w:val="0"/>
                <w:sz w:val="20"/>
              </w:rPr>
              <w:t>42,5 %</w:t>
            </w:r>
          </w:p>
        </w:tc>
      </w:tr>
    </w:tbl>
    <w:p>
      <w:pPr>
        <w:spacing w:after="20"/>
      </w:pPr>
    </w:p>
    <w:p>
      <w:r>
        <w:br w:type="page"/>
      </w:r>
    </w:p>
    <w:p>
      <w:pPr>
        <w:pStyle w:val="Heading1"/>
      </w:pPr>
      <w:r>
        <w:t>5 Schatten im Sommer und Winter</w:t>
      </w:r>
    </w:p>
    <w:p>
      <w:r>
        <w:t>Das Schattenmodell projiziert die Abschattung durch Gebäude und im Sommer zusätzlich durch Einzelbäume auf die Linien des Netzes. Es berechnet den beschatteten Anteil der Linienlänge. Der Wert beschreibt weder die gesamte Breite eines Gehwegs noch die Aufenthaltsdauer einer Person. Die Berechnung ist eine geometrische Annäherung für die gewählten Sonnenstände. [2] Die historischen Sonnenzeitberechnungen sind angenähert; siehe methods/METHOD_REVIEW.md.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57"/>
        <w:gridCol w:w="3557"/>
      </w:tblGrid>
      <w:tr>
        <w:trPr>
          <w:cantSplit/>
          <w:tblHeader/>
        </w:trPr>
        <w:tc>
          <w:tcPr>
            <w:tcW w:type="dxa" w:w="2880"/>
            <w:vAlign w:val="center"/>
            <w:shd w:fill="DCE6EF"/>
            <w:tcMar>
              <w:top w:w="70" w:type="dxa"/>
              <w:left w:w="70" w:type="dxa"/>
              <w:bottom w:w="70" w:type="dxa"/>
              <w:right w:w="70" w:type="dxa"/>
            </w:tcMar>
          </w:tcPr>
          <w:p>
            <w:pPr>
              <w:spacing w:after="20" w:line="240" w:lineRule="auto"/>
            </w:pPr>
            <w:r>
              <w:rPr>
                <w:b/>
                <w:sz w:val="20"/>
              </w:rPr>
              <w:t>Modellmerkmal</w:t>
            </w:r>
          </w:p>
        </w:tc>
        <w:tc>
          <w:tcPr>
            <w:tcW w:type="dxa" w:w="3557"/>
            <w:vAlign w:val="center"/>
            <w:shd w:fill="DCE6EF"/>
            <w:tcMar>
              <w:top w:w="70" w:type="dxa"/>
              <w:left w:w="70" w:type="dxa"/>
              <w:bottom w:w="70" w:type="dxa"/>
              <w:right w:w="70" w:type="dxa"/>
            </w:tcMar>
          </w:tcPr>
          <w:p>
            <w:pPr>
              <w:spacing w:after="20" w:line="240" w:lineRule="auto"/>
            </w:pPr>
            <w:r>
              <w:rPr>
                <w:b/>
                <w:sz w:val="20"/>
              </w:rPr>
              <w:t>Sommer</w:t>
            </w:r>
          </w:p>
        </w:tc>
        <w:tc>
          <w:tcPr>
            <w:tcW w:type="dxa" w:w="3557"/>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Referenztag</w:t>
            </w:r>
          </w:p>
        </w:tc>
        <w:tc>
          <w:tcPr>
            <w:tcW w:type="dxa" w:w="3557"/>
            <w:vAlign w:val="center"/>
            <w:shd w:fill="FFFFFF"/>
            <w:tcMar>
              <w:top w:w="70" w:type="dxa"/>
              <w:left w:w="70" w:type="dxa"/>
              <w:bottom w:w="70" w:type="dxa"/>
              <w:right w:w="70" w:type="dxa"/>
            </w:tcMar>
          </w:tcPr>
          <w:p>
            <w:pPr>
              <w:spacing w:after="20" w:line="240" w:lineRule="auto"/>
            </w:pPr>
            <w:r>
              <w:rPr>
                <w:b w:val="0"/>
                <w:sz w:val="20"/>
              </w:rPr>
              <w:t>21. Juni</w:t>
            </w:r>
          </w:p>
        </w:tc>
        <w:tc>
          <w:tcPr>
            <w:tcW w:type="dxa" w:w="3557"/>
            <w:vAlign w:val="center"/>
            <w:shd w:fill="FFFFFF"/>
            <w:tcMar>
              <w:top w:w="70" w:type="dxa"/>
              <w:left w:w="70" w:type="dxa"/>
              <w:bottom w:w="70" w:type="dxa"/>
              <w:right w:w="70" w:type="dxa"/>
            </w:tcMar>
          </w:tcPr>
          <w:p>
            <w:pPr>
              <w:spacing w:after="20" w:line="240" w:lineRule="auto"/>
            </w:pPr>
            <w:r>
              <w:rPr>
                <w:b w:val="0"/>
                <w:sz w:val="20"/>
              </w:rPr>
              <w:t>21. Dezember</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Zeitpunkte im Mittel</w:t>
            </w:r>
          </w:p>
        </w:tc>
        <w:tc>
          <w:tcPr>
            <w:tcW w:type="dxa" w:w="3557"/>
            <w:vAlign w:val="center"/>
            <w:shd w:fill="F5F7F9"/>
            <w:tcMar>
              <w:top w:w="70" w:type="dxa"/>
              <w:left w:w="70" w:type="dxa"/>
              <w:bottom w:w="70" w:type="dxa"/>
              <w:right w:w="70" w:type="dxa"/>
            </w:tcMar>
          </w:tcPr>
          <w:p>
            <w:pPr>
              <w:spacing w:after="20" w:line="240" w:lineRule="auto"/>
            </w:pPr>
            <w:r>
              <w:rPr>
                <w:b w:val="0"/>
                <w:sz w:val="20"/>
              </w:rPr>
              <w:t>8, 10, 12, 14, 16, 18 Uhr</w:t>
            </w:r>
          </w:p>
        </w:tc>
        <w:tc>
          <w:tcPr>
            <w:tcW w:type="dxa" w:w="3557"/>
            <w:vAlign w:val="center"/>
            <w:shd w:fill="F5F7F9"/>
            <w:tcMar>
              <w:top w:w="70" w:type="dxa"/>
              <w:left w:w="70" w:type="dxa"/>
              <w:bottom w:w="70" w:type="dxa"/>
              <w:right w:w="70" w:type="dxa"/>
            </w:tcMar>
          </w:tcPr>
          <w:p>
            <w:pPr>
              <w:spacing w:after="20" w:line="240" w:lineRule="auto"/>
            </w:pPr>
            <w:r>
              <w:rPr>
                <w:b w:val="0"/>
                <w:sz w:val="20"/>
              </w:rPr>
              <w:t>10, 12, 14, 16 Uhr</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Zeitbezug</w:t>
            </w:r>
          </w:p>
        </w:tc>
        <w:tc>
          <w:tcPr>
            <w:tcW w:type="dxa" w:w="3557"/>
            <w:vAlign w:val="center"/>
            <w:shd w:fill="FFFFFF"/>
            <w:tcMar>
              <w:top w:w="70" w:type="dxa"/>
              <w:left w:w="70" w:type="dxa"/>
              <w:bottom w:w="70" w:type="dxa"/>
              <w:right w:w="70" w:type="dxa"/>
            </w:tcMar>
          </w:tcPr>
          <w:p>
            <w:pPr>
              <w:spacing w:after="20" w:line="240" w:lineRule="auto"/>
            </w:pPr>
            <w:r>
              <w:rPr>
                <w:b w:val="0"/>
                <w:sz w:val="20"/>
              </w:rPr>
              <w:t>MESZ</w:t>
            </w:r>
          </w:p>
        </w:tc>
        <w:tc>
          <w:tcPr>
            <w:tcW w:type="dxa" w:w="3557"/>
            <w:vAlign w:val="center"/>
            <w:shd w:fill="FFFFFF"/>
            <w:tcMar>
              <w:top w:w="70" w:type="dxa"/>
              <w:left w:w="70" w:type="dxa"/>
              <w:bottom w:w="70" w:type="dxa"/>
              <w:right w:w="70" w:type="dxa"/>
            </w:tcMar>
          </w:tcPr>
          <w:p>
            <w:pPr>
              <w:spacing w:after="20" w:line="240" w:lineRule="auto"/>
            </w:pPr>
            <w:r>
              <w:rPr>
                <w:b w:val="0"/>
                <w:sz w:val="20"/>
              </w:rPr>
              <w:t>MEZ</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Schattenobjekte</w:t>
            </w:r>
          </w:p>
        </w:tc>
        <w:tc>
          <w:tcPr>
            <w:tcW w:type="dxa" w:w="3557"/>
            <w:vAlign w:val="center"/>
            <w:shd w:fill="F5F7F9"/>
            <w:tcMar>
              <w:top w:w="70" w:type="dxa"/>
              <w:left w:w="70" w:type="dxa"/>
              <w:bottom w:w="70" w:type="dxa"/>
              <w:right w:w="70" w:type="dxa"/>
            </w:tcMar>
          </w:tcPr>
          <w:p>
            <w:pPr>
              <w:spacing w:after="20" w:line="240" w:lineRule="auto"/>
            </w:pPr>
            <w:r>
              <w:rPr>
                <w:b w:val="0"/>
                <w:sz w:val="20"/>
              </w:rPr>
              <w:t>Gebäude und Einzelbäume</w:t>
            </w:r>
          </w:p>
        </w:tc>
        <w:tc>
          <w:tcPr>
            <w:tcW w:type="dxa" w:w="3557"/>
            <w:vAlign w:val="center"/>
            <w:shd w:fill="F5F7F9"/>
            <w:tcMar>
              <w:top w:w="70" w:type="dxa"/>
              <w:left w:w="70" w:type="dxa"/>
              <w:bottom w:w="70" w:type="dxa"/>
              <w:right w:w="70" w:type="dxa"/>
            </w:tcMar>
          </w:tcPr>
          <w:p>
            <w:pPr>
              <w:spacing w:after="20" w:line="240" w:lineRule="auto"/>
            </w:pPr>
            <w:r>
              <w:rPr>
                <w:b w:val="0"/>
                <w:sz w:val="20"/>
              </w:rPr>
              <w:t>Gebäude</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Waldabschnitte</w:t>
            </w:r>
          </w:p>
        </w:tc>
        <w:tc>
          <w:tcPr>
            <w:tcW w:type="dxa" w:w="3557"/>
            <w:vAlign w:val="center"/>
            <w:shd w:fill="FFFFFF"/>
            <w:tcMar>
              <w:top w:w="70" w:type="dxa"/>
              <w:left w:w="70" w:type="dxa"/>
              <w:bottom w:w="70" w:type="dxa"/>
              <w:right w:w="70" w:type="dxa"/>
            </w:tcMar>
          </w:tcPr>
          <w:p>
            <w:pPr>
              <w:spacing w:after="20" w:line="240" w:lineRule="auto"/>
            </w:pPr>
            <w:r>
              <w:rPr>
                <w:b w:val="0"/>
                <w:sz w:val="20"/>
              </w:rPr>
              <w:t>Gesonderte Klasse forest</w:t>
            </w:r>
          </w:p>
        </w:tc>
        <w:tc>
          <w:tcPr>
            <w:tcW w:type="dxa" w:w="3557"/>
            <w:vAlign w:val="center"/>
            <w:shd w:fill="FFFFFF"/>
            <w:tcMar>
              <w:top w:w="70" w:type="dxa"/>
              <w:left w:w="70" w:type="dxa"/>
              <w:bottom w:w="70" w:type="dxa"/>
              <w:right w:w="70" w:type="dxa"/>
            </w:tcMar>
          </w:tcPr>
          <w:p>
            <w:pPr>
              <w:spacing w:after="20" w:line="240" w:lineRule="auto"/>
            </w:pPr>
            <w:r>
              <w:rPr>
                <w:b w:val="0"/>
                <w:sz w:val="20"/>
              </w:rPr>
              <w:t>Gesonderte Klasse forest</w:t>
            </w:r>
          </w:p>
        </w:tc>
      </w:tr>
    </w:tbl>
    <w:p>
      <w:pPr>
        <w:spacing w:after="20"/>
      </w:pPr>
    </w:p>
    <w:p>
      <w:r>
        <w:t>Die Baumpositionen stammen aus OSM. Höheninformationen wurden um Schätzungen aus dem normalisierten Oberflächenmodell nDOM1 des LGL ergänzt. Dabei werden Objekthöhen über dem Gelände ausgewertet. Fehlende Gebäudehöhen werden im Modell mit einer Annahme von 9 Metern behandelt. Diese Annahme ist kein gemessener Gebäudewert. Eine unvollständige Baumkartierung oder eine unzutreffende Höhe kann den Schattenanteil verändern. [2, 3,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57"/>
        <w:gridCol w:w="3557"/>
      </w:tblGrid>
      <w:tr>
        <w:trPr>
          <w:cantSplit/>
          <w:tblHeader/>
        </w:trPr>
        <w:tc>
          <w:tcPr>
            <w:tcW w:type="dxa" w:w="2880"/>
            <w:vAlign w:val="center"/>
            <w:shd w:fill="DCE6EF"/>
            <w:tcMar>
              <w:top w:w="70" w:type="dxa"/>
              <w:left w:w="70" w:type="dxa"/>
              <w:bottom w:w="70" w:type="dxa"/>
              <w:right w:w="70" w:type="dxa"/>
            </w:tcMar>
          </w:tcPr>
          <w:p>
            <w:pPr>
              <w:spacing w:after="20" w:line="240" w:lineRule="auto"/>
            </w:pPr>
            <w:r>
              <w:rPr>
                <w:b/>
                <w:sz w:val="20"/>
              </w:rPr>
              <w:t>Gespeicherte Klasse</w:t>
            </w:r>
          </w:p>
        </w:tc>
        <w:tc>
          <w:tcPr>
            <w:tcW w:type="dxa" w:w="3557"/>
            <w:vAlign w:val="center"/>
            <w:shd w:fill="DCE6EF"/>
            <w:tcMar>
              <w:top w:w="70" w:type="dxa"/>
              <w:left w:w="70" w:type="dxa"/>
              <w:bottom w:w="70" w:type="dxa"/>
              <w:right w:w="70" w:type="dxa"/>
            </w:tcMar>
          </w:tcPr>
          <w:p>
            <w:pPr>
              <w:spacing w:after="20" w:line="240" w:lineRule="auto"/>
            </w:pPr>
            <w:r>
              <w:rPr>
                <w:b/>
                <w:sz w:val="20"/>
              </w:rPr>
              <w:t>Sommer</w:t>
            </w:r>
          </w:p>
        </w:tc>
        <w:tc>
          <w:tcPr>
            <w:tcW w:type="dxa" w:w="3557"/>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none</w:t>
            </w:r>
          </w:p>
        </w:tc>
        <w:tc>
          <w:tcPr>
            <w:tcW w:type="dxa" w:w="3557"/>
            <w:vAlign w:val="center"/>
            <w:shd w:fill="FFFFFF"/>
            <w:tcMar>
              <w:top w:w="70" w:type="dxa"/>
              <w:left w:w="70" w:type="dxa"/>
              <w:bottom w:w="70" w:type="dxa"/>
              <w:right w:w="70" w:type="dxa"/>
            </w:tcMar>
          </w:tcPr>
          <w:p>
            <w:pPr>
              <w:spacing w:after="20" w:line="240" w:lineRule="auto"/>
            </w:pPr>
            <w:r>
              <w:rPr>
                <w:b w:val="0"/>
                <w:sz w:val="20"/>
              </w:rPr>
              <w:t>30.355</w:t>
            </w:r>
          </w:p>
        </w:tc>
        <w:tc>
          <w:tcPr>
            <w:tcW w:type="dxa" w:w="3557"/>
            <w:vAlign w:val="center"/>
            <w:shd w:fill="FFFFFF"/>
            <w:tcMar>
              <w:top w:w="70" w:type="dxa"/>
              <w:left w:w="70" w:type="dxa"/>
              <w:bottom w:w="70" w:type="dxa"/>
              <w:right w:w="70" w:type="dxa"/>
            </w:tcMar>
          </w:tcPr>
          <w:p>
            <w:pPr>
              <w:spacing w:after="20" w:line="240" w:lineRule="auto"/>
            </w:pPr>
            <w:r>
              <w:rPr>
                <w:b w:val="0"/>
                <w:sz w:val="20"/>
              </w:rPr>
              <w:t>20.908</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low</w:t>
            </w:r>
          </w:p>
        </w:tc>
        <w:tc>
          <w:tcPr>
            <w:tcW w:type="dxa" w:w="3557"/>
            <w:vAlign w:val="center"/>
            <w:shd w:fill="F5F7F9"/>
            <w:tcMar>
              <w:top w:w="70" w:type="dxa"/>
              <w:left w:w="70" w:type="dxa"/>
              <w:bottom w:w="70" w:type="dxa"/>
              <w:right w:w="70" w:type="dxa"/>
            </w:tcMar>
          </w:tcPr>
          <w:p>
            <w:pPr>
              <w:spacing w:after="20" w:line="240" w:lineRule="auto"/>
            </w:pPr>
            <w:r>
              <w:rPr>
                <w:b w:val="0"/>
                <w:sz w:val="20"/>
              </w:rPr>
              <w:t>12.631</w:t>
            </w:r>
          </w:p>
        </w:tc>
        <w:tc>
          <w:tcPr>
            <w:tcW w:type="dxa" w:w="3557"/>
            <w:vAlign w:val="center"/>
            <w:shd w:fill="F5F7F9"/>
            <w:tcMar>
              <w:top w:w="70" w:type="dxa"/>
              <w:left w:w="70" w:type="dxa"/>
              <w:bottom w:w="70" w:type="dxa"/>
              <w:right w:w="70" w:type="dxa"/>
            </w:tcMar>
          </w:tcPr>
          <w:p>
            <w:pPr>
              <w:spacing w:after="20" w:line="240" w:lineRule="auto"/>
            </w:pPr>
            <w:r>
              <w:rPr>
                <w:b w:val="0"/>
                <w:sz w:val="20"/>
              </w:rPr>
              <w:t>7.644</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medium</w:t>
            </w:r>
          </w:p>
        </w:tc>
        <w:tc>
          <w:tcPr>
            <w:tcW w:type="dxa" w:w="3557"/>
            <w:vAlign w:val="center"/>
            <w:shd w:fill="FFFFFF"/>
            <w:tcMar>
              <w:top w:w="70" w:type="dxa"/>
              <w:left w:w="70" w:type="dxa"/>
              <w:bottom w:w="70" w:type="dxa"/>
              <w:right w:w="70" w:type="dxa"/>
            </w:tcMar>
          </w:tcPr>
          <w:p>
            <w:pPr>
              <w:spacing w:after="20" w:line="240" w:lineRule="auto"/>
            </w:pPr>
            <w:r>
              <w:rPr>
                <w:b w:val="0"/>
                <w:sz w:val="20"/>
              </w:rPr>
              <w:t>10.737</w:t>
            </w:r>
          </w:p>
        </w:tc>
        <w:tc>
          <w:tcPr>
            <w:tcW w:type="dxa" w:w="3557"/>
            <w:vAlign w:val="center"/>
            <w:shd w:fill="FFFFFF"/>
            <w:tcMar>
              <w:top w:w="70" w:type="dxa"/>
              <w:left w:w="70" w:type="dxa"/>
              <w:bottom w:w="70" w:type="dxa"/>
              <w:right w:w="70" w:type="dxa"/>
            </w:tcMar>
          </w:tcPr>
          <w:p>
            <w:pPr>
              <w:spacing w:after="20" w:line="240" w:lineRule="auto"/>
            </w:pPr>
            <w:r>
              <w:rPr>
                <w:b w:val="0"/>
                <w:sz w:val="20"/>
              </w:rPr>
              <w:t>10.309</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high</w:t>
            </w:r>
          </w:p>
        </w:tc>
        <w:tc>
          <w:tcPr>
            <w:tcW w:type="dxa" w:w="3557"/>
            <w:vAlign w:val="center"/>
            <w:shd w:fill="F5F7F9"/>
            <w:tcMar>
              <w:top w:w="70" w:type="dxa"/>
              <w:left w:w="70" w:type="dxa"/>
              <w:bottom w:w="70" w:type="dxa"/>
              <w:right w:w="70" w:type="dxa"/>
            </w:tcMar>
          </w:tcPr>
          <w:p>
            <w:pPr>
              <w:spacing w:after="20" w:line="240" w:lineRule="auto"/>
            </w:pPr>
            <w:r>
              <w:rPr>
                <w:b w:val="0"/>
                <w:sz w:val="20"/>
              </w:rPr>
              <w:t>9.518</w:t>
            </w:r>
          </w:p>
        </w:tc>
        <w:tc>
          <w:tcPr>
            <w:tcW w:type="dxa" w:w="3557"/>
            <w:vAlign w:val="center"/>
            <w:shd w:fill="F5F7F9"/>
            <w:tcMar>
              <w:top w:w="70" w:type="dxa"/>
              <w:left w:w="70" w:type="dxa"/>
              <w:bottom w:w="70" w:type="dxa"/>
              <w:right w:w="70" w:type="dxa"/>
            </w:tcMar>
          </w:tcPr>
          <w:p>
            <w:pPr>
              <w:spacing w:after="20" w:line="240" w:lineRule="auto"/>
            </w:pPr>
            <w:r>
              <w:rPr>
                <w:b w:val="0"/>
                <w:sz w:val="20"/>
              </w:rPr>
              <w:t>24.380</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forest</w:t>
            </w:r>
          </w:p>
        </w:tc>
        <w:tc>
          <w:tcPr>
            <w:tcW w:type="dxa" w:w="3557"/>
            <w:vAlign w:val="center"/>
            <w:shd w:fill="FFFFFF"/>
            <w:tcMar>
              <w:top w:w="70" w:type="dxa"/>
              <w:left w:w="70" w:type="dxa"/>
              <w:bottom w:w="70" w:type="dxa"/>
              <w:right w:w="70" w:type="dxa"/>
            </w:tcMar>
          </w:tcPr>
          <w:p>
            <w:pPr>
              <w:spacing w:after="20" w:line="240" w:lineRule="auto"/>
            </w:pPr>
            <w:r>
              <w:rPr>
                <w:b w:val="0"/>
                <w:sz w:val="20"/>
              </w:rPr>
              <w:t>6.528</w:t>
            </w:r>
          </w:p>
        </w:tc>
        <w:tc>
          <w:tcPr>
            <w:tcW w:type="dxa" w:w="3557"/>
            <w:vAlign w:val="center"/>
            <w:shd w:fill="FFFFFF"/>
            <w:tcMar>
              <w:top w:w="70" w:type="dxa"/>
              <w:left w:w="70" w:type="dxa"/>
              <w:bottom w:w="70" w:type="dxa"/>
              <w:right w:w="70" w:type="dxa"/>
            </w:tcMar>
          </w:tcPr>
          <w:p>
            <w:pPr>
              <w:spacing w:after="20" w:line="240" w:lineRule="auto"/>
            </w:pPr>
            <w:r>
              <w:rPr>
                <w:b w:val="0"/>
                <w:sz w:val="20"/>
              </w:rPr>
              <w:t>6.528</w:t>
            </w:r>
          </w:p>
        </w:tc>
      </w:tr>
    </w:tbl>
    <w:p>
      <w:pPr>
        <w:spacing w:after="20"/>
      </w:pPr>
    </w:p>
    <w:p>
      <w:r>
        <w:t>Die regulären Klassen grenzen bei 10, 30 und 60 Prozent aneinander. forest kennzeichnet eine gesondert behandelte Waldzuordnung und bedeutet nicht 100 Prozent berechneten Schatten. Im Sommer fehlen zusätzlich zu den 6.528 Waldzuordnungen drei numerische Schattenwerte. Die Karte besitzt eine eigene Darstellung für fehlende Werte. [1]</w:t>
      </w:r>
    </w:p>
    <w:p>
      <w:r>
        <w:t>Über die vorhandenen numerischen Segmentwerte beträgt der ungewichtete Mittelwert 24,53 Prozent im Sommer und 43,54 Prozent im Winter. Das sind Mittel über die ausgewählten Modellzeitpunkte und Segmente, keine ganztägigen Flächenmittel für Stuttgart. Der höhere Winterwert hängt insbesondere mit dem niedrigeren Sonnenstand zusammen. Wolken, zeitlich wechselnde Vegetation und sämtliche Strahlungseffekte werden nicht vollständig abgebildet. Ein pauschaler Sonnenscheinfaktor macht daraus keine beobachtete Alltagsexposition.</w:t>
      </w:r>
    </w:p>
    <w:p>
      <w:r>
        <w:br w:type="page"/>
      </w:r>
    </w:p>
    <w:p>
      <w:pPr>
        <w:pStyle w:val="Heading1"/>
      </w:pPr>
      <w:r>
        <w:t>6 Thermische Belastung und Wind</w:t>
      </w:r>
    </w:p>
    <w:p>
      <w:pPr>
        <w:pStyle w:val="Heading2"/>
      </w:pPr>
      <w:r>
        <w:t>UTCI als Szenariowert</w:t>
      </w:r>
    </w:p>
    <w:p>
      <w:r>
        <w:t>Der Universal Thermal Climate Index, kurz UTCI, beschreibt thermische Beanspruchung als äquivalente Temperatur. Er berücksichtigt Lufttemperatur, mittlere Strahlungstemperatur, Luftfeuchtigkeit und Wind. Ein UTCI-Wert in Grad Celsius ist deshalb nicht mit der Lufttemperatur gleichzusetzen. Im Atlas wird das etablierte Berechnungsverfahren mit vereinfachten, projektbezogenen Eingangswerten verwendet. [9,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DCE6EF"/>
            <w:tcMar>
              <w:top w:w="70" w:type="dxa"/>
              <w:left w:w="70" w:type="dxa"/>
              <w:bottom w:w="70" w:type="dxa"/>
              <w:right w:w="70" w:type="dxa"/>
            </w:tcMar>
          </w:tcPr>
          <w:p>
            <w:pPr>
              <w:spacing w:after="20" w:line="240" w:lineRule="auto"/>
            </w:pPr>
            <w:r>
              <w:rPr>
                <w:b/>
                <w:sz w:val="20"/>
              </w:rPr>
              <w:t>Eingangsgröße</w:t>
            </w:r>
          </w:p>
        </w:tc>
        <w:tc>
          <w:tcPr>
            <w:tcW w:type="dxa" w:w="3125"/>
            <w:vAlign w:val="center"/>
            <w:shd w:fill="DCE6EF"/>
            <w:tcMar>
              <w:top w:w="70" w:type="dxa"/>
              <w:left w:w="70" w:type="dxa"/>
              <w:bottom w:w="70" w:type="dxa"/>
              <w:right w:w="70" w:type="dxa"/>
            </w:tcMar>
          </w:tcPr>
          <w:p>
            <w:pPr>
              <w:spacing w:after="20" w:line="240" w:lineRule="auto"/>
            </w:pPr>
            <w:r>
              <w:rPr>
                <w:b/>
                <w:sz w:val="20"/>
              </w:rPr>
              <w:t>Sommer</w:t>
            </w:r>
          </w:p>
        </w:tc>
        <w:tc>
          <w:tcPr>
            <w:tcW w:type="dxa" w:w="3125"/>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3744"/>
            <w:vAlign w:val="center"/>
            <w:shd w:fill="FFFFFF"/>
            <w:tcMar>
              <w:top w:w="70" w:type="dxa"/>
              <w:left w:w="70" w:type="dxa"/>
              <w:bottom w:w="70" w:type="dxa"/>
              <w:right w:w="70" w:type="dxa"/>
            </w:tcMar>
          </w:tcPr>
          <w:p>
            <w:pPr>
              <w:spacing w:after="20" w:line="240" w:lineRule="auto"/>
            </w:pPr>
            <w:r>
              <w:rPr>
                <w:b w:val="0"/>
                <w:sz w:val="20"/>
              </w:rPr>
              <w:t>Lufttemperatur</w:t>
            </w:r>
          </w:p>
        </w:tc>
        <w:tc>
          <w:tcPr>
            <w:tcW w:type="dxa" w:w="3125"/>
            <w:vAlign w:val="center"/>
            <w:shd w:fill="FFFFFF"/>
            <w:tcMar>
              <w:top w:w="70" w:type="dxa"/>
              <w:left w:w="70" w:type="dxa"/>
              <w:bottom w:w="70" w:type="dxa"/>
              <w:right w:w="70" w:type="dxa"/>
            </w:tcMar>
          </w:tcPr>
          <w:p>
            <w:pPr>
              <w:spacing w:after="20" w:line="240" w:lineRule="auto"/>
            </w:pPr>
            <w:r>
              <w:rPr>
                <w:b w:val="0"/>
                <w:sz w:val="20"/>
              </w:rPr>
              <w:t>35 °C</w:t>
            </w:r>
          </w:p>
        </w:tc>
        <w:tc>
          <w:tcPr>
            <w:tcW w:type="dxa" w:w="3125"/>
            <w:vAlign w:val="center"/>
            <w:shd w:fill="FFFFFF"/>
            <w:tcMar>
              <w:top w:w="70" w:type="dxa"/>
              <w:left w:w="70" w:type="dxa"/>
              <w:bottom w:w="70" w:type="dxa"/>
              <w:right w:w="70" w:type="dxa"/>
            </w:tcMar>
          </w:tcPr>
          <w:p>
            <w:pPr>
              <w:spacing w:after="20" w:line="240" w:lineRule="auto"/>
            </w:pPr>
            <w:r>
              <w:rPr>
                <w:b w:val="0"/>
                <w:sz w:val="20"/>
              </w:rPr>
              <w:t>−5 °C</w:t>
            </w:r>
          </w:p>
        </w:tc>
      </w:tr>
      <w:tr>
        <w:trPr>
          <w:cantSplit/>
        </w:trPr>
        <w:tc>
          <w:tcPr>
            <w:tcW w:type="dxa" w:w="3744"/>
            <w:vAlign w:val="center"/>
            <w:shd w:fill="F5F7F9"/>
            <w:tcMar>
              <w:top w:w="70" w:type="dxa"/>
              <w:left w:w="70" w:type="dxa"/>
              <w:bottom w:w="70" w:type="dxa"/>
              <w:right w:w="70" w:type="dxa"/>
            </w:tcMar>
          </w:tcPr>
          <w:p>
            <w:pPr>
              <w:spacing w:after="20" w:line="240" w:lineRule="auto"/>
            </w:pPr>
            <w:r>
              <w:rPr>
                <w:b w:val="0"/>
                <w:sz w:val="20"/>
              </w:rPr>
              <w:t>Relative Luftfeuchtigkeit</w:t>
            </w:r>
          </w:p>
        </w:tc>
        <w:tc>
          <w:tcPr>
            <w:tcW w:type="dxa" w:w="3125"/>
            <w:vAlign w:val="center"/>
            <w:shd w:fill="F5F7F9"/>
            <w:tcMar>
              <w:top w:w="70" w:type="dxa"/>
              <w:left w:w="70" w:type="dxa"/>
              <w:bottom w:w="70" w:type="dxa"/>
              <w:right w:w="70" w:type="dxa"/>
            </w:tcMar>
          </w:tcPr>
          <w:p>
            <w:pPr>
              <w:spacing w:after="20" w:line="240" w:lineRule="auto"/>
            </w:pPr>
            <w:r>
              <w:rPr>
                <w:b w:val="0"/>
                <w:sz w:val="20"/>
              </w:rPr>
              <w:t>35 %</w:t>
            </w:r>
          </w:p>
        </w:tc>
        <w:tc>
          <w:tcPr>
            <w:tcW w:type="dxa" w:w="3125"/>
            <w:vAlign w:val="center"/>
            <w:shd w:fill="F5F7F9"/>
            <w:tcMar>
              <w:top w:w="70" w:type="dxa"/>
              <w:left w:w="70" w:type="dxa"/>
              <w:bottom w:w="70" w:type="dxa"/>
              <w:right w:w="70" w:type="dxa"/>
            </w:tcMar>
          </w:tcPr>
          <w:p>
            <w:pPr>
              <w:spacing w:after="20" w:line="240" w:lineRule="auto"/>
            </w:pPr>
            <w:r>
              <w:rPr>
                <w:b w:val="0"/>
                <w:sz w:val="20"/>
              </w:rPr>
              <w:t>80 %</w:t>
            </w:r>
          </w:p>
        </w:tc>
      </w:tr>
      <w:tr>
        <w:trPr>
          <w:cantSplit/>
        </w:trPr>
        <w:tc>
          <w:tcPr>
            <w:tcW w:type="dxa" w:w="3744"/>
            <w:vAlign w:val="center"/>
            <w:shd w:fill="FFFFFF"/>
            <w:tcMar>
              <w:top w:w="70" w:type="dxa"/>
              <w:left w:w="70" w:type="dxa"/>
              <w:bottom w:w="70" w:type="dxa"/>
              <w:right w:w="70" w:type="dxa"/>
            </w:tcMar>
          </w:tcPr>
          <w:p>
            <w:pPr>
              <w:spacing w:after="20" w:line="240" w:lineRule="auto"/>
            </w:pPr>
            <w:r>
              <w:rPr>
                <w:b w:val="0"/>
                <w:sz w:val="20"/>
              </w:rPr>
              <w:t>Windgeschwindigkeit</w:t>
            </w:r>
          </w:p>
        </w:tc>
        <w:tc>
          <w:tcPr>
            <w:tcW w:type="dxa" w:w="3125"/>
            <w:vAlign w:val="center"/>
            <w:shd w:fill="FFFFFF"/>
            <w:tcMar>
              <w:top w:w="70" w:type="dxa"/>
              <w:left w:w="70" w:type="dxa"/>
              <w:bottom w:w="70" w:type="dxa"/>
              <w:right w:w="70" w:type="dxa"/>
            </w:tcMar>
          </w:tcPr>
          <w:p>
            <w:pPr>
              <w:spacing w:after="20" w:line="240" w:lineRule="auto"/>
            </w:pPr>
            <w:r>
              <w:rPr>
                <w:b w:val="0"/>
                <w:sz w:val="20"/>
              </w:rPr>
              <w:t>1,0 m/s</w:t>
            </w:r>
          </w:p>
        </w:tc>
        <w:tc>
          <w:tcPr>
            <w:tcW w:type="dxa" w:w="3125"/>
            <w:vAlign w:val="center"/>
            <w:shd w:fill="FFFFFF"/>
            <w:tcMar>
              <w:top w:w="70" w:type="dxa"/>
              <w:left w:w="70" w:type="dxa"/>
              <w:bottom w:w="70" w:type="dxa"/>
              <w:right w:w="70" w:type="dxa"/>
            </w:tcMar>
          </w:tcPr>
          <w:p>
            <w:pPr>
              <w:spacing w:after="20" w:line="240" w:lineRule="auto"/>
            </w:pPr>
            <w:r>
              <w:rPr>
                <w:b w:val="0"/>
                <w:sz w:val="20"/>
              </w:rPr>
              <w:t>3,0 m/s</w:t>
            </w:r>
          </w:p>
        </w:tc>
      </w:tr>
      <w:tr>
        <w:trPr>
          <w:cantSplit/>
        </w:trPr>
        <w:tc>
          <w:tcPr>
            <w:tcW w:type="dxa" w:w="3744"/>
            <w:vAlign w:val="center"/>
            <w:shd w:fill="F5F7F9"/>
            <w:tcMar>
              <w:top w:w="70" w:type="dxa"/>
              <w:left w:w="70" w:type="dxa"/>
              <w:bottom w:w="70" w:type="dxa"/>
              <w:right w:w="70" w:type="dxa"/>
            </w:tcMar>
          </w:tcPr>
          <w:p>
            <w:pPr>
              <w:spacing w:after="20" w:line="240" w:lineRule="auto"/>
            </w:pPr>
            <w:r>
              <w:rPr>
                <w:b w:val="0"/>
                <w:sz w:val="20"/>
              </w:rPr>
              <w:t>Zeitpunkte</w:t>
            </w:r>
          </w:p>
        </w:tc>
        <w:tc>
          <w:tcPr>
            <w:tcW w:type="dxa" w:w="3125"/>
            <w:vAlign w:val="center"/>
            <w:shd w:fill="F5F7F9"/>
            <w:tcMar>
              <w:top w:w="70" w:type="dxa"/>
              <w:left w:w="70" w:type="dxa"/>
              <w:bottom w:w="70" w:type="dxa"/>
              <w:right w:w="70" w:type="dxa"/>
            </w:tcMar>
          </w:tcPr>
          <w:p>
            <w:pPr>
              <w:spacing w:after="20" w:line="240" w:lineRule="auto"/>
            </w:pPr>
            <w:r>
              <w:rPr>
                <w:b w:val="0"/>
                <w:sz w:val="20"/>
              </w:rPr>
              <w:t>Wie Sommerschatten</w:t>
            </w:r>
          </w:p>
        </w:tc>
        <w:tc>
          <w:tcPr>
            <w:tcW w:type="dxa" w:w="3125"/>
            <w:vAlign w:val="center"/>
            <w:shd w:fill="F5F7F9"/>
            <w:tcMar>
              <w:top w:w="70" w:type="dxa"/>
              <w:left w:w="70" w:type="dxa"/>
              <w:bottom w:w="70" w:type="dxa"/>
              <w:right w:w="70" w:type="dxa"/>
            </w:tcMar>
          </w:tcPr>
          <w:p>
            <w:pPr>
              <w:spacing w:after="20" w:line="240" w:lineRule="auto"/>
            </w:pPr>
            <w:r>
              <w:rPr>
                <w:b w:val="0"/>
                <w:sz w:val="20"/>
              </w:rPr>
              <w:t>Wie Winterschatten</w:t>
            </w:r>
          </w:p>
        </w:tc>
      </w:tr>
    </w:tbl>
    <w:p>
      <w:pPr>
        <w:spacing w:after="20"/>
      </w:pPr>
    </w:p>
    <w:p>
      <w:r>
        <w:t>Die mittlere Strahlungstemperatur wird aus dem mittleren Schattenanteil des Segments und dem Sonnenstand angenähert. Derselbe Schattenmittelwert wird zu jedem Modellzeitpunkt verwendet; dies ist keine stündliche Strahlungssimulation oder örtliche Messung. Die Wetterannahmen beschreiben heiße und kalte Szenarien, keine nachgewiesenen Stuttgarter Temperaturperzentile. Historischer Code und Einschränkungen stehen in methods/METHOD_REVIEW.md. [2]</w:t>
      </w:r>
    </w:p>
    <w:p>
      <w:r>
        <w:t>Im Sommer sind 17.897 Segmente als strong und 45.341 als very_strong klassifiziert; 6.531 Werte fehlen. Im Winter entfallen 49.410 auf moderate und 13.831 auf strong, bei 6.528 fehlenden Werten. Die sommerlichen Labels bezeichnen Hitze-, die winterlichen Kältestress. Der jeweilige ungewichtete Mittelwert der vorhandenen numerischen Werte beträgt 38,26 °C und −9,12 °C. Die Ergebnisse sind keine Prognose für ein konkretes Datum. [1]</w:t>
      </w:r>
    </w:p>
    <w:p>
      <w:pPr>
        <w:pStyle w:val="Heading2"/>
      </w:pPr>
      <w:r>
        <w:t>Relativer Windindex</w:t>
      </w:r>
    </w:p>
    <w:p>
      <w:r>
        <w:t>Der Windindex kombiniert vier Komponenten: ein grobes Windraster mit 35 Prozent Gewicht, die Orientierung des Segments zur Windrichtung mit 25 Prozent, die relative Höhenlage mit 25 Prozent und die Offenheit gegenüber umgebender Bebauung mit 15 Prozent. Die Komponenten werden auf einen gemeinsamen Wertebereich gebracht. Das Resultat liegt zwischen 0 und 1. [2]</w:t>
      </w:r>
    </w:p>
    <w:p>
      <w:r>
        <w:t>Das verwendete Raster hat eine Auflösung von 1.000 Metern. Seine ursprüngliche Einheit und sein Bezugszeitraum sind nicht hinreichend dokumentiert. Der Index wird deshalb als heuristischer räumlicher Vergleich behandelt, nicht als Windgeschwindigkeit oder validiertes Mikroklimamodell. Der Gebäudeeinfluss wird über einen 100-Meter-Puffer angenähert; Straßenschluchten und Böen werden nicht aufgelöst. Der Index ist nicht in die UTCI-Berechnung eingekoppelt.</w:t>
      </w:r>
    </w:p>
    <w:p>
      <w:r>
        <w:t>Gespeichert sind 12.515 sheltered, 50.979 moderate und 6.267 exposed; acht Werte fehlen. Sommer- und Winterlabels interpretieren denselben Index unterschiedlich. Sie bilden keine getrennten jahreszeitlichen Windmessungen ab. [1]</w:t>
      </w:r>
    </w:p>
    <w:p>
      <w:r>
        <w:br w:type="page"/>
      </w:r>
    </w:p>
    <w:p>
      <w:pPr>
        <w:pStyle w:val="Heading1"/>
      </w:pPr>
      <w:r>
        <w:t>7 Lärm und ergänzende Infrastruktur</w:t>
      </w:r>
    </w:p>
    <w:p>
      <w:pPr>
        <w:pStyle w:val="Heading2"/>
      </w:pPr>
      <w:r>
        <w:t>Lärminformationen</w:t>
      </w:r>
    </w:p>
    <w:p>
      <w:r>
        <w:t>Die Lärmattribute beruhen auf polygonalen Informationen der Stadt Stuttgart für Straßenverkehr, Schienenverkehr und Industrie. Der dokumentierte Verarbeitungsschritt ordnet dem geometrischen Schwerpunkt eines Segments passende Flächen zu. Bei mehreren Treffern einer Quelle wird der höchste Wert übernommen. Anschließend werden die vorhandenen Quellen logarithmisch zusammengeführt. Diese Kombination ist eine Ableitung des Atlas, keine eigenständige amtliche Gesamtlärmkarte. [2, 7]</w:t>
      </w:r>
    </w:p>
    <w:p>
      <w:r>
        <w:t>Die historische Dokumentation bezeichnet die Lärmwerte als Lden, einen langfristigen Belastungsindex mit Zuschlägen für Abend und Nacht. Die bereitgestellten Dateinamen enthalten „tag“; der tatsächlich importierte Indikator ist noch nicht bestätigt. Die Werte dürfen daher weder als gesicherter Lden noch als momentane Lautstärke beim Gehen interpretiert werden. Der Stuttgarter Ergebnisbericht beschreibt die amtliche Berechnung einschließlich einer Höhe von 4 Metern, identifiziert allein aber nicht diese historischen Exporte. [2, 7]</w:t>
      </w:r>
    </w:p>
    <w:p>
      <w:r>
        <w:t>34.523 Segmente tragen die Klasse quiet bei fehlendem Gesamtpegel. Die Legende bezeichnet diese Fälle als Quiet / not mapped. Sie müssen als nicht zugeordnet beziehungsweise nicht kartiert gelesen werden. Ohne einen vollständigen Abdeckungsnachweis ist daraus keine garantierte Ruhe und kein bestimmter Pegel unterhalb einer Schwelle abzuleiten. Für die übrigen Klassen sind 8.226 elevated, 7.049 high, 8.601 very_high und 11.370 extreme gespeichert. [1]</w:t>
      </w:r>
    </w:p>
    <w:p>
      <w:pPr>
        <w:pStyle w:val="Heading2"/>
      </w:pPr>
      <w:r>
        <w:t>Querungen und Hilfseinrichtungen</w:t>
      </w:r>
    </w:p>
    <w:p>
      <w:r>
        <w:t>An signalisierten Querungsstellen bewertet die Darstellung die dokumentierten Angaben zu akustischen Signalen, Vibration und taktiler Pflasterung. Mindestens zwei positiv dokumentierte Merkmale ergeben Good support, ein positives Merkmal Partial support. Drei ausdrücklich negative Angaben ergeben No documented support. Die übrigen Kombinationen werden als Unknown / incomplete dargestellt.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506"/>
      </w:tblGrid>
      <w:tr>
        <w:trPr>
          <w:cantSplit/>
          <w:tblHeader/>
        </w:trPr>
        <w:tc>
          <w:tcPr>
            <w:tcW w:type="dxa" w:w="7488"/>
            <w:vAlign w:val="center"/>
            <w:shd w:fill="DCE6EF"/>
            <w:tcMar>
              <w:top w:w="70" w:type="dxa"/>
              <w:left w:w="70" w:type="dxa"/>
              <w:bottom w:w="70" w:type="dxa"/>
              <w:right w:w="70" w:type="dxa"/>
            </w:tcMar>
          </w:tcPr>
          <w:p>
            <w:pPr>
              <w:spacing w:after="20" w:line="240" w:lineRule="auto"/>
            </w:pPr>
            <w:r>
              <w:rPr>
                <w:b/>
                <w:sz w:val="20"/>
              </w:rPr>
              <w:t>Darstellung</w:t>
            </w:r>
          </w:p>
        </w:tc>
        <w:tc>
          <w:tcPr>
            <w:tcW w:type="dxa" w:w="2506"/>
            <w:vAlign w:val="center"/>
            <w:shd w:fill="DCE6EF"/>
            <w:tcMar>
              <w:top w:w="70" w:type="dxa"/>
              <w:left w:w="70" w:type="dxa"/>
              <w:bottom w:w="70" w:type="dxa"/>
              <w:right w:w="70" w:type="dxa"/>
            </w:tcMar>
          </w:tcPr>
          <w:p>
            <w:pPr>
              <w:spacing w:after="20" w:line="240" w:lineRule="auto"/>
            </w:pPr>
            <w:r>
              <w:rPr>
                <w:b/>
                <w:sz w:val="20"/>
              </w:rPr>
              <w:t>Querungsstellen</w:t>
            </w:r>
          </w:p>
        </w:tc>
      </w:tr>
      <w:tr>
        <w:trPr>
          <w:cantSplit/>
        </w:trPr>
        <w:tc>
          <w:tcPr>
            <w:tcW w:type="dxa" w:w="7488"/>
            <w:vAlign w:val="center"/>
            <w:shd w:fill="FFFFFF"/>
            <w:tcMar>
              <w:top w:w="70" w:type="dxa"/>
              <w:left w:w="70" w:type="dxa"/>
              <w:bottom w:w="70" w:type="dxa"/>
              <w:right w:w="70" w:type="dxa"/>
            </w:tcMar>
          </w:tcPr>
          <w:p>
            <w:pPr>
              <w:spacing w:after="20" w:line="240" w:lineRule="auto"/>
            </w:pPr>
            <w:r>
              <w:rPr>
                <w:b w:val="0"/>
                <w:sz w:val="20"/>
              </w:rPr>
              <w:t>Good support</w:t>
            </w:r>
          </w:p>
        </w:tc>
        <w:tc>
          <w:tcPr>
            <w:tcW w:type="dxa" w:w="2506"/>
            <w:vAlign w:val="center"/>
            <w:shd w:fill="FFFFFF"/>
            <w:tcMar>
              <w:top w:w="70" w:type="dxa"/>
              <w:left w:w="70" w:type="dxa"/>
              <w:bottom w:w="70" w:type="dxa"/>
              <w:right w:w="70" w:type="dxa"/>
            </w:tcMar>
          </w:tcPr>
          <w:p>
            <w:pPr>
              <w:spacing w:after="20" w:line="240" w:lineRule="auto"/>
            </w:pPr>
            <w:r>
              <w:rPr>
                <w:b w:val="0"/>
                <w:sz w:val="20"/>
              </w:rPr>
              <w:t>702</w:t>
            </w:r>
          </w:p>
        </w:tc>
      </w:tr>
      <w:tr>
        <w:trPr>
          <w:cantSplit/>
        </w:trPr>
        <w:tc>
          <w:tcPr>
            <w:tcW w:type="dxa" w:w="7488"/>
            <w:vAlign w:val="center"/>
            <w:shd w:fill="F5F7F9"/>
            <w:tcMar>
              <w:top w:w="70" w:type="dxa"/>
              <w:left w:w="70" w:type="dxa"/>
              <w:bottom w:w="70" w:type="dxa"/>
              <w:right w:w="70" w:type="dxa"/>
            </w:tcMar>
          </w:tcPr>
          <w:p>
            <w:pPr>
              <w:spacing w:after="20" w:line="240" w:lineRule="auto"/>
            </w:pPr>
            <w:r>
              <w:rPr>
                <w:b w:val="0"/>
                <w:sz w:val="20"/>
              </w:rPr>
              <w:t>Partial support</w:t>
            </w:r>
          </w:p>
        </w:tc>
        <w:tc>
          <w:tcPr>
            <w:tcW w:type="dxa" w:w="2506"/>
            <w:vAlign w:val="center"/>
            <w:shd w:fill="F5F7F9"/>
            <w:tcMar>
              <w:top w:w="70" w:type="dxa"/>
              <w:left w:w="70" w:type="dxa"/>
              <w:bottom w:w="70" w:type="dxa"/>
              <w:right w:w="70" w:type="dxa"/>
            </w:tcMar>
          </w:tcPr>
          <w:p>
            <w:pPr>
              <w:spacing w:after="20" w:line="240" w:lineRule="auto"/>
            </w:pPr>
            <w:r>
              <w:rPr>
                <w:b w:val="0"/>
                <w:sz w:val="20"/>
              </w:rPr>
              <w:t>1.216</w:t>
            </w:r>
          </w:p>
        </w:tc>
      </w:tr>
      <w:tr>
        <w:trPr>
          <w:cantSplit/>
        </w:trPr>
        <w:tc>
          <w:tcPr>
            <w:tcW w:type="dxa" w:w="7488"/>
            <w:vAlign w:val="center"/>
            <w:shd w:fill="FFFFFF"/>
            <w:tcMar>
              <w:top w:w="70" w:type="dxa"/>
              <w:left w:w="70" w:type="dxa"/>
              <w:bottom w:w="70" w:type="dxa"/>
              <w:right w:w="70" w:type="dxa"/>
            </w:tcMar>
          </w:tcPr>
          <w:p>
            <w:pPr>
              <w:spacing w:after="20" w:line="240" w:lineRule="auto"/>
            </w:pPr>
            <w:r>
              <w:rPr>
                <w:b w:val="0"/>
                <w:sz w:val="20"/>
              </w:rPr>
              <w:t>No documented support</w:t>
            </w:r>
          </w:p>
        </w:tc>
        <w:tc>
          <w:tcPr>
            <w:tcW w:type="dxa" w:w="2506"/>
            <w:vAlign w:val="center"/>
            <w:shd w:fill="FFFFFF"/>
            <w:tcMar>
              <w:top w:w="70" w:type="dxa"/>
              <w:left w:w="70" w:type="dxa"/>
              <w:bottom w:w="70" w:type="dxa"/>
              <w:right w:w="70" w:type="dxa"/>
            </w:tcMar>
          </w:tcPr>
          <w:p>
            <w:pPr>
              <w:spacing w:after="20" w:line="240" w:lineRule="auto"/>
            </w:pPr>
            <w:r>
              <w:rPr>
                <w:b w:val="0"/>
                <w:sz w:val="20"/>
              </w:rPr>
              <w:t>251</w:t>
            </w:r>
          </w:p>
        </w:tc>
      </w:tr>
      <w:tr>
        <w:trPr>
          <w:cantSplit/>
        </w:trPr>
        <w:tc>
          <w:tcPr>
            <w:tcW w:type="dxa" w:w="7488"/>
            <w:vAlign w:val="center"/>
            <w:shd w:fill="F5F7F9"/>
            <w:tcMar>
              <w:top w:w="70" w:type="dxa"/>
              <w:left w:w="70" w:type="dxa"/>
              <w:bottom w:w="70" w:type="dxa"/>
              <w:right w:w="70" w:type="dxa"/>
            </w:tcMar>
          </w:tcPr>
          <w:p>
            <w:pPr>
              <w:spacing w:after="20" w:line="240" w:lineRule="auto"/>
            </w:pPr>
            <w:r>
              <w:rPr>
                <w:b w:val="0"/>
                <w:sz w:val="20"/>
              </w:rPr>
              <w:t>Unknown / incomplete</w:t>
            </w:r>
          </w:p>
        </w:tc>
        <w:tc>
          <w:tcPr>
            <w:tcW w:type="dxa" w:w="2506"/>
            <w:vAlign w:val="center"/>
            <w:shd w:fill="F5F7F9"/>
            <w:tcMar>
              <w:top w:w="70" w:type="dxa"/>
              <w:left w:w="70" w:type="dxa"/>
              <w:bottom w:w="70" w:type="dxa"/>
              <w:right w:w="70" w:type="dxa"/>
            </w:tcMar>
          </w:tcPr>
          <w:p>
            <w:pPr>
              <w:spacing w:after="20" w:line="240" w:lineRule="auto"/>
            </w:pPr>
            <w:r>
              <w:rPr>
                <w:b w:val="0"/>
                <w:sz w:val="20"/>
              </w:rPr>
              <w:t>2.092</w:t>
            </w:r>
          </w:p>
        </w:tc>
      </w:tr>
    </w:tbl>
    <w:p>
      <w:pPr>
        <w:spacing w:after="20"/>
      </w:pPr>
    </w:p>
    <w:p>
      <w:r>
        <w:t>Diese Einteilung beschreibt die Attributlage und ersetzt keine Prüfung nach einer Barrierefreiheitsnorm. Bei Aufzügen, Rampen, Treppen und Rolltreppen werden BFRK-Daten der NVBW und teilweise OSM verwendet. Bänke, Unterstände, Bordsteine sowie Barrieren ergänzen die räumliche Orientierung. Betriebszustand, Öffnungszeiten und Nutzbarkeit sind jeweils gesondert zu prüfen. [2, 3, 6]</w:t>
      </w:r>
    </w:p>
    <w:p>
      <w:r>
        <w:br w:type="page"/>
      </w:r>
    </w:p>
    <w:p>
      <w:pPr>
        <w:pStyle w:val="Heading1"/>
      </w:pPr>
      <w:r>
        <w:t>8 Datenqualität und Grenzen</w:t>
      </w:r>
    </w:p>
    <w:p>
      <w:pPr>
        <w:pStyle w:val="Heading2"/>
      </w:pPr>
      <w:r>
        <w:t>Bearbeitung und Prüfung</w:t>
      </w:r>
    </w:p>
    <w:p>
      <w:r>
        <w:t>Der Bestand wurde im Projektverlauf schrittweise ergänzt und bereinigt. Dazu gehören die Zusammenführung von Treppensegmenten, die Prüfung auffälliger Gebäudeabschnitte und die kontextbezogene Bewertung von privaten oder nicht nutzbaren Verbindungen. Originalattribute und Darstellungsanpassungen wurden teilweise getrennt geführt, etwa durch fclass und fclass_display; correction_note dokumentiert bestimmte Eingriffe. Daraus ergibt sich jedoch kein lückenloses Änderungsprotokoll für jedes einzelne Objekt. [2]</w:t>
      </w:r>
    </w:p>
    <w:p>
      <w:r>
        <w:t>Feldbegehungen im August 2026 ergänzten die Plausibilitätskontrolle in ausgewählten Bereichen von Bad Cannstatt, Feuerbach und Stuttgart-Mitte. Die Begehungen sind keine flächendeckende Vermessung des gesamten Netzes. Ohne ein vollständig ausgewertetes Stichprobenprotokoll wird hier keine globale Genauigkeit, Fehlerquote oder statistische Repräsentativität angegeben.</w:t>
      </w:r>
    </w:p>
    <w:p>
      <w:pPr>
        <w:pStyle w:val="Heading2"/>
      </w:pPr>
      <w:r>
        <w:t>Aktuell festgestellte Einschränkungen</w:t>
      </w:r>
    </w:p>
    <w:p>
      <w:r>
        <w:t>Die Datenbank besteht die technische SQLite-Integritätsprüfung. Sie enthält 21 Fachebenen und für jede genau einen eingebetteten Standardstil. Diese technischen Befunde bestätigen die Lesbarkeit und Stilablage, nicht die inhaltliche Richtigkeit sämtlicher Attribute. Das Paket enthält weiterhin auffällige Steigungswerte und Straßenklassen, die nicht unmittelbar als Fußverbindungen interpretiert werden dürfen. Vor Routing oder belastbaren Gesamtstatistiken ist eine zusätzliche fachliche Auswahl erforderlich. [1]</w:t>
      </w:r>
    </w:p>
    <w:p>
      <w:r>
        <w:t>Die Oberflächenklasse unknown betrifft 42,5 Prozent des Hauptnetzes. Waldzuordnungen und andere fehlende Werte begrenzen die räumliche Abdeckung der Schatten- und UTCI-Auswertung. Bei Vergleichen müssen deshalb die Anzahl der auswertbaren Segmente und der Umgang mit fehlenden Werten genannt werden. Ein Wechsel der Segmentierung verändert außerdem die Aussage eines ungewichteten Segmentmittelwerts.</w:t>
      </w:r>
    </w:p>
    <w:p>
      <w:r>
        <w:t>Die Summe des gespeicherten Feldes length_m beträgt rund 4.831,8 Kilometer. Sie beschreibt die Länge der enthaltenen Linienobjekte und ist nicht als amtliche Gesamtlänge der öffentlichen Stuttgarter Gehwege zu verwenden. Die Eingangsdaten sind zeitlich heterogen; neue Baustellen, Änderungen der Vegetation oder veränderte Zugangsbeschränkungen werden ohne Aktualisierung nicht berücksichtigt.</w:t>
      </w:r>
    </w:p>
    <w:p>
      <w:pPr>
        <w:pStyle w:val="Heading2"/>
      </w:pPr>
      <w:r>
        <w:t>Folgerung für Entscheidungen</w:t>
      </w:r>
    </w:p>
    <w:p>
      <w:r>
        <w:t>Der Atlas unterstützt die Auswahl von Prüfbereichen und den Vergleich dokumentierter Eigenschaften. Für bauliche Maßnahmen, die Freigabe einer barrierefreien Route oder eine personenbezogene Belastungsbewertung müssen die relevanten Merkmale vor Ort und mit geeigneten Fachverfahren bestätigt werden. Die aufgeführten Einschränkungen gehören zur Interpretation der Ergebnisse und dürfen bei einer Weitergabe nicht von den Daten getrennt werden.</w:t>
      </w:r>
    </w:p>
    <w:p>
      <w:r>
        <w:br w:type="page"/>
      </w:r>
    </w:p>
    <w:p>
      <w:pPr>
        <w:pStyle w:val="Heading1"/>
      </w:pPr>
      <w:r>
        <w:t>9 Paketübergabe und Aktualisierung</w:t>
      </w:r>
    </w:p>
    <w:p>
      <w:pPr>
        <w:pStyle w:val="Heading2"/>
      </w:pPr>
      <w:r>
        <w:t>Umfang der vorliegenden Lieferung</w:t>
      </w:r>
    </w:p>
    <w:p>
      <w:r>
        <w:t>Die 21 Fachebenen sind lokal im GeoPackage enthalten. Das gespeicherte QGIS-Projekt verweist zusätzlich auf die Online-Hintergrundkarte OSM Standard. Diese Hintergrundkarte benötigt eine Netzwerkverbindung und unterliegt den Bedingungen ihres Dienstes. Sie ist kein Bestandteil der lokalen Geodatenbank. Ein Terrain-Raster ist im untersuchten ZIP nicht enthalten. [1]</w:t>
      </w:r>
    </w:p>
    <w:p>
      <w:r>
        <w:t>Das ursprüngliche Paketmanifest enthielt eine abweichende QGZ-Prüfsumme. Für diese Repository-Fassung gelten das neu erzeugte MANIFEST_SHA256.txt im Hauptordner und der Datenbankhash in data/manifest.json. Das veraltete Rohmanifest und fehlerhaft wiederholte Bauprotokolle sind ausgeschlossen. Aktuelle Prüfungen sowie offene methodische und Datenschutzfragen stehen in Documentation/PUBLICATION_REVIEW.md.</w:t>
      </w:r>
    </w:p>
    <w:p>
      <w:pPr>
        <w:pStyle w:val="Heading2"/>
      </w:pPr>
      <w:r>
        <w:t>Fortschreibung des Datenbestands</w:t>
      </w:r>
    </w:p>
    <w:p>
      <w:r>
        <w:t>Eine Aktualisierung beginnt mit der Festlegung der neuen Quellstände. Änderungen an Netzgeometrien können Steigung, Schatten, räumliche Zuordnungen und Kennungen beeinflussen. Neue Geometrien dürfen deshalb nicht lediglich mit alten Ergebnissen verbunden werden. Nach jeder Aktualisierung müssen Hauptnetz und Themenebenen auf konsistente Objektzuordnung geprüft werden.</w:t>
      </w:r>
    </w:p>
    <w:p>
      <w:r>
        <w:t>Für eine neue Ausgabe sollten Datenstand, eingesetzte Software, verwendete Eingangsdaten und fachliche Änderungen festgehalten werden. Klassenwerte und Darstellungsregeln sind gemeinsam zu kontrollieren. Alle externen Stile, eingebetteten Stile und Symbolpfade müssen zur neuen Ausgabe passen. Erst nach dieser Prüfung wird ein neues Prüfsummenverzeichnis erzeugt.</w:t>
      </w:r>
    </w:p>
    <w:p>
      <w:pPr>
        <w:pStyle w:val="Heading2"/>
      </w:pPr>
      <w:r>
        <w:t>Weiterentwicklung</w:t>
      </w:r>
    </w:p>
    <w:p>
      <w:r>
        <w:t>Mögliche Erweiterungen sind eine feinere Gehwegmodellierung, zusätzliche Feldprüfungen, differenziertere Vegetationsdaten und ein Routenmodell mit überprüften Zugangsvorschriften. Wetterabhängige Berechnungen oder eine interaktive dreidimensionale Schattenansicht wären eigenständige Erweiterungen. Sie sind in den hier beschriebenen statischen Szenarien nicht bereits enthalten.</w:t>
      </w:r>
    </w:p>
    <w:p>
      <w:r>
        <w:t>Die Hauptdokumentation erläutert den Gebrauch des Bestands. Eine technische Reproduktion benötigt darüber hinaus die exakten Eingangsdateien, Verarbeitungsversionen und Parameter. Die bloße Weitergabe von QGZ und GPKG reproduziert die Darstellung, aber nicht automatisch sämtliche vorangegangenen Modellberechnungen.</w:t>
      </w:r>
    </w:p>
    <w:p>
      <w:r>
        <w:br w:type="page"/>
      </w:r>
    </w:p>
    <w:p>
      <w:pPr>
        <w:pStyle w:val="Heading1"/>
      </w:pPr>
      <w:r>
        <w:t>10 Datenquellen und Nutzungsrechte</w:t>
      </w:r>
    </w:p>
    <w:p>
      <w:r>
        <w:t>Datenherkunft und Nutzungsrechte werden getrennt von der fachlichen Eignung betrachtet. Eine frei erreichbare Datei ist nicht allein deshalb ohne Bedingungen weiterverwendbar. Für jede Weitergabe sind die Rechte der verwendeten Daten und der grafischen Symbole gesondert zu berücksichtigen.</w:t>
      </w:r>
    </w:p>
    <w:p>
      <w:pPr>
        <w:pStyle w:val="Heading2"/>
      </w:pPr>
      <w:r>
        <w:t>OpenStreetMap und Geofabrik</w:t>
      </w:r>
    </w:p>
    <w:p>
      <w:r>
        <w:t>Straßen, Wege, Gebäude, Bäume und zahlreiche Infrastrukturpunkte beruhen auf OpenStreetMap. Geofabrik stellte den regionalen Straßenexport bereit; spätere OSM-Anreicherungen ergänzten weitere Attribute. Die OSM-Daten stehen unter der Open Database License. Bei einer Weiterverwendung sind Quellenhinweis und die einschlägigen Lizenzbedingungen zu beachten. Die genaue Einordnung einer kombinierten Datenbank hängt von ihrer Aufbereitung und Nutzung ab. [3]</w:t>
      </w:r>
    </w:p>
    <w:p>
      <w:pPr>
        <w:pStyle w:val="Heading2"/>
      </w:pPr>
      <w:r>
        <w:t>Höhendaten des LGL</w:t>
      </w:r>
    </w:p>
    <w:p>
      <w:r>
        <w:t>DGM1 und nDOM1 stammen vom LGL Baden-Württemberg. Der bereitgestellte Lizenztext nennt die Datenlizenz Deutschland – Namensnennung – Version 2.0 (dl-de/by-2-0). Vorgeschriebener Quellenvermerk: Datenquelle: LGL, www.lgl-bw.de, dl-de/by-2-0. Datensatzverweise und der Hinweis auf die Bearbeitung im Atlas sind beizubehalten. Das Repository enthält Kachelbegleitlisten und Lizenznachweise, nicht die vollständigen Geländeraster. [4, 5]</w:t>
      </w:r>
    </w:p>
    <w:p>
      <w:pPr>
        <w:pStyle w:val="Heading2"/>
      </w:pPr>
      <w:r>
        <w:t>NVBW und BFRK</w:t>
      </w:r>
    </w:p>
    <w:p>
      <w:r>
        <w:t>Die Angaben zur Bahnhofsinfrastruktur stammen aus dem BFRK-Bestand auf MobiData BW. Das offizielle Datenprofil nennt die Datenlizenz Deutschland – Namensnennung – Version 2.0. Die gelieferten CSV-Exporte enthalten Erfassungsdaten einzelner Anlagen. Der Atlas wählt Stuttgarter Objekte aus und passt Geometrien, Attribute und Darstellung an. Quellenvermerk und Datensatzlink stehen in SOURCES_AND_RIGHTS.md; ein Erfassungsdatum ist nicht das Download-Datum des Exports. [6]</w:t>
      </w:r>
    </w:p>
    <w:p>
      <w:pPr>
        <w:pStyle w:val="Heading2"/>
      </w:pPr>
      <w:r>
        <w:t>Stadt Stuttgart und weitere räumliche Grundlagen</w:t>
      </w:r>
    </w:p>
    <w:p>
      <w:r>
        <w:t>Die Lärmisoflächen werden dem Amt für Umweltschutz der Stadt Stuttgart und dessen INSPIRE-Dienst zugeordnet. Der offizielle Katalog Lärmkartierung Stuttgart nennt CC BY 4.0. Der Atlas ordnet Flächen den Segmenten zu und berechnet eine logarithmische Quellenkombination; diese Bearbeitung ist im Quellenvermerk gekennzeichnet. Ursprüngliche Ressource und Indikator sind noch dem historischen Download zuzuordnen; aktuelle Portalmetadaten allein beweisen diese Identität nicht. [2, 7]</w:t>
      </w:r>
    </w:p>
    <w:p>
      <w:r>
        <w:t>Das bereitgestellte Windraster bestätigt ein Zweibandgitter mit 1.000 Metern Auflösung in EPSG:25832, enthält aber keinen Herausgeber oder Lizenztext. Der genaue Katalogeintrag bleibt offen; aus dem historischen Bezug über das Landesportal wird keine Lizenz abgeleitet. Die Rohdatei wird bis zur Quellenzuordnung nicht weiterverteilt. Die Gemeindegrenze trägt BKG-Kennungen und Metadaten vom 31. Dezember 2024; Produktnachweis und dl-de/by-2-0-Quellenvermerk stehen in SOURCES_AND_RIGHTS.md. [2, 8]</w:t>
      </w:r>
    </w:p>
    <w:p>
      <w:r>
        <w:br w:type="page"/>
      </w:r>
    </w:p>
    <w:p>
      <w:pPr>
        <w:pStyle w:val="Heading1"/>
      </w:pPr>
      <w:r>
        <w:t>11 Quellenverzeichnis und Symbolnachweise</w:t>
      </w:r>
    </w:p>
    <w:p>
      <w:r>
        <w:t>Die nummerierten Nachweise beziehen sich auf die Verwendung in dieser Hauptdokumentation. Portaladressen dienen teilweise als Bezugs- und Kontaktstellen; sie ersetzen keine archivierten Metadaten der tatsächlich verarbeiteten Datei.</w:t>
      </w:r>
    </w:p>
    <w:p>
      <w:r>
        <w:t>[1] Bakhshi, Mohammadreza: Fußgängeratlas Stuttgart. Datenpaket vom 15.09.2026. GeoPackage, QGIS-Projekt, QML-Stile, SVGs und Dateien im Ordner Documentation. Kennzahlen dieser Dokumentation wurden aus dem gelieferten GeoPackage bestimmt.</w:t>
      </w:r>
    </w:p>
    <w:p>
      <w:r>
        <w:t>[2] Bakhshi, Mohammadreza: Projekt- und Verarbeitungsaufzeichnungen zum Fußgängeratlas Stuttgart. Technische Dokumentationen und Sitzungsprotokolle Juni bis September 2026, insbesondere 16., 22., 23., 29. und 30.07. sowie die Übergaben bis 15.09.2026. Historische Zahlen gelten nur für den jeweils bezeichneten Bearbeitungsstand.</w:t>
      </w:r>
    </w:p>
    <w:p>
      <w:pPr>
        <w:spacing w:after="120"/>
      </w:pPr>
      <w:hyperlink r:id="rId10">
        <w:r>
          <w:rPr>
            <w:color w:val="174A73"/>
          </w:rPr>
          <w:t>[3] OpenStreetMap-Mitwirkende: Urheberrecht und ODbL</w:t>
        </w:r>
      </w:hyperlink>
    </w:p>
    <w:p>
      <w:pPr>
        <w:spacing w:after="120"/>
      </w:pPr>
      <w:hyperlink r:id="rId11">
        <w:r>
          <w:rPr>
            <w:color w:val="174A73"/>
          </w:rPr>
          <w:t>Geofabrik GmbH: Downloadgebiet Baden-Württemberg</w:t>
        </w:r>
      </w:hyperlink>
    </w:p>
    <w:p>
      <w:pPr>
        <w:spacing w:after="120"/>
      </w:pPr>
      <w:hyperlink r:id="rId12">
        <w:r>
          <w:rPr>
            <w:color w:val="174A73"/>
          </w:rPr>
          <w:t>[4] LGL Baden-Württemberg: Digitale Geländemodelle</w:t>
        </w:r>
      </w:hyperlink>
    </w:p>
    <w:p>
      <w:pPr>
        <w:spacing w:after="120"/>
      </w:pPr>
      <w:hyperlink r:id="rId13">
        <w:r>
          <w:rPr>
            <w:color w:val="174A73"/>
          </w:rPr>
          <w:t>[5] LGL Baden-Württemberg: Normalisiertes Oberflächenmodell</w:t>
        </w:r>
      </w:hyperlink>
    </w:p>
    <w:p>
      <w:pPr>
        <w:spacing w:after="120"/>
      </w:pPr>
      <w:hyperlink r:id="rId14">
        <w:r>
          <w:rPr>
            <w:color w:val="174A73"/>
          </w:rPr>
          <w:t>[6] NVBW / MobiData BW: Barrierefreiheit an Bahnhöfen und Haltepunkten</w:t>
        </w:r>
      </w:hyperlink>
    </w:p>
    <w:p>
      <w:pPr>
        <w:spacing w:after="120"/>
      </w:pPr>
      <w:hyperlink r:id="rId15">
        <w:r>
          <w:rPr>
            <w:color w:val="174A73"/>
          </w:rPr>
          <w:t>[7] Landeshauptstadt Stuttgart: Lärmkarten</w:t>
        </w:r>
      </w:hyperlink>
    </w:p>
    <w:p>
      <w:pPr>
        <w:spacing w:after="120"/>
      </w:pPr>
      <w:hyperlink r:id="rId16">
        <w:r>
          <w:rPr>
            <w:color w:val="174A73"/>
          </w:rPr>
          <w:t>Landeshauptstadt Stuttgart: Ergebnisse der Lärmkartierung Stuttgart 2022</w:t>
        </w:r>
      </w:hyperlink>
    </w:p>
    <w:p>
      <w:r>
        <w:t>Der Ergebnisbericht erläutert die amtliche Methodik. Seine Nennung bestätigt nicht, dass alle importierten Isolinien genau diesem Berechnungsstand entstammen.</w:t>
      </w:r>
    </w:p>
    <w:p>
      <w:pPr>
        <w:spacing w:after="120"/>
      </w:pPr>
      <w:hyperlink r:id="rId17">
        <w:r>
          <w:rPr>
            <w:color w:val="174A73"/>
          </w:rPr>
          <w:t>[8] Landesdatenportal Baden-Württemberg: Bezugsportal des Windrasters</w:t>
        </w:r>
      </w:hyperlink>
    </w:p>
    <w:p>
      <w:pPr>
        <w:spacing w:after="120"/>
      </w:pPr>
      <w:hyperlink r:id="rId18">
        <w:r>
          <w:rPr>
            <w:color w:val="174A73"/>
          </w:rPr>
          <w:t>[9] Bröde et al. (2012): Deriving the operational procedure for the Universal Thermal Climate Index (UTCI). International Journal of Biometeorology 56, 481–494. DOI 10.1007/s00484-011-0454-1</w:t>
        </w:r>
      </w:hyperlink>
    </w:p>
    <w:p>
      <w:pPr>
        <w:spacing w:after="120"/>
      </w:pPr>
      <w:hyperlink r:id="rId19">
        <w:r>
          <w:rPr>
            <w:color w:val="174A73"/>
          </w:rPr>
          <w:t>[10] Center for the Built Environment und Mitwirkende: pythermalcomfort</w:t>
        </w:r>
      </w:hyperlink>
    </w:p>
    <w:p>
      <w:r>
        <w:br w:type="page"/>
      </w:r>
    </w:p>
    <w:p>
      <w:pPr>
        <w:pStyle w:val="Heading1"/>
      </w:pPr>
      <w:r>
        <w:t>Symbolrechte und weitere methodische Bezüge</w:t>
      </w:r>
    </w:p>
    <w:p>
      <w:pPr>
        <w:spacing w:after="120"/>
      </w:pPr>
      <w:hyperlink r:id="rId20">
        <w:r>
          <w:rPr>
            <w:color w:val="174A73"/>
          </w:rPr>
          <w:t>[11] Wolf, Szell und Vierø (2024): CoolWalks. Datensatz zum schattenbezogenen Routing. Zenodo, DOI 10.5281/zenodo.11103149</w:t>
        </w:r>
      </w:hyperlink>
    </w:p>
    <w:p>
      <w:r>
        <w:t>CoolWalks ist im Projektverlauf als methodische Anregung für die Schattenbetrachtung genannt. Daraus folgt weder eine Übernahme seines Datensatzes für Stuttgart noch die Identität der verwendeten Algorithmen.</w:t>
      </w:r>
    </w:p>
    <w:p>
      <w:pPr>
        <w:spacing w:after="120"/>
      </w:pPr>
      <w:hyperlink r:id="rId21">
        <w:r>
          <w:rPr>
            <w:color w:val="174A73"/>
          </w:rPr>
          <w:t>[12] QGIS-Projekt: QGIS und Lizenzinformationen</w:t>
        </w:r>
      </w:hyperlink>
    </w:p>
    <w:p>
      <w:r>
        <w:t>Weitere im Verarbeitungsverlauf eingesetzte Werkzeuge sind GDAL/OGR, GeoPandas, Shapely, NumPy, pandas und Python mit SQLite. Die projektspezifischen Berechnungsschritte sind von den Funktionen dieser Werkzeuge zu unterscheiden. Eine Softwarelizenz legt nicht automatisch die Lizenz der erzeugten Geodaten fest.</w:t>
      </w:r>
    </w:p>
    <w:p>
      <w:pPr>
        <w:pStyle w:val="Heading2"/>
      </w:pPr>
      <w:r>
        <w:t>Grafische Symbole</w:t>
      </w:r>
    </w:p>
    <w:p>
      <w:r>
        <w:t>Für die öffentliche Repository-Fassung vom 27. Oktober 2026 wurden alle elf SVG-Symbole durch neu gezeichnete geometrische Formen ersetzt. Dateinamen und QGIS-Verknüpfungen bleiben erhalten. Die Ersatzsymbole werden unter CC0 1.0 bereitgestellt; dieser Hinweis gilt ausschließlich für die neuen SVG-Dateien. Die früheren Arbeitssymbole sind im öffentlichen Ausgangsstand nicht enthalten.</w:t>
      </w:r>
    </w:p>
    <w:p>
      <w:r>
        <w:t>Der Ersatz vermeidet Unsicherheiten bei den während der Entwicklung heruntergeladenen Grafiken, darunter eine Beschränkung der Originaldatei-Weitergabe bei Icons8. Die früheren Bordsteinsymbole wurden Jeroen Hoeks JOSM-Stil zugeordnet; ihre Pfade werden in den Ersatzgrafiken nicht verwendet. Die Herkunftsprüfung steht in Styling/SVG/README.md.</w:t>
      </w:r>
    </w:p>
    <w:p>
      <w:pPr>
        <w:spacing w:after="120"/>
      </w:pPr>
      <w:hyperlink r:id="rId22">
        <w:r>
          <w:rPr>
            <w:color w:val="174A73"/>
          </w:rPr>
          <w:t>Icons8: Anbieter für den dokumentierten Herkunftshinweis</w:t>
        </w:r>
      </w:hyperlink>
    </w:p>
    <w:p>
      <w:pPr>
        <w:pStyle w:val="Heading2"/>
      </w:pPr>
      <w:r>
        <w:t>Historische Literaturangaben</w:t>
      </w:r>
    </w:p>
    <w:p>
      <w:r>
        <w:t>Frühere Projektunterlagen nennen zusätzlich SOLWEIG von Lindberg et al. (2008), Arbeiten von Thorsson et al. (2007), Lafortezza et al. (2009) und Pauleit et al. (2005), ferner Hyyppä et al. (2001) sowie Popescu und Wynne (2004). Diese Angaben betreffen Strahlung und Vegetationsmodellierung. Die Zuordnung zu konkreten Parametern und vollständigen bibliografischen Fundstellen ist noch zu verifizieren; sie werden hier nicht als Beweis für die Projektkoeffizienten verwendet.</w:t>
      </w:r>
    </w:p>
    <w:p>
      <w:r>
        <w:t>Ebenso sind die früheren Verweise auf DWD und climate-data.org für klimatische Referenzwerte sowie auf DIN 18040, DIN 18065, DIN ISO 9613-2 und WHO-Lärmempfehlungen nicht als pauschaler Nachweis einer normgerechten Modellierung zu lesen. Die Hauptdokumentation verwendet keine daraus unbelegt abgeleiteten Grenzwert- oder Perzentilzusagen.</w:t>
      </w:r>
    </w:p>
    <w:p>
      <w:r>
        <w:t>Quellenvermerke und Nutzungsbedingungen stehen in SOURCES_AND_RIGHTS.md. Die offene Quellenzuordnung des Windrasters und noch fehlende Angaben zu historischen Eingangsständen sind ausdrücklich benannt. Das öffentliche Repository ist ein Forschungsstand. Institutionelle Zuordnung und endgültige Archivmetadaten werden vor einer späteren Zenodo-Ablage besprochen. Ein DOI oder eine institutionelle Befürwortung werden nicht behauptet.</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Fußgängeratlas Stuttgart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penstreetmap.org/copyright" TargetMode="External"/><Relationship Id="rId11" Type="http://schemas.openxmlformats.org/officeDocument/2006/relationships/hyperlink" Target="https://download.geofabrik.de/europe/germany/baden-wuerttemberg.html" TargetMode="External"/><Relationship Id="rId12" Type="http://schemas.openxmlformats.org/officeDocument/2006/relationships/hyperlink" Target="https://www.lgl-bw.de/Produkte/3D-Produkte/Digitale-Gelaendemodelle/index.html" TargetMode="External"/><Relationship Id="rId13" Type="http://schemas.openxmlformats.org/officeDocument/2006/relationships/hyperlink" Target="https://www.lgl-bw.de/Produkte/3D-Produkte/Digitale-Oberflaechenmodelle/nDOM/index.html" TargetMode="External"/><Relationship Id="rId14" Type="http://schemas.openxmlformats.org/officeDocument/2006/relationships/hyperlink" Target="https://mobidata-bw.de/dataset/bfrk-barrierefreiheit-an-bw-bahnhoefen" TargetMode="External"/><Relationship Id="rId15" Type="http://schemas.openxmlformats.org/officeDocument/2006/relationships/hyperlink" Target="https://www.stuttgart.de/leben/umwelt/laerm/laermkarten" TargetMode="External"/><Relationship Id="rId16" Type="http://schemas.openxmlformats.org/officeDocument/2006/relationships/hyperlink" Target="https://www.stadtklima-stuttgart.de/stadtklima_filestorage/download/LMP/Ergebnisbericht-Laermkartierung-2022.pdf" TargetMode="External"/><Relationship Id="rId17" Type="http://schemas.openxmlformats.org/officeDocument/2006/relationships/hyperlink" Target="https://www.daten-bw.de/" TargetMode="External"/><Relationship Id="rId18" Type="http://schemas.openxmlformats.org/officeDocument/2006/relationships/hyperlink" Target="https://doi.org/10.1007/s00484-011-0454-1" TargetMode="External"/><Relationship Id="rId19" Type="http://schemas.openxmlformats.org/officeDocument/2006/relationships/hyperlink" Target="https://pythermalcomfort.readthedocs.io/" TargetMode="External"/><Relationship Id="rId20" Type="http://schemas.openxmlformats.org/officeDocument/2006/relationships/hyperlink" Target="https://zenodo.org/records/11103149" TargetMode="External"/><Relationship Id="rId21" Type="http://schemas.openxmlformats.org/officeDocument/2006/relationships/hyperlink" Target="https://www.qgis.org/license/" TargetMode="External"/><Relationship Id="rId22" Type="http://schemas.openxmlformats.org/officeDocument/2006/relationships/hyperlink" Target="https://icons8.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dc:title>Fußgängeratlas Stuttgart Hauptdokumentation</dc:title>
  <dc:subject>Datengrundlagen, Methoden, Anwendung und Grenzen</dc:subject>
  <dc:creator>Mohammadreza Bakhshi</dc:creator>
  <ns0:keywords>Fußverkehr, Stuttgart, QGIS, Gehkomfort, Dokumentation</ns0:keywords>
  <ns0:revision>1</ns0:revision>
  <ns0:category/>
</ns0:coreProperties>
</file>