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Stuttgart Pedestrian Atlas</w:t>
      </w:r>
    </w:p>
    <w:p>
      <w:pPr>
        <w:pStyle w:val="Subtitle"/>
      </w:pPr>
      <w:r>
        <w:t>Main Documentation</w:t>
      </w:r>
    </w:p>
    <w:p>
      <w:r>
        <w:t>Data sources, methods, use and limitations</w:t>
      </w:r>
    </w:p>
    <w:p>
      <w:r>
        <w:t>Mohammadreza Bakhshi</w:t>
        <w:br/>
        <w:t>Development in the MobiData BW context · HfWU</w:t>
        <w:br/>
        <w:t>Data package dated 15 September 2026 · English edition</w:t>
      </w:r>
    </w:p>
    <w:p>
      <w:pPr>
        <w:pStyle w:val="Heading2"/>
      </w:pPr>
      <w:r>
        <w:t>Purpose of the atlas</w:t>
      </w:r>
    </w:p>
    <w:p>
      <w:r>
        <w:t>The Stuttgart Pedestrian Atlas brings together information on streets and paths that is relevant to walking. It combines longitudinal slope with modelled shade, thermal stress, a relative wind index, surface information and noise data. It also shows infrastructure such as stairs, elevators, crossings and seating. These layers support comparisons of local conditions and help identify areas for closer investigation.</w:t>
      </w:r>
    </w:p>
    <w:p>
      <w:r>
        <w:t>The atlas is a GIS dataset with prepared map views. It does not include a complete routing service or a real-time forecast. Its values do not replace an on-site accessibility assessment or an engineering evaluation. In particular, a favourable slope class must not be equated with a fully accessible connection.</w:t>
      </w:r>
    </w:p>
    <w:p>
      <w:pPr>
        <w:pStyle w:val="Heading2"/>
      </w:pPr>
      <w:r>
        <w:t>The documented dataset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5674"/>
      </w:tblGrid>
      <w:tr>
        <w:trPr>
          <w:cantSplit/>
          <w:tblHeader/>
        </w:trPr>
        <w:tc>
          <w:tcPr>
            <w:tcW w:type="dxa" w:w="4320"/>
            <w:vAlign w:val="center"/>
            <w:shd w:fill="DCE6EF"/>
            <w:tcMar>
              <w:top w:w="70" w:type="dxa"/>
              <w:left w:w="70" w:type="dxa"/>
              <w:bottom w:w="70" w:type="dxa"/>
              <w:right w:w="70" w:type="dxa"/>
            </w:tcMar>
          </w:tcPr>
          <w:p>
            <w:pPr>
              <w:spacing w:after="20" w:line="240" w:lineRule="auto"/>
            </w:pPr>
            <w:r>
              <w:rPr>
                <w:b/>
                <w:sz w:val="20"/>
              </w:rPr>
              <w:t>Item</w:t>
            </w:r>
          </w:p>
        </w:tc>
        <w:tc>
          <w:tcPr>
            <w:tcW w:type="dxa" w:w="5674"/>
            <w:vAlign w:val="center"/>
            <w:shd w:fill="DCE6EF"/>
            <w:tcMar>
              <w:top w:w="70" w:type="dxa"/>
              <w:left w:w="70" w:type="dxa"/>
              <w:bottom w:w="70" w:type="dxa"/>
              <w:right w:w="70" w:type="dxa"/>
            </w:tcMar>
          </w:tcPr>
          <w:p>
            <w:pPr>
              <w:spacing w:after="20" w:line="240" w:lineRule="auto"/>
            </w:pPr>
            <w:r>
              <w:rPr>
                <w:b/>
                <w:sz w:val="20"/>
              </w:rPr>
              <w:t>Coverage</w:t>
            </w:r>
          </w:p>
        </w:tc>
      </w:tr>
      <w:tr>
        <w:trPr>
          <w:cantSplit/>
        </w:trPr>
        <w:tc>
          <w:tcPr>
            <w:tcW w:type="dxa" w:w="4320"/>
            <w:vAlign w:val="center"/>
            <w:shd w:fill="FFFFFF"/>
            <w:tcMar>
              <w:top w:w="70" w:type="dxa"/>
              <w:left w:w="70" w:type="dxa"/>
              <w:bottom w:w="70" w:type="dxa"/>
              <w:right w:w="70" w:type="dxa"/>
            </w:tcMar>
          </w:tcPr>
          <w:p>
            <w:pPr>
              <w:spacing w:after="20" w:line="240" w:lineRule="auto"/>
            </w:pPr>
            <w:r>
              <w:rPr>
                <w:b w:val="0"/>
                <w:sz w:val="20"/>
              </w:rPr>
              <w:t>Street and path segments</w:t>
            </w:r>
          </w:p>
        </w:tc>
        <w:tc>
          <w:tcPr>
            <w:tcW w:type="dxa" w:w="5674"/>
            <w:vAlign w:val="center"/>
            <w:shd w:fill="FFFFFF"/>
            <w:tcMar>
              <w:top w:w="70" w:type="dxa"/>
              <w:left w:w="70" w:type="dxa"/>
              <w:bottom w:w="70" w:type="dxa"/>
              <w:right w:w="70" w:type="dxa"/>
            </w:tcMar>
          </w:tcPr>
          <w:p>
            <w:pPr>
              <w:spacing w:after="20" w:line="240" w:lineRule="auto"/>
            </w:pPr>
            <w:r>
              <w:rPr>
                <w:b w:val="0"/>
                <w:sz w:val="20"/>
              </w:rPr>
              <w:t>69,769</w:t>
            </w:r>
          </w:p>
        </w:tc>
      </w:tr>
      <w:tr>
        <w:trPr>
          <w:cantSplit/>
        </w:trPr>
        <w:tc>
          <w:tcPr>
            <w:tcW w:type="dxa" w:w="4320"/>
            <w:vAlign w:val="center"/>
            <w:shd w:fill="F5F7F9"/>
            <w:tcMar>
              <w:top w:w="70" w:type="dxa"/>
              <w:left w:w="70" w:type="dxa"/>
              <w:bottom w:w="70" w:type="dxa"/>
              <w:right w:w="70" w:type="dxa"/>
            </w:tcMar>
          </w:tcPr>
          <w:p>
            <w:pPr>
              <w:spacing w:after="20" w:line="240" w:lineRule="auto"/>
            </w:pPr>
            <w:r>
              <w:rPr>
                <w:b w:val="0"/>
                <w:sz w:val="20"/>
              </w:rPr>
              <w:t>Feature layers in the GeoPackage</w:t>
            </w:r>
          </w:p>
        </w:tc>
        <w:tc>
          <w:tcPr>
            <w:tcW w:type="dxa" w:w="5674"/>
            <w:vAlign w:val="center"/>
            <w:shd w:fill="F5F7F9"/>
            <w:tcMar>
              <w:top w:w="70" w:type="dxa"/>
              <w:left w:w="70" w:type="dxa"/>
              <w:bottom w:w="70" w:type="dxa"/>
              <w:right w:w="70" w:type="dxa"/>
            </w:tcMar>
          </w:tcPr>
          <w:p>
            <w:pPr>
              <w:spacing w:after="20" w:line="240" w:lineRule="auto"/>
            </w:pPr>
            <w:r>
              <w:rPr>
                <w:b w:val="0"/>
                <w:sz w:val="20"/>
              </w:rPr>
              <w:t>21</w:t>
            </w:r>
          </w:p>
        </w:tc>
      </w:tr>
      <w:tr>
        <w:trPr>
          <w:cantSplit/>
        </w:trPr>
        <w:tc>
          <w:tcPr>
            <w:tcW w:type="dxa" w:w="4320"/>
            <w:vAlign w:val="center"/>
            <w:shd w:fill="FFFFFF"/>
            <w:tcMar>
              <w:top w:w="70" w:type="dxa"/>
              <w:left w:w="70" w:type="dxa"/>
              <w:bottom w:w="70" w:type="dxa"/>
              <w:right w:w="70" w:type="dxa"/>
            </w:tcMar>
          </w:tcPr>
          <w:p>
            <w:pPr>
              <w:spacing w:after="20" w:line="240" w:lineRule="auto"/>
            </w:pPr>
            <w:r>
              <w:rPr>
                <w:b w:val="0"/>
                <w:sz w:val="20"/>
              </w:rPr>
              <w:t>Buildings / individual trees</w:t>
            </w:r>
          </w:p>
        </w:tc>
        <w:tc>
          <w:tcPr>
            <w:tcW w:type="dxa" w:w="5674"/>
            <w:vAlign w:val="center"/>
            <w:shd w:fill="FFFFFF"/>
            <w:tcMar>
              <w:top w:w="70" w:type="dxa"/>
              <w:left w:w="70" w:type="dxa"/>
              <w:bottom w:w="70" w:type="dxa"/>
              <w:right w:w="70" w:type="dxa"/>
            </w:tcMar>
          </w:tcPr>
          <w:p>
            <w:pPr>
              <w:spacing w:after="20" w:line="240" w:lineRule="auto"/>
            </w:pPr>
            <w:r>
              <w:rPr>
                <w:b w:val="0"/>
                <w:sz w:val="20"/>
              </w:rPr>
              <w:t>105,521 / 23,486</w:t>
            </w:r>
          </w:p>
        </w:tc>
      </w:tr>
      <w:tr>
        <w:trPr>
          <w:cantSplit/>
        </w:trPr>
        <w:tc>
          <w:tcPr>
            <w:tcW w:type="dxa" w:w="4320"/>
            <w:vAlign w:val="center"/>
            <w:shd w:fill="F5F7F9"/>
            <w:tcMar>
              <w:top w:w="70" w:type="dxa"/>
              <w:left w:w="70" w:type="dxa"/>
              <w:bottom w:w="70" w:type="dxa"/>
              <w:right w:w="70" w:type="dxa"/>
            </w:tcMar>
          </w:tcPr>
          <w:p>
            <w:pPr>
              <w:spacing w:after="20" w:line="240" w:lineRule="auto"/>
            </w:pPr>
            <w:r>
              <w:rPr>
                <w:b w:val="0"/>
                <w:sz w:val="20"/>
              </w:rPr>
              <w:t>Map styles / symbol files</w:t>
            </w:r>
          </w:p>
        </w:tc>
        <w:tc>
          <w:tcPr>
            <w:tcW w:type="dxa" w:w="5674"/>
            <w:vAlign w:val="center"/>
            <w:shd w:fill="F5F7F9"/>
            <w:tcMar>
              <w:top w:w="70" w:type="dxa"/>
              <w:left w:w="70" w:type="dxa"/>
              <w:bottom w:w="70" w:type="dxa"/>
              <w:right w:w="70" w:type="dxa"/>
            </w:tcMar>
          </w:tcPr>
          <w:p>
            <w:pPr>
              <w:spacing w:after="20" w:line="240" w:lineRule="auto"/>
            </w:pPr>
            <w:r>
              <w:rPr>
                <w:b w:val="0"/>
                <w:sz w:val="20"/>
              </w:rPr>
              <w:t>21 QML / 11 SVG</w:t>
            </w:r>
          </w:p>
        </w:tc>
      </w:tr>
      <w:tr>
        <w:trPr>
          <w:cantSplit/>
        </w:trPr>
        <w:tc>
          <w:tcPr>
            <w:tcW w:type="dxa" w:w="4320"/>
            <w:vAlign w:val="center"/>
            <w:shd w:fill="FFFFFF"/>
            <w:tcMar>
              <w:top w:w="70" w:type="dxa"/>
              <w:left w:w="70" w:type="dxa"/>
              <w:bottom w:w="70" w:type="dxa"/>
              <w:right w:w="70" w:type="dxa"/>
            </w:tcMar>
          </w:tcPr>
          <w:p>
            <w:pPr>
              <w:spacing w:after="20" w:line="240" w:lineRule="auto"/>
            </w:pPr>
            <w:r>
              <w:rPr>
                <w:b w:val="0"/>
                <w:sz w:val="20"/>
              </w:rPr>
              <w:t>Spatial reference</w:t>
            </w:r>
          </w:p>
        </w:tc>
        <w:tc>
          <w:tcPr>
            <w:tcW w:type="dxa" w:w="5674"/>
            <w:vAlign w:val="center"/>
            <w:shd w:fill="FFFFFF"/>
            <w:tcMar>
              <w:top w:w="70" w:type="dxa"/>
              <w:left w:w="70" w:type="dxa"/>
              <w:bottom w:w="70" w:type="dxa"/>
              <w:right w:w="70" w:type="dxa"/>
            </w:tcMar>
          </w:tcPr>
          <w:p>
            <w:pPr>
              <w:spacing w:after="20" w:line="240" w:lineRule="auto"/>
            </w:pPr>
            <w:r>
              <w:rPr>
                <w:b w:val="0"/>
                <w:sz w:val="20"/>
              </w:rPr>
              <w:t>Stuttgart · ETRS89 / UTM zone 32N, EPSG:25832</w:t>
            </w:r>
          </w:p>
        </w:tc>
      </w:tr>
    </w:tbl>
    <w:p>
      <w:pPr>
        <w:spacing w:after="20"/>
      </w:pPr>
    </w:p>
    <w:p>
      <w:r>
        <w:t>These counts refer to the supplied GeoPackage. The additional basemap in the QGIS project is not included as a feature layer. The package date identifies the processing status of the atlas, not a common observation date for all input data. [1]</w:t>
      </w:r>
    </w:p>
    <w:p>
      <w:r>
        <w:br w:type="page"/>
      </w:r>
    </w:p>
    <w:p>
      <w:pPr>
        <w:pStyle w:val="Heading1"/>
      </w:pPr>
      <w:r>
        <w:t>1 Purpose and interpretation</w:t>
      </w:r>
    </w:p>
    <w:p>
      <w:r>
        <w:t>This main documentation is intended for public administration, planning, research and other interested readers. It explains what the maps can show, how the principal values are derived and where their limitations lie. Implementation details, the complete field dictionary and reproducible processing procedures belong in the separate technical documentation.</w:t>
      </w:r>
    </w:p>
    <w:p>
      <w:pPr>
        <w:pStyle w:val="Heading2"/>
      </w:pPr>
      <w:r>
        <w:t>Suitable uses</w:t>
      </w:r>
    </w:p>
    <w:p>
      <w:r>
        <w:t>For pedestrian planning, slope, surface information and existing infrastructure can be considered together. Segments with little modelled shade can be selected for an initial assessment of summer conditions. In research, the dataset can support spatial comparisons or the development of adapted routing models. Prioritising interventions also requires information on use, duration of exposure, local conditions and the population groups affected.</w:t>
      </w:r>
    </w:p>
    <w:p>
      <w:r>
        <w:t>The themes are deliberately provided separately. A single overall score would obscure differences in requirements. A shaded route may be welcome in summer but less favourable in winter. A short route may also be steep or include stairs. The atlas does not prescribe a universally applicable weighting of these properties.</w:t>
      </w:r>
    </w:p>
    <w:p>
      <w:pPr>
        <w:pStyle w:val="Heading2"/>
      </w:pPr>
      <w:r>
        <w:t>What the map does not guarantee</w:t>
      </w:r>
    </w:p>
    <w:p>
      <w:r>
        <w:t>The network geometries originate from a street and path dataset. They do not consistently represent individual pavement sides. A mapped street segment therefore does not establish that a continuous, walkable and legally accessible footway exists. Traffic restrictions, opening hours and private access must be assessed separately before approving a specific route.</w:t>
      </w:r>
    </w:p>
    <w:p>
      <w:r>
        <w:t>Infrastructure points are also inventory records. An elevator symbol, for example, says nothing about its current operating status. Missing points or attributes may reflect gaps in data collection. The absence of a symbol therefore does not prove that the corresponding facility is absent on site.</w:t>
      </w:r>
    </w:p>
    <w:p>
      <w:pPr>
        <w:pStyle w:val="Heading2"/>
      </w:pPr>
      <w:r>
        <w:t>Reading guide</w:t>
      </w:r>
    </w:p>
    <w:p>
      <w:r>
        <w:t>Chapter 2 describes the files and layers. Chapter 3 explains the maps and tables. Chapters 4 to 7 cover the six themes and the additional infrastructure. Chapter 8 addresses data quality and Chapter 9 updates. Sources and usage rights are documented in Chapters 10 and 11.</w:t>
      </w:r>
    </w:p>
    <w:p>
      <w:r>
        <w:br w:type="page"/>
      </w:r>
    </w:p>
    <w:p>
      <w:pPr>
        <w:pStyle w:val="Heading1"/>
      </w:pPr>
      <w:r>
        <w:t>2 Files and feature layers</w:t>
      </w:r>
    </w:p>
    <w:p>
      <w:r>
        <w:t>Fussgaengeratlas_Stuttgart.gpkg contains geometries, attributes and embedded map styles. Fussgaengeratlas_Stuttgart.qgz stores the project view. External QML styles are in Styling, and symbols are in Styling/SVG. Documentation contains feature counts, verification reports and the checksum manifest, among other files. [1]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5242"/>
        <w:gridCol w:w="1728"/>
      </w:tblGrid>
      <w:tr>
        <w:trPr>
          <w:cantSplit/>
          <w:tblHeader/>
        </w:trPr>
        <w:tc>
          <w:tcPr>
            <w:tcW w:type="dxa" w:w="3024"/>
            <w:vAlign w:val="center"/>
            <w:shd w:fill="DCE6EF"/>
            <w:tcMar>
              <w:top w:w="70" w:type="dxa"/>
              <w:left w:w="70" w:type="dxa"/>
              <w:bottom w:w="70" w:type="dxa"/>
              <w:right w:w="70" w:type="dxa"/>
            </w:tcMar>
          </w:tcPr>
          <w:p>
            <w:pPr>
              <w:spacing w:after="20" w:line="240" w:lineRule="auto"/>
            </w:pPr>
            <w:r>
              <w:rPr>
                <w:b/>
                <w:sz w:val="20"/>
              </w:rPr>
              <w:t>Layer in the package</w:t>
            </w:r>
          </w:p>
        </w:tc>
        <w:tc>
          <w:tcPr>
            <w:tcW w:type="dxa" w:w="5242"/>
            <w:vAlign w:val="center"/>
            <w:shd w:fill="DCE6EF"/>
            <w:tcMar>
              <w:top w:w="70" w:type="dxa"/>
              <w:left w:w="70" w:type="dxa"/>
              <w:bottom w:w="70" w:type="dxa"/>
              <w:right w:w="70" w:type="dxa"/>
            </w:tcMar>
          </w:tcPr>
          <w:p>
            <w:pPr>
              <w:spacing w:after="20" w:line="240" w:lineRule="auto"/>
            </w:pPr>
            <w:r>
              <w:rPr>
                <w:b/>
                <w:sz w:val="20"/>
              </w:rPr>
              <w:t>Content</w:t>
            </w:r>
          </w:p>
        </w:tc>
        <w:tc>
          <w:tcPr>
            <w:tcW w:type="dxa" w:w="1728"/>
            <w:vAlign w:val="center"/>
            <w:shd w:fill="DCE6EF"/>
            <w:tcMar>
              <w:top w:w="70" w:type="dxa"/>
              <w:left w:w="70" w:type="dxa"/>
              <w:bottom w:w="70" w:type="dxa"/>
              <w:right w:w="70" w:type="dxa"/>
            </w:tcMar>
          </w:tcPr>
          <w:p>
            <w:pPr>
              <w:spacing w:after="20" w:line="240" w:lineRule="auto"/>
            </w:pPr>
            <w:r>
              <w:rPr>
                <w:b/>
                <w:sz w:val="20"/>
              </w:rPr>
              <w:t>Features</w:t>
            </w:r>
          </w:p>
        </w:tc>
      </w:tr>
      <w:tr>
        <w:trPr>
          <w:cantSplit/>
        </w:trPr>
        <w:tc>
          <w:tcPr>
            <w:tcW w:type="dxa" w:w="3024"/>
            <w:vAlign w:val="center"/>
            <w:shd w:fill="FFFFFF"/>
            <w:tcMar>
              <w:top w:w="70" w:type="dxa"/>
              <w:left w:w="70" w:type="dxa"/>
              <w:bottom w:w="70" w:type="dxa"/>
              <w:right w:w="70" w:type="dxa"/>
            </w:tcMar>
          </w:tcPr>
          <w:p>
            <w:pPr>
              <w:spacing w:after="20" w:line="240" w:lineRule="auto"/>
            </w:pPr>
            <w:r>
              <w:rPr>
                <w:b w:val="0"/>
                <w:sz w:val="20"/>
              </w:rPr>
              <w:t>Pedestrian_Network</w:t>
            </w:r>
          </w:p>
        </w:tc>
        <w:tc>
          <w:tcPr>
            <w:tcW w:type="dxa" w:w="5242"/>
            <w:vAlign w:val="center"/>
            <w:shd w:fill="FFFFFF"/>
            <w:tcMar>
              <w:top w:w="70" w:type="dxa"/>
              <w:left w:w="70" w:type="dxa"/>
              <w:bottom w:w="70" w:type="dxa"/>
              <w:right w:w="70" w:type="dxa"/>
            </w:tcMar>
          </w:tcPr>
          <w:p>
            <w:pPr>
              <w:spacing w:after="20" w:line="240" w:lineRule="auto"/>
            </w:pPr>
            <w:r>
              <w:rPr>
                <w:b w:val="0"/>
                <w:sz w:val="20"/>
              </w:rPr>
              <w:t>Main dataset with thematic attributes</w:t>
            </w:r>
          </w:p>
        </w:tc>
        <w:tc>
          <w:tcPr>
            <w:tcW w:type="dxa" w:w="1728"/>
            <w:vAlign w:val="center"/>
            <w:shd w:fill="FFFFFF"/>
            <w:tcMar>
              <w:top w:w="70" w:type="dxa"/>
              <w:left w:w="70" w:type="dxa"/>
              <w:bottom w:w="70" w:type="dxa"/>
              <w:right w:w="70" w:type="dxa"/>
            </w:tcMar>
          </w:tcPr>
          <w:p>
            <w:pPr>
              <w:spacing w:after="20" w:line="240" w:lineRule="auto"/>
            </w:pPr>
            <w:r>
              <w:rPr>
                <w:b w:val="0"/>
                <w:sz w:val="20"/>
              </w:rPr>
              <w:t>69,769</w:t>
            </w:r>
          </w:p>
        </w:tc>
      </w:tr>
      <w:tr>
        <w:trPr>
          <w:cantSplit/>
        </w:trPr>
        <w:tc>
          <w:tcPr>
            <w:tcW w:type="dxa" w:w="3024"/>
            <w:vAlign w:val="center"/>
            <w:shd w:fill="F5F7F9"/>
            <w:tcMar>
              <w:top w:w="70" w:type="dxa"/>
              <w:left w:w="70" w:type="dxa"/>
              <w:bottom w:w="70" w:type="dxa"/>
              <w:right w:w="70" w:type="dxa"/>
            </w:tcMar>
          </w:tcPr>
          <w:p>
            <w:pPr>
              <w:spacing w:after="20" w:line="240" w:lineRule="auto"/>
            </w:pPr>
            <w:r>
              <w:rPr>
                <w:b w:val="0"/>
                <w:sz w:val="20"/>
              </w:rPr>
              <w:t>Shade_Summer</w:t>
            </w:r>
          </w:p>
        </w:tc>
        <w:tc>
          <w:tcPr>
            <w:tcW w:type="dxa" w:w="5242"/>
            <w:vAlign w:val="center"/>
            <w:shd w:fill="F5F7F9"/>
            <w:tcMar>
              <w:top w:w="70" w:type="dxa"/>
              <w:left w:w="70" w:type="dxa"/>
              <w:bottom w:w="70" w:type="dxa"/>
              <w:right w:w="70" w:type="dxa"/>
            </w:tcMar>
          </w:tcPr>
          <w:p>
            <w:pPr>
              <w:spacing w:after="20" w:line="240" w:lineRule="auto"/>
            </w:pPr>
            <w:r>
              <w:rPr>
                <w:b w:val="0"/>
                <w:sz w:val="20"/>
              </w:rPr>
              <w:t>Summer shade</w:t>
            </w:r>
          </w:p>
        </w:tc>
        <w:tc>
          <w:tcPr>
            <w:tcW w:type="dxa" w:w="1728"/>
            <w:vAlign w:val="center"/>
            <w:shd w:fill="F5F7F9"/>
            <w:tcMar>
              <w:top w:w="70" w:type="dxa"/>
              <w:left w:w="70" w:type="dxa"/>
              <w:bottom w:w="70" w:type="dxa"/>
              <w:right w:w="70" w:type="dxa"/>
            </w:tcMar>
          </w:tcPr>
          <w:p>
            <w:pPr>
              <w:spacing w:after="20" w:line="240" w:lineRule="auto"/>
            </w:pPr>
            <w:r>
              <w:rPr>
                <w:b w:val="0"/>
                <w:sz w:val="20"/>
              </w:rPr>
              <w:t>69,769</w:t>
            </w:r>
          </w:p>
        </w:tc>
      </w:tr>
      <w:tr>
        <w:trPr>
          <w:cantSplit/>
        </w:trPr>
        <w:tc>
          <w:tcPr>
            <w:tcW w:type="dxa" w:w="3024"/>
            <w:vAlign w:val="center"/>
            <w:shd w:fill="FFFFFF"/>
            <w:tcMar>
              <w:top w:w="70" w:type="dxa"/>
              <w:left w:w="70" w:type="dxa"/>
              <w:bottom w:w="70" w:type="dxa"/>
              <w:right w:w="70" w:type="dxa"/>
            </w:tcMar>
          </w:tcPr>
          <w:p>
            <w:pPr>
              <w:spacing w:after="20" w:line="240" w:lineRule="auto"/>
            </w:pPr>
            <w:r>
              <w:rPr>
                <w:b w:val="0"/>
                <w:sz w:val="20"/>
              </w:rPr>
              <w:t>Shade_Winter</w:t>
            </w:r>
          </w:p>
        </w:tc>
        <w:tc>
          <w:tcPr>
            <w:tcW w:type="dxa" w:w="5242"/>
            <w:vAlign w:val="center"/>
            <w:shd w:fill="FFFFFF"/>
            <w:tcMar>
              <w:top w:w="70" w:type="dxa"/>
              <w:left w:w="70" w:type="dxa"/>
              <w:bottom w:w="70" w:type="dxa"/>
              <w:right w:w="70" w:type="dxa"/>
            </w:tcMar>
          </w:tcPr>
          <w:p>
            <w:pPr>
              <w:spacing w:after="20" w:line="240" w:lineRule="auto"/>
            </w:pPr>
            <w:r>
              <w:rPr>
                <w:b w:val="0"/>
                <w:sz w:val="20"/>
              </w:rPr>
              <w:t>Winter shade</w:t>
            </w:r>
          </w:p>
        </w:tc>
        <w:tc>
          <w:tcPr>
            <w:tcW w:type="dxa" w:w="1728"/>
            <w:vAlign w:val="center"/>
            <w:shd w:fill="FFFFFF"/>
            <w:tcMar>
              <w:top w:w="70" w:type="dxa"/>
              <w:left w:w="70" w:type="dxa"/>
              <w:bottom w:w="70" w:type="dxa"/>
              <w:right w:w="70" w:type="dxa"/>
            </w:tcMar>
          </w:tcPr>
          <w:p>
            <w:pPr>
              <w:spacing w:after="20" w:line="240" w:lineRule="auto"/>
            </w:pPr>
            <w:r>
              <w:rPr>
                <w:b w:val="0"/>
                <w:sz w:val="20"/>
              </w:rPr>
              <w:t>69,769</w:t>
            </w:r>
          </w:p>
        </w:tc>
      </w:tr>
      <w:tr>
        <w:trPr>
          <w:cantSplit/>
        </w:trPr>
        <w:tc>
          <w:tcPr>
            <w:tcW w:type="dxa" w:w="3024"/>
            <w:vAlign w:val="center"/>
            <w:shd w:fill="F5F7F9"/>
            <w:tcMar>
              <w:top w:w="70" w:type="dxa"/>
              <w:left w:w="70" w:type="dxa"/>
              <w:bottom w:w="70" w:type="dxa"/>
              <w:right w:w="70" w:type="dxa"/>
            </w:tcMar>
          </w:tcPr>
          <w:p>
            <w:pPr>
              <w:spacing w:after="20" w:line="240" w:lineRule="auto"/>
            </w:pPr>
            <w:r>
              <w:rPr>
                <w:b w:val="0"/>
                <w:sz w:val="20"/>
              </w:rPr>
              <w:t>UTCI_Summer</w:t>
            </w:r>
          </w:p>
        </w:tc>
        <w:tc>
          <w:tcPr>
            <w:tcW w:type="dxa" w:w="5242"/>
            <w:vAlign w:val="center"/>
            <w:shd w:fill="F5F7F9"/>
            <w:tcMar>
              <w:top w:w="70" w:type="dxa"/>
              <w:left w:w="70" w:type="dxa"/>
              <w:bottom w:w="70" w:type="dxa"/>
              <w:right w:w="70" w:type="dxa"/>
            </w:tcMar>
          </w:tcPr>
          <w:p>
            <w:pPr>
              <w:spacing w:after="20" w:line="240" w:lineRule="auto"/>
            </w:pPr>
            <w:r>
              <w:rPr>
                <w:b w:val="0"/>
                <w:sz w:val="20"/>
              </w:rPr>
              <w:t>Summer thermal stress</w:t>
            </w:r>
          </w:p>
        </w:tc>
        <w:tc>
          <w:tcPr>
            <w:tcW w:type="dxa" w:w="1728"/>
            <w:vAlign w:val="center"/>
            <w:shd w:fill="F5F7F9"/>
            <w:tcMar>
              <w:top w:w="70" w:type="dxa"/>
              <w:left w:w="70" w:type="dxa"/>
              <w:bottom w:w="70" w:type="dxa"/>
              <w:right w:w="70" w:type="dxa"/>
            </w:tcMar>
          </w:tcPr>
          <w:p>
            <w:pPr>
              <w:spacing w:after="20" w:line="240" w:lineRule="auto"/>
            </w:pPr>
            <w:r>
              <w:rPr>
                <w:b w:val="0"/>
                <w:sz w:val="20"/>
              </w:rPr>
              <w:t>69,769</w:t>
            </w:r>
          </w:p>
        </w:tc>
      </w:tr>
      <w:tr>
        <w:trPr>
          <w:cantSplit/>
        </w:trPr>
        <w:tc>
          <w:tcPr>
            <w:tcW w:type="dxa" w:w="3024"/>
            <w:vAlign w:val="center"/>
            <w:shd w:fill="FFFFFF"/>
            <w:tcMar>
              <w:top w:w="70" w:type="dxa"/>
              <w:left w:w="70" w:type="dxa"/>
              <w:bottom w:w="70" w:type="dxa"/>
              <w:right w:w="70" w:type="dxa"/>
            </w:tcMar>
          </w:tcPr>
          <w:p>
            <w:pPr>
              <w:spacing w:after="20" w:line="240" w:lineRule="auto"/>
            </w:pPr>
            <w:r>
              <w:rPr>
                <w:b w:val="0"/>
                <w:sz w:val="20"/>
              </w:rPr>
              <w:t>UTCI_Winter</w:t>
            </w:r>
          </w:p>
        </w:tc>
        <w:tc>
          <w:tcPr>
            <w:tcW w:type="dxa" w:w="5242"/>
            <w:vAlign w:val="center"/>
            <w:shd w:fill="FFFFFF"/>
            <w:tcMar>
              <w:top w:w="70" w:type="dxa"/>
              <w:left w:w="70" w:type="dxa"/>
              <w:bottom w:w="70" w:type="dxa"/>
              <w:right w:w="70" w:type="dxa"/>
            </w:tcMar>
          </w:tcPr>
          <w:p>
            <w:pPr>
              <w:spacing w:after="20" w:line="240" w:lineRule="auto"/>
            </w:pPr>
            <w:r>
              <w:rPr>
                <w:b w:val="0"/>
                <w:sz w:val="20"/>
              </w:rPr>
              <w:t>Winter thermal stress</w:t>
            </w:r>
          </w:p>
        </w:tc>
        <w:tc>
          <w:tcPr>
            <w:tcW w:type="dxa" w:w="1728"/>
            <w:vAlign w:val="center"/>
            <w:shd w:fill="FFFFFF"/>
            <w:tcMar>
              <w:top w:w="70" w:type="dxa"/>
              <w:left w:w="70" w:type="dxa"/>
              <w:bottom w:w="70" w:type="dxa"/>
              <w:right w:w="70" w:type="dxa"/>
            </w:tcMar>
          </w:tcPr>
          <w:p>
            <w:pPr>
              <w:spacing w:after="20" w:line="240" w:lineRule="auto"/>
            </w:pPr>
            <w:r>
              <w:rPr>
                <w:b w:val="0"/>
                <w:sz w:val="20"/>
              </w:rPr>
              <w:t>69,769</w:t>
            </w:r>
          </w:p>
        </w:tc>
      </w:tr>
      <w:tr>
        <w:trPr>
          <w:cantSplit/>
        </w:trPr>
        <w:tc>
          <w:tcPr>
            <w:tcW w:type="dxa" w:w="3024"/>
            <w:vAlign w:val="center"/>
            <w:shd w:fill="F5F7F9"/>
            <w:tcMar>
              <w:top w:w="70" w:type="dxa"/>
              <w:left w:w="70" w:type="dxa"/>
              <w:bottom w:w="70" w:type="dxa"/>
              <w:right w:w="70" w:type="dxa"/>
            </w:tcMar>
          </w:tcPr>
          <w:p>
            <w:pPr>
              <w:spacing w:after="20" w:line="240" w:lineRule="auto"/>
            </w:pPr>
            <w:r>
              <w:rPr>
                <w:b w:val="0"/>
                <w:sz w:val="20"/>
              </w:rPr>
              <w:t>Wind</w:t>
            </w:r>
          </w:p>
        </w:tc>
        <w:tc>
          <w:tcPr>
            <w:tcW w:type="dxa" w:w="5242"/>
            <w:vAlign w:val="center"/>
            <w:shd w:fill="F5F7F9"/>
            <w:tcMar>
              <w:top w:w="70" w:type="dxa"/>
              <w:left w:w="70" w:type="dxa"/>
              <w:bottom w:w="70" w:type="dxa"/>
              <w:right w:w="70" w:type="dxa"/>
            </w:tcMar>
          </w:tcPr>
          <w:p>
            <w:pPr>
              <w:spacing w:after="20" w:line="240" w:lineRule="auto"/>
            </w:pPr>
            <w:r>
              <w:rPr>
                <w:b w:val="0"/>
                <w:sz w:val="20"/>
              </w:rPr>
              <w:t>Relative wind index</w:t>
            </w:r>
          </w:p>
        </w:tc>
        <w:tc>
          <w:tcPr>
            <w:tcW w:type="dxa" w:w="1728"/>
            <w:vAlign w:val="center"/>
            <w:shd w:fill="F5F7F9"/>
            <w:tcMar>
              <w:top w:w="70" w:type="dxa"/>
              <w:left w:w="70" w:type="dxa"/>
              <w:bottom w:w="70" w:type="dxa"/>
              <w:right w:w="70" w:type="dxa"/>
            </w:tcMar>
          </w:tcPr>
          <w:p>
            <w:pPr>
              <w:spacing w:after="20" w:line="240" w:lineRule="auto"/>
            </w:pPr>
            <w:r>
              <w:rPr>
                <w:b w:val="0"/>
                <w:sz w:val="20"/>
              </w:rPr>
              <w:t>69,769</w:t>
            </w:r>
          </w:p>
        </w:tc>
      </w:tr>
      <w:tr>
        <w:trPr>
          <w:cantSplit/>
        </w:trPr>
        <w:tc>
          <w:tcPr>
            <w:tcW w:type="dxa" w:w="3024"/>
            <w:vAlign w:val="center"/>
            <w:shd w:fill="FFFFFF"/>
            <w:tcMar>
              <w:top w:w="70" w:type="dxa"/>
              <w:left w:w="70" w:type="dxa"/>
              <w:bottom w:w="70" w:type="dxa"/>
              <w:right w:w="70" w:type="dxa"/>
            </w:tcMar>
          </w:tcPr>
          <w:p>
            <w:pPr>
              <w:spacing w:after="20" w:line="240" w:lineRule="auto"/>
            </w:pPr>
            <w:r>
              <w:rPr>
                <w:b w:val="0"/>
                <w:sz w:val="20"/>
              </w:rPr>
              <w:t>Surface</w:t>
            </w:r>
          </w:p>
        </w:tc>
        <w:tc>
          <w:tcPr>
            <w:tcW w:type="dxa" w:w="5242"/>
            <w:vAlign w:val="center"/>
            <w:shd w:fill="FFFFFF"/>
            <w:tcMar>
              <w:top w:w="70" w:type="dxa"/>
              <w:left w:w="70" w:type="dxa"/>
              <w:bottom w:w="70" w:type="dxa"/>
              <w:right w:w="70" w:type="dxa"/>
            </w:tcMar>
          </w:tcPr>
          <w:p>
            <w:pPr>
              <w:spacing w:after="20" w:line="240" w:lineRule="auto"/>
            </w:pPr>
            <w:r>
              <w:rPr>
                <w:b w:val="0"/>
                <w:sz w:val="20"/>
              </w:rPr>
              <w:t>Surface classes</w:t>
            </w:r>
          </w:p>
        </w:tc>
        <w:tc>
          <w:tcPr>
            <w:tcW w:type="dxa" w:w="1728"/>
            <w:vAlign w:val="center"/>
            <w:shd w:fill="FFFFFF"/>
            <w:tcMar>
              <w:top w:w="70" w:type="dxa"/>
              <w:left w:w="70" w:type="dxa"/>
              <w:bottom w:w="70" w:type="dxa"/>
              <w:right w:w="70" w:type="dxa"/>
            </w:tcMar>
          </w:tcPr>
          <w:p>
            <w:pPr>
              <w:spacing w:after="20" w:line="240" w:lineRule="auto"/>
            </w:pPr>
            <w:r>
              <w:rPr>
                <w:b w:val="0"/>
                <w:sz w:val="20"/>
              </w:rPr>
              <w:t>69,769</w:t>
            </w:r>
          </w:p>
        </w:tc>
      </w:tr>
      <w:tr>
        <w:trPr>
          <w:cantSplit/>
        </w:trPr>
        <w:tc>
          <w:tcPr>
            <w:tcW w:type="dxa" w:w="3024"/>
            <w:vAlign w:val="center"/>
            <w:shd w:fill="F5F7F9"/>
            <w:tcMar>
              <w:top w:w="70" w:type="dxa"/>
              <w:left w:w="70" w:type="dxa"/>
              <w:bottom w:w="70" w:type="dxa"/>
              <w:right w:w="70" w:type="dxa"/>
            </w:tcMar>
          </w:tcPr>
          <w:p>
            <w:pPr>
              <w:spacing w:after="20" w:line="240" w:lineRule="auto"/>
            </w:pPr>
            <w:r>
              <w:rPr>
                <w:b w:val="0"/>
                <w:sz w:val="20"/>
              </w:rPr>
              <w:t>Noise</w:t>
            </w:r>
          </w:p>
        </w:tc>
        <w:tc>
          <w:tcPr>
            <w:tcW w:type="dxa" w:w="5242"/>
            <w:vAlign w:val="center"/>
            <w:shd w:fill="F5F7F9"/>
            <w:tcMar>
              <w:top w:w="70" w:type="dxa"/>
              <w:left w:w="70" w:type="dxa"/>
              <w:bottom w:w="70" w:type="dxa"/>
              <w:right w:w="70" w:type="dxa"/>
            </w:tcMar>
          </w:tcPr>
          <w:p>
            <w:pPr>
              <w:spacing w:after="20" w:line="240" w:lineRule="auto"/>
            </w:pPr>
            <w:r>
              <w:rPr>
                <w:b w:val="0"/>
                <w:sz w:val="20"/>
              </w:rPr>
              <w:t>Noise information</w:t>
            </w:r>
          </w:p>
        </w:tc>
        <w:tc>
          <w:tcPr>
            <w:tcW w:type="dxa" w:w="1728"/>
            <w:vAlign w:val="center"/>
            <w:shd w:fill="F5F7F9"/>
            <w:tcMar>
              <w:top w:w="70" w:type="dxa"/>
              <w:left w:w="70" w:type="dxa"/>
              <w:bottom w:w="70" w:type="dxa"/>
              <w:right w:w="70" w:type="dxa"/>
            </w:tcMar>
          </w:tcPr>
          <w:p>
            <w:pPr>
              <w:spacing w:after="20" w:line="240" w:lineRule="auto"/>
            </w:pPr>
            <w:r>
              <w:rPr>
                <w:b w:val="0"/>
                <w:sz w:val="20"/>
              </w:rPr>
              <w:t>69,769</w:t>
            </w:r>
          </w:p>
        </w:tc>
      </w:tr>
      <w:tr>
        <w:trPr>
          <w:cantSplit/>
        </w:trPr>
        <w:tc>
          <w:tcPr>
            <w:tcW w:type="dxa" w:w="3024"/>
            <w:vAlign w:val="center"/>
            <w:shd w:fill="FFFFFF"/>
            <w:tcMar>
              <w:top w:w="70" w:type="dxa"/>
              <w:left w:w="70" w:type="dxa"/>
              <w:bottom w:w="70" w:type="dxa"/>
              <w:right w:w="70" w:type="dxa"/>
            </w:tcMar>
          </w:tcPr>
          <w:p>
            <w:pPr>
              <w:spacing w:after="20" w:line="240" w:lineRule="auto"/>
            </w:pPr>
            <w:r>
              <w:rPr>
                <w:b w:val="0"/>
                <w:sz w:val="20"/>
              </w:rPr>
              <w:t>Trees</w:t>
            </w:r>
          </w:p>
        </w:tc>
        <w:tc>
          <w:tcPr>
            <w:tcW w:type="dxa" w:w="5242"/>
            <w:vAlign w:val="center"/>
            <w:shd w:fill="FFFFFF"/>
            <w:tcMar>
              <w:top w:w="70" w:type="dxa"/>
              <w:left w:w="70" w:type="dxa"/>
              <w:bottom w:w="70" w:type="dxa"/>
              <w:right w:w="70" w:type="dxa"/>
            </w:tcMar>
          </w:tcPr>
          <w:p>
            <w:pPr>
              <w:spacing w:after="20" w:line="240" w:lineRule="auto"/>
            </w:pPr>
            <w:r>
              <w:rPr>
                <w:b w:val="0"/>
                <w:sz w:val="20"/>
              </w:rPr>
              <w:t>Individual trees</w:t>
            </w:r>
          </w:p>
        </w:tc>
        <w:tc>
          <w:tcPr>
            <w:tcW w:type="dxa" w:w="1728"/>
            <w:vAlign w:val="center"/>
            <w:shd w:fill="FFFFFF"/>
            <w:tcMar>
              <w:top w:w="70" w:type="dxa"/>
              <w:left w:w="70" w:type="dxa"/>
              <w:bottom w:w="70" w:type="dxa"/>
              <w:right w:w="70" w:type="dxa"/>
            </w:tcMar>
          </w:tcPr>
          <w:p>
            <w:pPr>
              <w:spacing w:after="20" w:line="240" w:lineRule="auto"/>
            </w:pPr>
            <w:r>
              <w:rPr>
                <w:b w:val="0"/>
                <w:sz w:val="20"/>
              </w:rPr>
              <w:t>23,486</w:t>
            </w:r>
          </w:p>
        </w:tc>
      </w:tr>
      <w:tr>
        <w:trPr>
          <w:cantSplit/>
        </w:trPr>
        <w:tc>
          <w:tcPr>
            <w:tcW w:type="dxa" w:w="3024"/>
            <w:vAlign w:val="center"/>
            <w:shd w:fill="F5F7F9"/>
            <w:tcMar>
              <w:top w:w="70" w:type="dxa"/>
              <w:left w:w="70" w:type="dxa"/>
              <w:bottom w:w="70" w:type="dxa"/>
              <w:right w:w="70" w:type="dxa"/>
            </w:tcMar>
          </w:tcPr>
          <w:p>
            <w:pPr>
              <w:spacing w:after="20" w:line="240" w:lineRule="auto"/>
            </w:pPr>
            <w:r>
              <w:rPr>
                <w:b w:val="0"/>
                <w:sz w:val="20"/>
              </w:rPr>
              <w:t>Buildings</w:t>
            </w:r>
          </w:p>
        </w:tc>
        <w:tc>
          <w:tcPr>
            <w:tcW w:type="dxa" w:w="5242"/>
            <w:vAlign w:val="center"/>
            <w:shd w:fill="F5F7F9"/>
            <w:tcMar>
              <w:top w:w="70" w:type="dxa"/>
              <w:left w:w="70" w:type="dxa"/>
              <w:bottom w:w="70" w:type="dxa"/>
              <w:right w:w="70" w:type="dxa"/>
            </w:tcMar>
          </w:tcPr>
          <w:p>
            <w:pPr>
              <w:spacing w:after="20" w:line="240" w:lineRule="auto"/>
            </w:pPr>
            <w:r>
              <w:rPr>
                <w:b w:val="0"/>
                <w:sz w:val="20"/>
              </w:rPr>
              <w:t>Buildings with height attributes</w:t>
            </w:r>
          </w:p>
        </w:tc>
        <w:tc>
          <w:tcPr>
            <w:tcW w:type="dxa" w:w="1728"/>
            <w:vAlign w:val="center"/>
            <w:shd w:fill="F5F7F9"/>
            <w:tcMar>
              <w:top w:w="70" w:type="dxa"/>
              <w:left w:w="70" w:type="dxa"/>
              <w:bottom w:w="70" w:type="dxa"/>
              <w:right w:w="70" w:type="dxa"/>
            </w:tcMar>
          </w:tcPr>
          <w:p>
            <w:pPr>
              <w:spacing w:after="20" w:line="240" w:lineRule="auto"/>
            </w:pPr>
            <w:r>
              <w:rPr>
                <w:b w:val="0"/>
                <w:sz w:val="20"/>
              </w:rPr>
              <w:t>105,521</w:t>
            </w:r>
          </w:p>
        </w:tc>
      </w:tr>
      <w:tr>
        <w:trPr>
          <w:cantSplit/>
        </w:trPr>
        <w:tc>
          <w:tcPr>
            <w:tcW w:type="dxa" w:w="3024"/>
            <w:vAlign w:val="center"/>
            <w:shd w:fill="FFFFFF"/>
            <w:tcMar>
              <w:top w:w="70" w:type="dxa"/>
              <w:left w:w="70" w:type="dxa"/>
              <w:bottom w:w="70" w:type="dxa"/>
              <w:right w:w="70" w:type="dxa"/>
            </w:tcMar>
          </w:tcPr>
          <w:p>
            <w:pPr>
              <w:spacing w:after="20" w:line="240" w:lineRule="auto"/>
            </w:pPr>
            <w:r>
              <w:rPr>
                <w:b w:val="0"/>
                <w:sz w:val="20"/>
              </w:rPr>
              <w:t>Elevators</w:t>
            </w:r>
          </w:p>
        </w:tc>
        <w:tc>
          <w:tcPr>
            <w:tcW w:type="dxa" w:w="5242"/>
            <w:vAlign w:val="center"/>
            <w:shd w:fill="FFFFFF"/>
            <w:tcMar>
              <w:top w:w="70" w:type="dxa"/>
              <w:left w:w="70" w:type="dxa"/>
              <w:bottom w:w="70" w:type="dxa"/>
              <w:right w:w="70" w:type="dxa"/>
            </w:tcMar>
          </w:tcPr>
          <w:p>
            <w:pPr>
              <w:spacing w:after="20" w:line="240" w:lineRule="auto"/>
            </w:pPr>
            <w:r>
              <w:rPr>
                <w:b w:val="0"/>
                <w:sz w:val="20"/>
              </w:rPr>
              <w:t>Elevators</w:t>
            </w:r>
          </w:p>
        </w:tc>
        <w:tc>
          <w:tcPr>
            <w:tcW w:type="dxa" w:w="1728"/>
            <w:vAlign w:val="center"/>
            <w:shd w:fill="FFFFFF"/>
            <w:tcMar>
              <w:top w:w="70" w:type="dxa"/>
              <w:left w:w="70" w:type="dxa"/>
              <w:bottom w:w="70" w:type="dxa"/>
              <w:right w:w="70" w:type="dxa"/>
            </w:tcMar>
          </w:tcPr>
          <w:p>
            <w:pPr>
              <w:spacing w:after="20" w:line="240" w:lineRule="auto"/>
            </w:pPr>
            <w:r>
              <w:rPr>
                <w:b w:val="0"/>
                <w:sz w:val="20"/>
              </w:rPr>
              <w:t>147</w:t>
            </w:r>
          </w:p>
        </w:tc>
      </w:tr>
      <w:tr>
        <w:trPr>
          <w:cantSplit/>
        </w:trPr>
        <w:tc>
          <w:tcPr>
            <w:tcW w:type="dxa" w:w="3024"/>
            <w:vAlign w:val="center"/>
            <w:shd w:fill="F5F7F9"/>
            <w:tcMar>
              <w:top w:w="70" w:type="dxa"/>
              <w:left w:w="70" w:type="dxa"/>
              <w:bottom w:w="70" w:type="dxa"/>
              <w:right w:w="70" w:type="dxa"/>
            </w:tcMar>
          </w:tcPr>
          <w:p>
            <w:pPr>
              <w:spacing w:after="20" w:line="240" w:lineRule="auto"/>
            </w:pPr>
            <w:r>
              <w:rPr>
                <w:b w:val="0"/>
                <w:sz w:val="20"/>
              </w:rPr>
              <w:t>Escalators</w:t>
            </w:r>
          </w:p>
        </w:tc>
        <w:tc>
          <w:tcPr>
            <w:tcW w:type="dxa" w:w="5242"/>
            <w:vAlign w:val="center"/>
            <w:shd w:fill="F5F7F9"/>
            <w:tcMar>
              <w:top w:w="70" w:type="dxa"/>
              <w:left w:w="70" w:type="dxa"/>
              <w:bottom w:w="70" w:type="dxa"/>
              <w:right w:w="70" w:type="dxa"/>
            </w:tcMar>
          </w:tcPr>
          <w:p>
            <w:pPr>
              <w:spacing w:after="20" w:line="240" w:lineRule="auto"/>
            </w:pPr>
            <w:r>
              <w:rPr>
                <w:b w:val="0"/>
                <w:sz w:val="20"/>
              </w:rPr>
              <w:t>Escalators</w:t>
            </w:r>
          </w:p>
        </w:tc>
        <w:tc>
          <w:tcPr>
            <w:tcW w:type="dxa" w:w="1728"/>
            <w:vAlign w:val="center"/>
            <w:shd w:fill="F5F7F9"/>
            <w:tcMar>
              <w:top w:w="70" w:type="dxa"/>
              <w:left w:w="70" w:type="dxa"/>
              <w:bottom w:w="70" w:type="dxa"/>
              <w:right w:w="70" w:type="dxa"/>
            </w:tcMar>
          </w:tcPr>
          <w:p>
            <w:pPr>
              <w:spacing w:after="20" w:line="240" w:lineRule="auto"/>
            </w:pPr>
            <w:r>
              <w:rPr>
                <w:b w:val="0"/>
                <w:sz w:val="20"/>
              </w:rPr>
              <w:t>59</w:t>
            </w:r>
          </w:p>
        </w:tc>
      </w:tr>
      <w:tr>
        <w:trPr>
          <w:cantSplit/>
        </w:trPr>
        <w:tc>
          <w:tcPr>
            <w:tcW w:type="dxa" w:w="3024"/>
            <w:vAlign w:val="center"/>
            <w:shd w:fill="FFFFFF"/>
            <w:tcMar>
              <w:top w:w="70" w:type="dxa"/>
              <w:left w:w="70" w:type="dxa"/>
              <w:bottom w:w="70" w:type="dxa"/>
              <w:right w:w="70" w:type="dxa"/>
            </w:tcMar>
          </w:tcPr>
          <w:p>
            <w:pPr>
              <w:spacing w:after="20" w:line="240" w:lineRule="auto"/>
            </w:pPr>
            <w:r>
              <w:rPr>
                <w:b w:val="0"/>
                <w:sz w:val="20"/>
              </w:rPr>
              <w:t>Ramps</w:t>
            </w:r>
          </w:p>
        </w:tc>
        <w:tc>
          <w:tcPr>
            <w:tcW w:type="dxa" w:w="5242"/>
            <w:vAlign w:val="center"/>
            <w:shd w:fill="FFFFFF"/>
            <w:tcMar>
              <w:top w:w="70" w:type="dxa"/>
              <w:left w:w="70" w:type="dxa"/>
              <w:bottom w:w="70" w:type="dxa"/>
              <w:right w:w="70" w:type="dxa"/>
            </w:tcMar>
          </w:tcPr>
          <w:p>
            <w:pPr>
              <w:spacing w:after="20" w:line="240" w:lineRule="auto"/>
            </w:pPr>
            <w:r>
              <w:rPr>
                <w:b w:val="0"/>
                <w:sz w:val="20"/>
              </w:rPr>
              <w:t>Ramps</w:t>
            </w:r>
          </w:p>
        </w:tc>
        <w:tc>
          <w:tcPr>
            <w:tcW w:type="dxa" w:w="1728"/>
            <w:vAlign w:val="center"/>
            <w:shd w:fill="FFFFFF"/>
            <w:tcMar>
              <w:top w:w="70" w:type="dxa"/>
              <w:left w:w="70" w:type="dxa"/>
              <w:bottom w:w="70" w:type="dxa"/>
              <w:right w:w="70" w:type="dxa"/>
            </w:tcMar>
          </w:tcPr>
          <w:p>
            <w:pPr>
              <w:spacing w:after="20" w:line="240" w:lineRule="auto"/>
            </w:pPr>
            <w:r>
              <w:rPr>
                <w:b w:val="0"/>
                <w:sz w:val="20"/>
              </w:rPr>
              <w:t>132</w:t>
            </w:r>
          </w:p>
        </w:tc>
      </w:tr>
      <w:tr>
        <w:trPr>
          <w:cantSplit/>
        </w:trPr>
        <w:tc>
          <w:tcPr>
            <w:tcW w:type="dxa" w:w="3024"/>
            <w:vAlign w:val="center"/>
            <w:shd w:fill="F5F7F9"/>
            <w:tcMar>
              <w:top w:w="70" w:type="dxa"/>
              <w:left w:w="70" w:type="dxa"/>
              <w:bottom w:w="70" w:type="dxa"/>
              <w:right w:w="70" w:type="dxa"/>
            </w:tcMar>
          </w:tcPr>
          <w:p>
            <w:pPr>
              <w:spacing w:after="20" w:line="240" w:lineRule="auto"/>
            </w:pPr>
            <w:r>
              <w:rPr>
                <w:b w:val="0"/>
                <w:sz w:val="20"/>
              </w:rPr>
              <w:t>Stairs</w:t>
            </w:r>
          </w:p>
        </w:tc>
        <w:tc>
          <w:tcPr>
            <w:tcW w:type="dxa" w:w="5242"/>
            <w:vAlign w:val="center"/>
            <w:shd w:fill="F5F7F9"/>
            <w:tcMar>
              <w:top w:w="70" w:type="dxa"/>
              <w:left w:w="70" w:type="dxa"/>
              <w:bottom w:w="70" w:type="dxa"/>
              <w:right w:w="70" w:type="dxa"/>
            </w:tcMar>
          </w:tcPr>
          <w:p>
            <w:pPr>
              <w:spacing w:after="20" w:line="240" w:lineRule="auto"/>
            </w:pPr>
            <w:r>
              <w:rPr>
                <w:b w:val="0"/>
                <w:sz w:val="20"/>
              </w:rPr>
              <w:t>Stairs represented as infrastructure points</w:t>
            </w:r>
          </w:p>
        </w:tc>
        <w:tc>
          <w:tcPr>
            <w:tcW w:type="dxa" w:w="1728"/>
            <w:vAlign w:val="center"/>
            <w:shd w:fill="F5F7F9"/>
            <w:tcMar>
              <w:top w:w="70" w:type="dxa"/>
              <w:left w:w="70" w:type="dxa"/>
              <w:bottom w:w="70" w:type="dxa"/>
              <w:right w:w="70" w:type="dxa"/>
            </w:tcMar>
          </w:tcPr>
          <w:p>
            <w:pPr>
              <w:spacing w:after="20" w:line="240" w:lineRule="auto"/>
            </w:pPr>
            <w:r>
              <w:rPr>
                <w:b w:val="0"/>
                <w:sz w:val="20"/>
              </w:rPr>
              <w:t>208</w:t>
            </w:r>
          </w:p>
        </w:tc>
      </w:tr>
      <w:tr>
        <w:trPr>
          <w:cantSplit/>
        </w:trPr>
        <w:tc>
          <w:tcPr>
            <w:tcW w:type="dxa" w:w="3024"/>
            <w:vAlign w:val="center"/>
            <w:shd w:fill="FFFFFF"/>
            <w:tcMar>
              <w:top w:w="70" w:type="dxa"/>
              <w:left w:w="70" w:type="dxa"/>
              <w:bottom w:w="70" w:type="dxa"/>
              <w:right w:w="70" w:type="dxa"/>
            </w:tcMar>
          </w:tcPr>
          <w:p>
            <w:pPr>
              <w:spacing w:after="20" w:line="240" w:lineRule="auto"/>
            </w:pPr>
            <w:r>
              <w:rPr>
                <w:b w:val="0"/>
                <w:sz w:val="20"/>
              </w:rPr>
              <w:t>Barriers_and_Gates</w:t>
            </w:r>
          </w:p>
        </w:tc>
        <w:tc>
          <w:tcPr>
            <w:tcW w:type="dxa" w:w="5242"/>
            <w:vAlign w:val="center"/>
            <w:shd w:fill="FFFFFF"/>
            <w:tcMar>
              <w:top w:w="70" w:type="dxa"/>
              <w:left w:w="70" w:type="dxa"/>
              <w:bottom w:w="70" w:type="dxa"/>
              <w:right w:w="70" w:type="dxa"/>
            </w:tcMar>
          </w:tcPr>
          <w:p>
            <w:pPr>
              <w:spacing w:after="20" w:line="240" w:lineRule="auto"/>
            </w:pPr>
            <w:r>
              <w:rPr>
                <w:b w:val="0"/>
                <w:sz w:val="20"/>
              </w:rPr>
              <w:t>Barriers and gates</w:t>
            </w:r>
          </w:p>
        </w:tc>
        <w:tc>
          <w:tcPr>
            <w:tcW w:type="dxa" w:w="1728"/>
            <w:vAlign w:val="center"/>
            <w:shd w:fill="FFFFFF"/>
            <w:tcMar>
              <w:top w:w="70" w:type="dxa"/>
              <w:left w:w="70" w:type="dxa"/>
              <w:bottom w:w="70" w:type="dxa"/>
              <w:right w:w="70" w:type="dxa"/>
            </w:tcMar>
          </w:tcPr>
          <w:p>
            <w:pPr>
              <w:spacing w:after="20" w:line="240" w:lineRule="auto"/>
            </w:pPr>
            <w:r>
              <w:rPr>
                <w:b w:val="0"/>
                <w:sz w:val="20"/>
              </w:rPr>
              <w:t>2,127</w:t>
            </w:r>
          </w:p>
        </w:tc>
      </w:tr>
      <w:tr>
        <w:trPr>
          <w:cantSplit/>
        </w:trPr>
        <w:tc>
          <w:tcPr>
            <w:tcW w:type="dxa" w:w="3024"/>
            <w:vAlign w:val="center"/>
            <w:shd w:fill="F5F7F9"/>
            <w:tcMar>
              <w:top w:w="70" w:type="dxa"/>
              <w:left w:w="70" w:type="dxa"/>
              <w:bottom w:w="70" w:type="dxa"/>
              <w:right w:w="70" w:type="dxa"/>
            </w:tcMar>
          </w:tcPr>
          <w:p>
            <w:pPr>
              <w:spacing w:after="20" w:line="240" w:lineRule="auto"/>
            </w:pPr>
            <w:r>
              <w:rPr>
                <w:b w:val="0"/>
                <w:sz w:val="20"/>
              </w:rPr>
              <w:t>Lowered_Curbs</w:t>
            </w:r>
          </w:p>
        </w:tc>
        <w:tc>
          <w:tcPr>
            <w:tcW w:type="dxa" w:w="5242"/>
            <w:vAlign w:val="center"/>
            <w:shd w:fill="F5F7F9"/>
            <w:tcMar>
              <w:top w:w="70" w:type="dxa"/>
              <w:left w:w="70" w:type="dxa"/>
              <w:bottom w:w="70" w:type="dxa"/>
              <w:right w:w="70" w:type="dxa"/>
            </w:tcMar>
          </w:tcPr>
          <w:p>
            <w:pPr>
              <w:spacing w:after="20" w:line="240" w:lineRule="auto"/>
            </w:pPr>
            <w:r>
              <w:rPr>
                <w:b w:val="0"/>
                <w:sz w:val="20"/>
              </w:rPr>
              <w:t>Lowered curbs</w:t>
            </w:r>
          </w:p>
        </w:tc>
        <w:tc>
          <w:tcPr>
            <w:tcW w:type="dxa" w:w="1728"/>
            <w:vAlign w:val="center"/>
            <w:shd w:fill="F5F7F9"/>
            <w:tcMar>
              <w:top w:w="70" w:type="dxa"/>
              <w:left w:w="70" w:type="dxa"/>
              <w:bottom w:w="70" w:type="dxa"/>
              <w:right w:w="70" w:type="dxa"/>
            </w:tcMar>
          </w:tcPr>
          <w:p>
            <w:pPr>
              <w:spacing w:after="20" w:line="240" w:lineRule="auto"/>
            </w:pPr>
            <w:r>
              <w:rPr>
                <w:b w:val="0"/>
                <w:sz w:val="20"/>
              </w:rPr>
              <w:t>378</w:t>
            </w:r>
          </w:p>
        </w:tc>
      </w:tr>
      <w:tr>
        <w:trPr>
          <w:cantSplit/>
        </w:trPr>
        <w:tc>
          <w:tcPr>
            <w:tcW w:type="dxa" w:w="3024"/>
            <w:vAlign w:val="center"/>
            <w:shd w:fill="FFFFFF"/>
            <w:tcMar>
              <w:top w:w="70" w:type="dxa"/>
              <w:left w:w="70" w:type="dxa"/>
              <w:bottom w:w="70" w:type="dxa"/>
              <w:right w:w="70" w:type="dxa"/>
            </w:tcMar>
          </w:tcPr>
          <w:p>
            <w:pPr>
              <w:spacing w:after="20" w:line="240" w:lineRule="auto"/>
            </w:pPr>
            <w:r>
              <w:rPr>
                <w:b w:val="0"/>
                <w:sz w:val="20"/>
              </w:rPr>
              <w:t>Raised_Curbs</w:t>
            </w:r>
          </w:p>
        </w:tc>
        <w:tc>
          <w:tcPr>
            <w:tcW w:type="dxa" w:w="5242"/>
            <w:vAlign w:val="center"/>
            <w:shd w:fill="FFFFFF"/>
            <w:tcMar>
              <w:top w:w="70" w:type="dxa"/>
              <w:left w:w="70" w:type="dxa"/>
              <w:bottom w:w="70" w:type="dxa"/>
              <w:right w:w="70" w:type="dxa"/>
            </w:tcMar>
          </w:tcPr>
          <w:p>
            <w:pPr>
              <w:spacing w:after="20" w:line="240" w:lineRule="auto"/>
            </w:pPr>
            <w:r>
              <w:rPr>
                <w:b w:val="0"/>
                <w:sz w:val="20"/>
              </w:rPr>
              <w:t>Raised curbs</w:t>
            </w:r>
          </w:p>
        </w:tc>
        <w:tc>
          <w:tcPr>
            <w:tcW w:type="dxa" w:w="1728"/>
            <w:vAlign w:val="center"/>
            <w:shd w:fill="FFFFFF"/>
            <w:tcMar>
              <w:top w:w="70" w:type="dxa"/>
              <w:left w:w="70" w:type="dxa"/>
              <w:bottom w:w="70" w:type="dxa"/>
              <w:right w:w="70" w:type="dxa"/>
            </w:tcMar>
          </w:tcPr>
          <w:p>
            <w:pPr>
              <w:spacing w:after="20" w:line="240" w:lineRule="auto"/>
            </w:pPr>
            <w:r>
              <w:rPr>
                <w:b w:val="0"/>
                <w:sz w:val="20"/>
              </w:rPr>
              <w:t>154</w:t>
            </w:r>
          </w:p>
        </w:tc>
      </w:tr>
      <w:tr>
        <w:trPr>
          <w:cantSplit/>
        </w:trPr>
        <w:tc>
          <w:tcPr>
            <w:tcW w:type="dxa" w:w="3024"/>
            <w:vAlign w:val="center"/>
            <w:shd w:fill="F5F7F9"/>
            <w:tcMar>
              <w:top w:w="70" w:type="dxa"/>
              <w:left w:w="70" w:type="dxa"/>
              <w:bottom w:w="70" w:type="dxa"/>
              <w:right w:w="70" w:type="dxa"/>
            </w:tcMar>
          </w:tcPr>
          <w:p>
            <w:pPr>
              <w:spacing w:after="20" w:line="240" w:lineRule="auto"/>
            </w:pPr>
            <w:r>
              <w:rPr>
                <w:b w:val="0"/>
                <w:sz w:val="20"/>
              </w:rPr>
              <w:t>Signalized_Crossings</w:t>
            </w:r>
          </w:p>
        </w:tc>
        <w:tc>
          <w:tcPr>
            <w:tcW w:type="dxa" w:w="5242"/>
            <w:vAlign w:val="center"/>
            <w:shd w:fill="F5F7F9"/>
            <w:tcMar>
              <w:top w:w="70" w:type="dxa"/>
              <w:left w:w="70" w:type="dxa"/>
              <w:bottom w:w="70" w:type="dxa"/>
              <w:right w:w="70" w:type="dxa"/>
            </w:tcMar>
          </w:tcPr>
          <w:p>
            <w:pPr>
              <w:spacing w:after="20" w:line="240" w:lineRule="auto"/>
            </w:pPr>
            <w:r>
              <w:rPr>
                <w:b w:val="0"/>
                <w:sz w:val="20"/>
              </w:rPr>
              <w:t>Signalised crossings</w:t>
            </w:r>
          </w:p>
        </w:tc>
        <w:tc>
          <w:tcPr>
            <w:tcW w:type="dxa" w:w="1728"/>
            <w:vAlign w:val="center"/>
            <w:shd w:fill="F5F7F9"/>
            <w:tcMar>
              <w:top w:w="70" w:type="dxa"/>
              <w:left w:w="70" w:type="dxa"/>
              <w:bottom w:w="70" w:type="dxa"/>
              <w:right w:w="70" w:type="dxa"/>
            </w:tcMar>
          </w:tcPr>
          <w:p>
            <w:pPr>
              <w:spacing w:after="20" w:line="240" w:lineRule="auto"/>
            </w:pPr>
            <w:r>
              <w:rPr>
                <w:b w:val="0"/>
                <w:sz w:val="20"/>
              </w:rPr>
              <w:t>4,261</w:t>
            </w:r>
          </w:p>
        </w:tc>
      </w:tr>
      <w:tr>
        <w:trPr>
          <w:cantSplit/>
        </w:trPr>
        <w:tc>
          <w:tcPr>
            <w:tcW w:type="dxa" w:w="3024"/>
            <w:vAlign w:val="center"/>
            <w:shd w:fill="FFFFFF"/>
            <w:tcMar>
              <w:top w:w="70" w:type="dxa"/>
              <w:left w:w="70" w:type="dxa"/>
              <w:bottom w:w="70" w:type="dxa"/>
              <w:right w:w="70" w:type="dxa"/>
            </w:tcMar>
          </w:tcPr>
          <w:p>
            <w:pPr>
              <w:spacing w:after="20" w:line="240" w:lineRule="auto"/>
            </w:pPr>
            <w:r>
              <w:rPr>
                <w:b w:val="0"/>
                <w:sz w:val="20"/>
              </w:rPr>
              <w:t>Shelters</w:t>
            </w:r>
          </w:p>
        </w:tc>
        <w:tc>
          <w:tcPr>
            <w:tcW w:type="dxa" w:w="5242"/>
            <w:vAlign w:val="center"/>
            <w:shd w:fill="FFFFFF"/>
            <w:tcMar>
              <w:top w:w="70" w:type="dxa"/>
              <w:left w:w="70" w:type="dxa"/>
              <w:bottom w:w="70" w:type="dxa"/>
              <w:right w:w="70" w:type="dxa"/>
            </w:tcMar>
          </w:tcPr>
          <w:p>
            <w:pPr>
              <w:spacing w:after="20" w:line="240" w:lineRule="auto"/>
            </w:pPr>
            <w:r>
              <w:rPr>
                <w:b w:val="0"/>
                <w:sz w:val="20"/>
              </w:rPr>
              <w:t>Shelters</w:t>
            </w:r>
          </w:p>
        </w:tc>
        <w:tc>
          <w:tcPr>
            <w:tcW w:type="dxa" w:w="1728"/>
            <w:vAlign w:val="center"/>
            <w:shd w:fill="FFFFFF"/>
            <w:tcMar>
              <w:top w:w="70" w:type="dxa"/>
              <w:left w:w="70" w:type="dxa"/>
              <w:bottom w:w="70" w:type="dxa"/>
              <w:right w:w="70" w:type="dxa"/>
            </w:tcMar>
          </w:tcPr>
          <w:p>
            <w:pPr>
              <w:spacing w:after="20" w:line="240" w:lineRule="auto"/>
            </w:pPr>
            <w:r>
              <w:rPr>
                <w:b w:val="0"/>
                <w:sz w:val="20"/>
              </w:rPr>
              <w:t>70</w:t>
            </w:r>
          </w:p>
        </w:tc>
      </w:tr>
      <w:tr>
        <w:trPr>
          <w:cantSplit/>
        </w:trPr>
        <w:tc>
          <w:tcPr>
            <w:tcW w:type="dxa" w:w="3024"/>
            <w:vAlign w:val="center"/>
            <w:shd w:fill="F5F7F9"/>
            <w:tcMar>
              <w:top w:w="70" w:type="dxa"/>
              <w:left w:w="70" w:type="dxa"/>
              <w:bottom w:w="70" w:type="dxa"/>
              <w:right w:w="70" w:type="dxa"/>
            </w:tcMar>
          </w:tcPr>
          <w:p>
            <w:pPr>
              <w:spacing w:after="20" w:line="240" w:lineRule="auto"/>
            </w:pPr>
            <w:r>
              <w:rPr>
                <w:b w:val="0"/>
                <w:sz w:val="20"/>
              </w:rPr>
              <w:t>Benches</w:t>
            </w:r>
          </w:p>
        </w:tc>
        <w:tc>
          <w:tcPr>
            <w:tcW w:type="dxa" w:w="5242"/>
            <w:vAlign w:val="center"/>
            <w:shd w:fill="F5F7F9"/>
            <w:tcMar>
              <w:top w:w="70" w:type="dxa"/>
              <w:left w:w="70" w:type="dxa"/>
              <w:bottom w:w="70" w:type="dxa"/>
              <w:right w:w="70" w:type="dxa"/>
            </w:tcMar>
          </w:tcPr>
          <w:p>
            <w:pPr>
              <w:spacing w:after="20" w:line="240" w:lineRule="auto"/>
            </w:pPr>
            <w:r>
              <w:rPr>
                <w:b w:val="0"/>
                <w:sz w:val="20"/>
              </w:rPr>
              <w:t>Benches</w:t>
            </w:r>
          </w:p>
        </w:tc>
        <w:tc>
          <w:tcPr>
            <w:tcW w:type="dxa" w:w="1728"/>
            <w:vAlign w:val="center"/>
            <w:shd w:fill="F5F7F9"/>
            <w:tcMar>
              <w:top w:w="70" w:type="dxa"/>
              <w:left w:w="70" w:type="dxa"/>
              <w:bottom w:w="70" w:type="dxa"/>
              <w:right w:w="70" w:type="dxa"/>
            </w:tcMar>
          </w:tcPr>
          <w:p>
            <w:pPr>
              <w:spacing w:after="20" w:line="240" w:lineRule="auto"/>
            </w:pPr>
            <w:r>
              <w:rPr>
                <w:b w:val="0"/>
                <w:sz w:val="20"/>
              </w:rPr>
              <w:t>5,643</w:t>
            </w:r>
          </w:p>
        </w:tc>
      </w:tr>
      <w:tr>
        <w:trPr>
          <w:cantSplit/>
        </w:trPr>
        <w:tc>
          <w:tcPr>
            <w:tcW w:type="dxa" w:w="3024"/>
            <w:vAlign w:val="center"/>
            <w:shd w:fill="FFFFFF"/>
            <w:tcMar>
              <w:top w:w="70" w:type="dxa"/>
              <w:left w:w="70" w:type="dxa"/>
              <w:bottom w:w="70" w:type="dxa"/>
              <w:right w:w="70" w:type="dxa"/>
            </w:tcMar>
          </w:tcPr>
          <w:p>
            <w:pPr>
              <w:spacing w:after="20" w:line="240" w:lineRule="auto"/>
            </w:pPr>
            <w:r>
              <w:rPr>
                <w:b w:val="0"/>
                <w:sz w:val="20"/>
              </w:rPr>
              <w:t>Stuttgart_Municipality</w:t>
            </w:r>
          </w:p>
        </w:tc>
        <w:tc>
          <w:tcPr>
            <w:tcW w:type="dxa" w:w="5242"/>
            <w:vAlign w:val="center"/>
            <w:shd w:fill="FFFFFF"/>
            <w:tcMar>
              <w:top w:w="70" w:type="dxa"/>
              <w:left w:w="70" w:type="dxa"/>
              <w:bottom w:w="70" w:type="dxa"/>
              <w:right w:w="70" w:type="dxa"/>
            </w:tcMar>
          </w:tcPr>
          <w:p>
            <w:pPr>
              <w:spacing w:after="20" w:line="240" w:lineRule="auto"/>
            </w:pPr>
            <w:r>
              <w:rPr>
                <w:b w:val="0"/>
                <w:sz w:val="20"/>
              </w:rPr>
              <w:t>Municipal boundary</w:t>
            </w:r>
          </w:p>
        </w:tc>
        <w:tc>
          <w:tcPr>
            <w:tcW w:type="dxa" w:w="1728"/>
            <w:vAlign w:val="center"/>
            <w:shd w:fill="FFFFFF"/>
            <w:tcMar>
              <w:top w:w="70" w:type="dxa"/>
              <w:left w:w="70" w:type="dxa"/>
              <w:bottom w:w="70" w:type="dxa"/>
              <w:right w:w="70" w:type="dxa"/>
            </w:tcMar>
          </w:tcPr>
          <w:p>
            <w:pPr>
              <w:spacing w:after="20" w:line="240" w:lineRule="auto"/>
            </w:pPr>
            <w:r>
              <w:rPr>
                <w:b w:val="0"/>
                <w:sz w:val="20"/>
              </w:rPr>
              <w:t>1</w:t>
            </w:r>
          </w:p>
        </w:tc>
      </w:tr>
    </w:tbl>
    <w:p>
      <w:pPr>
        <w:spacing w:after="20"/>
      </w:pPr>
    </w:p>
    <w:p>
      <w:r>
        <w:t>The seven thematic layers are views or separate tables of the same segment dataset. Their feature counts must not be added to the size of the main network. Stair points and lines representing stairs describe different geometry types and must not be treated as equivalent either.</w:t>
      </w:r>
    </w:p>
    <w:p>
      <w:r>
        <w:br w:type="page"/>
      </w:r>
    </w:p>
    <w:p>
      <w:pPr>
        <w:pStyle w:val="Heading1"/>
      </w:pPr>
      <w:r>
        <w:t>3 Using the maps and tables</w:t>
      </w:r>
    </w:p>
    <w:p>
      <w:pPr>
        <w:pStyle w:val="Heading2"/>
      </w:pPr>
      <w:r>
        <w:t>Opening the project</w:t>
      </w:r>
    </w:p>
    <w:p>
      <w:r>
        <w:t>Extract the entire package into a common folder, then open the QGZ file in QGIS. Keep the relative arrangement of the associated GPKG file and the style and symbol folders. Opening the project preserves the prepared layer structure and appearance. Loading only the GPKG requires the user to select the layers individually.</w:t>
      </w:r>
    </w:p>
    <w:p>
      <w:r>
        <w:t>The package QGZ identifies QGIS 3.44.13 as the version that saved it. This records the saved project state but does not guarantee compatibility with every other version. Processing during the project used QGIS and Python, together with GDAL/OGR, GeoPandas, Shapely, NumPy and pandas. UTCI was calculated with pythermalcomfort. [1, 2, 10, 12]</w:t>
      </w:r>
    </w:p>
    <w:p>
      <w:pPr>
        <w:pStyle w:val="Heading2"/>
      </w:pPr>
      <w:r>
        <w:t>Comparing individual themes</w:t>
      </w:r>
    </w:p>
    <w:p>
      <w:r>
        <w:t>For a clear comparison, display one thematic line layer at a time. The legend describes that layer’s rendering. Several visible line layers can obscure one another. Additional points, such as elevators or benches, can be displayed independently.</w:t>
      </w:r>
    </w:p>
    <w:p>
      <w:r>
        <w:t>The map legend may divide numerical values more finely than the stored class field. For example, the shade map uses more colour intervals than the four regular shade classes. This finer rendering does not change the stored measured or modelled values. A statistical analysis must therefore specify whether it uses the numerical field or the class variable.</w:t>
      </w:r>
    </w:p>
    <w:p>
      <w:pPr>
        <w:pStyle w:val="Heading2"/>
      </w:pPr>
      <w:r>
        <w:t>Reading attributes correctly</w:t>
      </w:r>
    </w:p>
    <w:p>
      <w:r>
        <w:t>In the main network, atlas_id is a unique identifier within this dataset. All 69,769 segments have distinct, non-empty values. osm_id refers to the original OSM object; several segments may share that object. Uniqueness in the current dataset does not by itself guarantee a persistent identity after future segmentation changes.</w:t>
      </w:r>
    </w:p>
    <w:p>
      <w:r>
        <w:t>The tables place identifiers and identity fields before the principal results. These are followed by thematic details, additional OSM information, and provenance and verification fields. Layer names and display aliases are English. Proper names and original source values may still contain other languages. An empty value, often called NULL in GIS, is not a numerical zero and must not be interpreted as 0.</w:t>
      </w:r>
    </w:p>
    <w:p>
      <w:r>
        <w:t>The osm_data_date field contains 30 August 2026 throughout the main network. It identifies the documented OSM enrichment date. It does not mean that all network geometries, buildings, trees and environmental data were newly surveyed on that date. [1]</w:t>
      </w:r>
    </w:p>
    <w:p>
      <w:r>
        <w:br w:type="page"/>
      </w:r>
    </w:p>
    <w:p>
      <w:pPr>
        <w:pStyle w:val="Heading1"/>
      </w:pPr>
      <w:r>
        <w:t>4 Slope and surface</w:t>
      </w:r>
    </w:p>
    <w:p>
      <w:pPr>
        <w:pStyle w:val="Heading2"/>
      </w:pPr>
      <w:r>
        <w:t>Longitudinal slope</w:t>
      </w:r>
    </w:p>
    <w:p>
      <w:r>
        <w:t>The basic calculation uses the elevation difference between a segment’s start and end points and its horizontal line length. A rise of 5 metres over 100 metres corresponds to 5 percent. Elevations come from the LGL DGM1. This terrain model represents the ground without vegetation and buildings. On bridges, in tunnels or inside buildings, the actual walking surface may differ from the modelled terrain. [2, 4]</w:t>
      </w:r>
    </w:p>
    <w:p>
      <w:r>
        <w:t>The endpoint method describes the mean net elevation change over a segment. It can conceal an intermediate climb followed by a descent. The displayed arrow follows the calculated uphill direction, not a prescribed direction of travel. Cases that have been corrected or treated as unreliable require separate consideration.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5242"/>
        <w:gridCol w:w="1728"/>
      </w:tblGrid>
      <w:tr>
        <w:trPr>
          <w:cantSplit/>
          <w:tblHeader/>
        </w:trPr>
        <w:tc>
          <w:tcPr>
            <w:tcW w:type="dxa" w:w="3024"/>
            <w:vAlign w:val="center"/>
            <w:shd w:fill="DCE6EF"/>
            <w:tcMar>
              <w:top w:w="70" w:type="dxa"/>
              <w:left w:w="70" w:type="dxa"/>
              <w:bottom w:w="70" w:type="dxa"/>
              <w:right w:w="70" w:type="dxa"/>
            </w:tcMar>
          </w:tcPr>
          <w:p>
            <w:pPr>
              <w:spacing w:after="20" w:line="240" w:lineRule="auto"/>
            </w:pPr>
            <w:r>
              <w:rPr>
                <w:b/>
                <w:sz w:val="20"/>
              </w:rPr>
              <w:t>Stored class</w:t>
            </w:r>
          </w:p>
        </w:tc>
        <w:tc>
          <w:tcPr>
            <w:tcW w:type="dxa" w:w="5242"/>
            <w:vAlign w:val="center"/>
            <w:shd w:fill="DCE6EF"/>
            <w:tcMar>
              <w:top w:w="70" w:type="dxa"/>
              <w:left w:w="70" w:type="dxa"/>
              <w:bottom w:w="70" w:type="dxa"/>
              <w:right w:w="70" w:type="dxa"/>
            </w:tcMar>
          </w:tcPr>
          <w:p>
            <w:pPr>
              <w:spacing w:after="20" w:line="240" w:lineRule="auto"/>
            </w:pPr>
            <w:r>
              <w:rPr>
                <w:b/>
                <w:sz w:val="20"/>
              </w:rPr>
              <w:t>Interpretation</w:t>
            </w:r>
          </w:p>
        </w:tc>
        <w:tc>
          <w:tcPr>
            <w:tcW w:type="dxa" w:w="1728"/>
            <w:vAlign w:val="center"/>
            <w:shd w:fill="DCE6EF"/>
            <w:tcMar>
              <w:top w:w="70" w:type="dxa"/>
              <w:left w:w="70" w:type="dxa"/>
              <w:bottom w:w="70" w:type="dxa"/>
              <w:right w:w="70" w:type="dxa"/>
            </w:tcMar>
          </w:tcPr>
          <w:p>
            <w:pPr>
              <w:spacing w:after="20" w:line="240" w:lineRule="auto"/>
            </w:pPr>
            <w:r>
              <w:rPr>
                <w:b/>
                <w:sz w:val="20"/>
              </w:rPr>
              <w:t>Segments</w:t>
            </w:r>
          </w:p>
        </w:tc>
      </w:tr>
      <w:tr>
        <w:trPr>
          <w:cantSplit/>
        </w:trPr>
        <w:tc>
          <w:tcPr>
            <w:tcW w:type="dxa" w:w="3024"/>
            <w:vAlign w:val="center"/>
            <w:shd w:fill="FFFFFF"/>
            <w:tcMar>
              <w:top w:w="70" w:type="dxa"/>
              <w:left w:w="70" w:type="dxa"/>
              <w:bottom w:w="70" w:type="dxa"/>
              <w:right w:w="70" w:type="dxa"/>
            </w:tcMar>
          </w:tcPr>
          <w:p>
            <w:pPr>
              <w:spacing w:after="20" w:line="240" w:lineRule="auto"/>
            </w:pPr>
            <w:r>
              <w:rPr>
                <w:b w:val="0"/>
                <w:sz w:val="20"/>
              </w:rPr>
              <w:t>flat</w:t>
            </w:r>
          </w:p>
        </w:tc>
        <w:tc>
          <w:tcPr>
            <w:tcW w:type="dxa" w:w="5242"/>
            <w:vAlign w:val="center"/>
            <w:shd w:fill="FFFFFF"/>
            <w:tcMar>
              <w:top w:w="70" w:type="dxa"/>
              <w:left w:w="70" w:type="dxa"/>
              <w:bottom w:w="70" w:type="dxa"/>
              <w:right w:w="70" w:type="dxa"/>
            </w:tcMar>
          </w:tcPr>
          <w:p>
            <w:pPr>
              <w:spacing w:after="20" w:line="240" w:lineRule="auto"/>
            </w:pPr>
            <w:r>
              <w:rPr>
                <w:b w:val="0"/>
                <w:sz w:val="20"/>
              </w:rPr>
              <w:t>Flat</w:t>
            </w:r>
          </w:p>
        </w:tc>
        <w:tc>
          <w:tcPr>
            <w:tcW w:type="dxa" w:w="1728"/>
            <w:vAlign w:val="center"/>
            <w:shd w:fill="FFFFFF"/>
            <w:tcMar>
              <w:top w:w="70" w:type="dxa"/>
              <w:left w:w="70" w:type="dxa"/>
              <w:bottom w:w="70" w:type="dxa"/>
              <w:right w:w="70" w:type="dxa"/>
            </w:tcMar>
          </w:tcPr>
          <w:p>
            <w:pPr>
              <w:spacing w:after="20" w:line="240" w:lineRule="auto"/>
            </w:pPr>
            <w:r>
              <w:rPr>
                <w:b w:val="0"/>
                <w:sz w:val="20"/>
              </w:rPr>
              <w:t>41,695</w:t>
            </w:r>
          </w:p>
        </w:tc>
      </w:tr>
      <w:tr>
        <w:trPr>
          <w:cantSplit/>
        </w:trPr>
        <w:tc>
          <w:tcPr>
            <w:tcW w:type="dxa" w:w="3024"/>
            <w:vAlign w:val="center"/>
            <w:shd w:fill="F5F7F9"/>
            <w:tcMar>
              <w:top w:w="70" w:type="dxa"/>
              <w:left w:w="70" w:type="dxa"/>
              <w:bottom w:w="70" w:type="dxa"/>
              <w:right w:w="70" w:type="dxa"/>
            </w:tcMar>
          </w:tcPr>
          <w:p>
            <w:pPr>
              <w:spacing w:after="20" w:line="240" w:lineRule="auto"/>
            </w:pPr>
            <w:r>
              <w:rPr>
                <w:b w:val="0"/>
                <w:sz w:val="20"/>
              </w:rPr>
              <w:t>moderate</w:t>
            </w:r>
          </w:p>
        </w:tc>
        <w:tc>
          <w:tcPr>
            <w:tcW w:type="dxa" w:w="5242"/>
            <w:vAlign w:val="center"/>
            <w:shd w:fill="F5F7F9"/>
            <w:tcMar>
              <w:top w:w="70" w:type="dxa"/>
              <w:left w:w="70" w:type="dxa"/>
              <w:bottom w:w="70" w:type="dxa"/>
              <w:right w:w="70" w:type="dxa"/>
            </w:tcMar>
          </w:tcPr>
          <w:p>
            <w:pPr>
              <w:spacing w:after="20" w:line="240" w:lineRule="auto"/>
            </w:pPr>
            <w:r>
              <w:rPr>
                <w:b w:val="0"/>
                <w:sz w:val="20"/>
              </w:rPr>
              <w:t>Moderate</w:t>
            </w:r>
          </w:p>
        </w:tc>
        <w:tc>
          <w:tcPr>
            <w:tcW w:type="dxa" w:w="1728"/>
            <w:vAlign w:val="center"/>
            <w:shd w:fill="F5F7F9"/>
            <w:tcMar>
              <w:top w:w="70" w:type="dxa"/>
              <w:left w:w="70" w:type="dxa"/>
              <w:bottom w:w="70" w:type="dxa"/>
              <w:right w:w="70" w:type="dxa"/>
            </w:tcMar>
          </w:tcPr>
          <w:p>
            <w:pPr>
              <w:spacing w:after="20" w:line="240" w:lineRule="auto"/>
            </w:pPr>
            <w:r>
              <w:rPr>
                <w:b w:val="0"/>
                <w:sz w:val="20"/>
              </w:rPr>
              <w:t>13,685</w:t>
            </w:r>
          </w:p>
        </w:tc>
      </w:tr>
      <w:tr>
        <w:trPr>
          <w:cantSplit/>
        </w:trPr>
        <w:tc>
          <w:tcPr>
            <w:tcW w:type="dxa" w:w="3024"/>
            <w:vAlign w:val="center"/>
            <w:shd w:fill="FFFFFF"/>
            <w:tcMar>
              <w:top w:w="70" w:type="dxa"/>
              <w:left w:w="70" w:type="dxa"/>
              <w:bottom w:w="70" w:type="dxa"/>
              <w:right w:w="70" w:type="dxa"/>
            </w:tcMar>
          </w:tcPr>
          <w:p>
            <w:pPr>
              <w:spacing w:after="20" w:line="240" w:lineRule="auto"/>
            </w:pPr>
            <w:r>
              <w:rPr>
                <w:b w:val="0"/>
                <w:sz w:val="20"/>
              </w:rPr>
              <w:t>steep</w:t>
            </w:r>
          </w:p>
        </w:tc>
        <w:tc>
          <w:tcPr>
            <w:tcW w:type="dxa" w:w="5242"/>
            <w:vAlign w:val="center"/>
            <w:shd w:fill="FFFFFF"/>
            <w:tcMar>
              <w:top w:w="70" w:type="dxa"/>
              <w:left w:w="70" w:type="dxa"/>
              <w:bottom w:w="70" w:type="dxa"/>
              <w:right w:w="70" w:type="dxa"/>
            </w:tcMar>
          </w:tcPr>
          <w:p>
            <w:pPr>
              <w:spacing w:after="20" w:line="240" w:lineRule="auto"/>
            </w:pPr>
            <w:r>
              <w:rPr>
                <w:b w:val="0"/>
                <w:sz w:val="20"/>
              </w:rPr>
              <w:t>Steep</w:t>
            </w:r>
          </w:p>
        </w:tc>
        <w:tc>
          <w:tcPr>
            <w:tcW w:type="dxa" w:w="1728"/>
            <w:vAlign w:val="center"/>
            <w:shd w:fill="FFFFFF"/>
            <w:tcMar>
              <w:top w:w="70" w:type="dxa"/>
              <w:left w:w="70" w:type="dxa"/>
              <w:bottom w:w="70" w:type="dxa"/>
              <w:right w:w="70" w:type="dxa"/>
            </w:tcMar>
          </w:tcPr>
          <w:p>
            <w:pPr>
              <w:spacing w:after="20" w:line="240" w:lineRule="auto"/>
            </w:pPr>
            <w:r>
              <w:rPr>
                <w:b w:val="0"/>
                <w:sz w:val="20"/>
              </w:rPr>
              <w:t>6,315</w:t>
            </w:r>
          </w:p>
        </w:tc>
      </w:tr>
      <w:tr>
        <w:trPr>
          <w:cantSplit/>
        </w:trPr>
        <w:tc>
          <w:tcPr>
            <w:tcW w:type="dxa" w:w="3024"/>
            <w:vAlign w:val="center"/>
            <w:shd w:fill="F5F7F9"/>
            <w:tcMar>
              <w:top w:w="70" w:type="dxa"/>
              <w:left w:w="70" w:type="dxa"/>
              <w:bottom w:w="70" w:type="dxa"/>
              <w:right w:w="70" w:type="dxa"/>
            </w:tcMar>
          </w:tcPr>
          <w:p>
            <w:pPr>
              <w:spacing w:after="20" w:line="240" w:lineRule="auto"/>
            </w:pPr>
            <w:r>
              <w:rPr>
                <w:b w:val="0"/>
                <w:sz w:val="20"/>
              </w:rPr>
              <w:t>very_steep</w:t>
            </w:r>
          </w:p>
        </w:tc>
        <w:tc>
          <w:tcPr>
            <w:tcW w:type="dxa" w:w="5242"/>
            <w:vAlign w:val="center"/>
            <w:shd w:fill="F5F7F9"/>
            <w:tcMar>
              <w:top w:w="70" w:type="dxa"/>
              <w:left w:w="70" w:type="dxa"/>
              <w:bottom w:w="70" w:type="dxa"/>
              <w:right w:w="70" w:type="dxa"/>
            </w:tcMar>
          </w:tcPr>
          <w:p>
            <w:pPr>
              <w:spacing w:after="20" w:line="240" w:lineRule="auto"/>
            </w:pPr>
            <w:r>
              <w:rPr>
                <w:b w:val="0"/>
                <w:sz w:val="20"/>
              </w:rPr>
              <w:t>Very steep</w:t>
            </w:r>
          </w:p>
        </w:tc>
        <w:tc>
          <w:tcPr>
            <w:tcW w:type="dxa" w:w="1728"/>
            <w:vAlign w:val="center"/>
            <w:shd w:fill="F5F7F9"/>
            <w:tcMar>
              <w:top w:w="70" w:type="dxa"/>
              <w:left w:w="70" w:type="dxa"/>
              <w:bottom w:w="70" w:type="dxa"/>
              <w:right w:w="70" w:type="dxa"/>
            </w:tcMar>
          </w:tcPr>
          <w:p>
            <w:pPr>
              <w:spacing w:after="20" w:line="240" w:lineRule="auto"/>
            </w:pPr>
            <w:r>
              <w:rPr>
                <w:b w:val="0"/>
                <w:sz w:val="20"/>
              </w:rPr>
              <w:t>8,066</w:t>
            </w:r>
          </w:p>
        </w:tc>
      </w:tr>
      <w:tr>
        <w:trPr>
          <w:cantSplit/>
        </w:trPr>
        <w:tc>
          <w:tcPr>
            <w:tcW w:type="dxa" w:w="3024"/>
            <w:vAlign w:val="center"/>
            <w:shd w:fill="FFFFFF"/>
            <w:tcMar>
              <w:top w:w="70" w:type="dxa"/>
              <w:left w:w="70" w:type="dxa"/>
              <w:bottom w:w="70" w:type="dxa"/>
              <w:right w:w="70" w:type="dxa"/>
            </w:tcMar>
          </w:tcPr>
          <w:p>
            <w:pPr>
              <w:spacing w:after="20" w:line="240" w:lineRule="auto"/>
            </w:pPr>
            <w:r>
              <w:rPr>
                <w:b w:val="0"/>
                <w:sz w:val="20"/>
              </w:rPr>
              <w:t>no_data</w:t>
            </w:r>
          </w:p>
        </w:tc>
        <w:tc>
          <w:tcPr>
            <w:tcW w:type="dxa" w:w="5242"/>
            <w:vAlign w:val="center"/>
            <w:shd w:fill="FFFFFF"/>
            <w:tcMar>
              <w:top w:w="70" w:type="dxa"/>
              <w:left w:w="70" w:type="dxa"/>
              <w:bottom w:w="70" w:type="dxa"/>
              <w:right w:w="70" w:type="dxa"/>
            </w:tcMar>
          </w:tcPr>
          <w:p>
            <w:pPr>
              <w:spacing w:after="20" w:line="240" w:lineRule="auto"/>
            </w:pPr>
            <w:r>
              <w:rPr>
                <w:b w:val="0"/>
                <w:sz w:val="20"/>
              </w:rPr>
              <w:t>No data</w:t>
            </w:r>
          </w:p>
        </w:tc>
        <w:tc>
          <w:tcPr>
            <w:tcW w:type="dxa" w:w="1728"/>
            <w:vAlign w:val="center"/>
            <w:shd w:fill="FFFFFF"/>
            <w:tcMar>
              <w:top w:w="70" w:type="dxa"/>
              <w:left w:w="70" w:type="dxa"/>
              <w:bottom w:w="70" w:type="dxa"/>
              <w:right w:w="70" w:type="dxa"/>
            </w:tcMar>
          </w:tcPr>
          <w:p>
            <w:pPr>
              <w:spacing w:after="20" w:line="240" w:lineRule="auto"/>
            </w:pPr>
            <w:r>
              <w:rPr>
                <w:b w:val="0"/>
                <w:sz w:val="20"/>
              </w:rPr>
              <w:t>8</w:t>
            </w:r>
          </w:p>
        </w:tc>
      </w:tr>
    </w:tbl>
    <w:p>
      <w:pPr>
        <w:spacing w:after="20"/>
      </w:pPr>
    </w:p>
    <w:p>
      <w:r>
        <w:t>The classification thresholds are 3, 6 and 10 percent. The table counts stored classes rather than reporting a new standards compliance assessment. A total of 138 segments contain slope values above 60 percent, with a maximum of 4,095.16 percent. These values require review before producing reliable slope statistics. The extreme values, in particular, must not be interpreted as plausible longitudinal slopes. [1]</w:t>
      </w:r>
    </w:p>
    <w:p>
      <w:pPr>
        <w:pStyle w:val="Heading2"/>
      </w:pPr>
      <w:r>
        <w:t>Surface information</w:t>
      </w:r>
    </w:p>
    <w:p>
      <w:r>
        <w:t>The surface class is derived from the OSM surface attribute. For example, asphalt and concrete are assigned to good, certain paving types and compacted surfaces to medium, and loose or unpaved materials to poor. This is a project-specific grouping. It does not fully describe maintenance condition, unevenness, wetness or actual usability by wheeled mobility aids. [2, 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2880"/>
        <w:gridCol w:w="4090"/>
      </w:tblGrid>
      <w:tr>
        <w:trPr>
          <w:cantSplit/>
          <w:tblHeader/>
        </w:trPr>
        <w:tc>
          <w:tcPr>
            <w:tcW w:type="dxa" w:w="3024"/>
            <w:vAlign w:val="center"/>
            <w:shd w:fill="DCE6EF"/>
            <w:tcMar>
              <w:top w:w="70" w:type="dxa"/>
              <w:left w:w="70" w:type="dxa"/>
              <w:bottom w:w="70" w:type="dxa"/>
              <w:right w:w="70" w:type="dxa"/>
            </w:tcMar>
          </w:tcPr>
          <w:p>
            <w:pPr>
              <w:spacing w:after="20" w:line="240" w:lineRule="auto"/>
            </w:pPr>
            <w:r>
              <w:rPr>
                <w:b/>
                <w:sz w:val="20"/>
              </w:rPr>
              <w:t>Class</w:t>
            </w:r>
          </w:p>
        </w:tc>
        <w:tc>
          <w:tcPr>
            <w:tcW w:type="dxa" w:w="2880"/>
            <w:vAlign w:val="center"/>
            <w:shd w:fill="DCE6EF"/>
            <w:tcMar>
              <w:top w:w="70" w:type="dxa"/>
              <w:left w:w="70" w:type="dxa"/>
              <w:bottom w:w="70" w:type="dxa"/>
              <w:right w:w="70" w:type="dxa"/>
            </w:tcMar>
          </w:tcPr>
          <w:p>
            <w:pPr>
              <w:spacing w:after="20" w:line="240" w:lineRule="auto"/>
            </w:pPr>
            <w:r>
              <w:rPr>
                <w:b/>
                <w:sz w:val="20"/>
              </w:rPr>
              <w:t>Segments</w:t>
            </w:r>
          </w:p>
        </w:tc>
        <w:tc>
          <w:tcPr>
            <w:tcW w:type="dxa" w:w="4090"/>
            <w:vAlign w:val="center"/>
            <w:shd w:fill="DCE6EF"/>
            <w:tcMar>
              <w:top w:w="70" w:type="dxa"/>
              <w:left w:w="70" w:type="dxa"/>
              <w:bottom w:w="70" w:type="dxa"/>
              <w:right w:w="70" w:type="dxa"/>
            </w:tcMar>
          </w:tcPr>
          <w:p>
            <w:pPr>
              <w:spacing w:after="20" w:line="240" w:lineRule="auto"/>
            </w:pPr>
            <w:r>
              <w:rPr>
                <w:b/>
                <w:sz w:val="20"/>
              </w:rPr>
              <w:t>Share of the main network</w:t>
            </w:r>
          </w:p>
        </w:tc>
      </w:tr>
      <w:tr>
        <w:trPr>
          <w:cantSplit/>
        </w:trPr>
        <w:tc>
          <w:tcPr>
            <w:tcW w:type="dxa" w:w="3024"/>
            <w:vAlign w:val="center"/>
            <w:shd w:fill="FFFFFF"/>
            <w:tcMar>
              <w:top w:w="70" w:type="dxa"/>
              <w:left w:w="70" w:type="dxa"/>
              <w:bottom w:w="70" w:type="dxa"/>
              <w:right w:w="70" w:type="dxa"/>
            </w:tcMar>
          </w:tcPr>
          <w:p>
            <w:pPr>
              <w:spacing w:after="20" w:line="240" w:lineRule="auto"/>
            </w:pPr>
            <w:r>
              <w:rPr>
                <w:b w:val="0"/>
                <w:sz w:val="20"/>
              </w:rPr>
              <w:t>good</w:t>
            </w:r>
          </w:p>
        </w:tc>
        <w:tc>
          <w:tcPr>
            <w:tcW w:type="dxa" w:w="2880"/>
            <w:vAlign w:val="center"/>
            <w:shd w:fill="FFFFFF"/>
            <w:tcMar>
              <w:top w:w="70" w:type="dxa"/>
              <w:left w:w="70" w:type="dxa"/>
              <w:bottom w:w="70" w:type="dxa"/>
              <w:right w:w="70" w:type="dxa"/>
            </w:tcMar>
          </w:tcPr>
          <w:p>
            <w:pPr>
              <w:spacing w:after="20" w:line="240" w:lineRule="auto"/>
            </w:pPr>
            <w:r>
              <w:rPr>
                <w:b w:val="0"/>
                <w:sz w:val="20"/>
              </w:rPr>
              <w:t>21,981</w:t>
            </w:r>
          </w:p>
        </w:tc>
        <w:tc>
          <w:tcPr>
            <w:tcW w:type="dxa" w:w="4090"/>
            <w:vAlign w:val="center"/>
            <w:shd w:fill="FFFFFF"/>
            <w:tcMar>
              <w:top w:w="70" w:type="dxa"/>
              <w:left w:w="70" w:type="dxa"/>
              <w:bottom w:w="70" w:type="dxa"/>
              <w:right w:w="70" w:type="dxa"/>
            </w:tcMar>
          </w:tcPr>
          <w:p>
            <w:pPr>
              <w:spacing w:after="20" w:line="240" w:lineRule="auto"/>
            </w:pPr>
            <w:r>
              <w:rPr>
                <w:b w:val="0"/>
                <w:sz w:val="20"/>
              </w:rPr>
              <w:t>31.5%</w:t>
            </w:r>
          </w:p>
        </w:tc>
      </w:tr>
      <w:tr>
        <w:trPr>
          <w:cantSplit/>
        </w:trPr>
        <w:tc>
          <w:tcPr>
            <w:tcW w:type="dxa" w:w="3024"/>
            <w:vAlign w:val="center"/>
            <w:shd w:fill="F5F7F9"/>
            <w:tcMar>
              <w:top w:w="70" w:type="dxa"/>
              <w:left w:w="70" w:type="dxa"/>
              <w:bottom w:w="70" w:type="dxa"/>
              <w:right w:w="70" w:type="dxa"/>
            </w:tcMar>
          </w:tcPr>
          <w:p>
            <w:pPr>
              <w:spacing w:after="20" w:line="240" w:lineRule="auto"/>
            </w:pPr>
            <w:r>
              <w:rPr>
                <w:b w:val="0"/>
                <w:sz w:val="20"/>
              </w:rPr>
              <w:t>medium</w:t>
            </w:r>
          </w:p>
        </w:tc>
        <w:tc>
          <w:tcPr>
            <w:tcW w:type="dxa" w:w="2880"/>
            <w:vAlign w:val="center"/>
            <w:shd w:fill="F5F7F9"/>
            <w:tcMar>
              <w:top w:w="70" w:type="dxa"/>
              <w:left w:w="70" w:type="dxa"/>
              <w:bottom w:w="70" w:type="dxa"/>
              <w:right w:w="70" w:type="dxa"/>
            </w:tcMar>
          </w:tcPr>
          <w:p>
            <w:pPr>
              <w:spacing w:after="20" w:line="240" w:lineRule="auto"/>
            </w:pPr>
            <w:r>
              <w:rPr>
                <w:b w:val="0"/>
                <w:sz w:val="20"/>
              </w:rPr>
              <w:t>14,122</w:t>
            </w:r>
          </w:p>
        </w:tc>
        <w:tc>
          <w:tcPr>
            <w:tcW w:type="dxa" w:w="4090"/>
            <w:vAlign w:val="center"/>
            <w:shd w:fill="F5F7F9"/>
            <w:tcMar>
              <w:top w:w="70" w:type="dxa"/>
              <w:left w:w="70" w:type="dxa"/>
              <w:bottom w:w="70" w:type="dxa"/>
              <w:right w:w="70" w:type="dxa"/>
            </w:tcMar>
          </w:tcPr>
          <w:p>
            <w:pPr>
              <w:spacing w:after="20" w:line="240" w:lineRule="auto"/>
            </w:pPr>
            <w:r>
              <w:rPr>
                <w:b w:val="0"/>
                <w:sz w:val="20"/>
              </w:rPr>
              <w:t>20.2%</w:t>
            </w:r>
          </w:p>
        </w:tc>
      </w:tr>
      <w:tr>
        <w:trPr>
          <w:cantSplit/>
        </w:trPr>
        <w:tc>
          <w:tcPr>
            <w:tcW w:type="dxa" w:w="3024"/>
            <w:vAlign w:val="center"/>
            <w:shd w:fill="FFFFFF"/>
            <w:tcMar>
              <w:top w:w="70" w:type="dxa"/>
              <w:left w:w="70" w:type="dxa"/>
              <w:bottom w:w="70" w:type="dxa"/>
              <w:right w:w="70" w:type="dxa"/>
            </w:tcMar>
          </w:tcPr>
          <w:p>
            <w:pPr>
              <w:spacing w:after="20" w:line="240" w:lineRule="auto"/>
            </w:pPr>
            <w:r>
              <w:rPr>
                <w:b w:val="0"/>
                <w:sz w:val="20"/>
              </w:rPr>
              <w:t>poor</w:t>
            </w:r>
          </w:p>
        </w:tc>
        <w:tc>
          <w:tcPr>
            <w:tcW w:type="dxa" w:w="2880"/>
            <w:vAlign w:val="center"/>
            <w:shd w:fill="FFFFFF"/>
            <w:tcMar>
              <w:top w:w="70" w:type="dxa"/>
              <w:left w:w="70" w:type="dxa"/>
              <w:bottom w:w="70" w:type="dxa"/>
              <w:right w:w="70" w:type="dxa"/>
            </w:tcMar>
          </w:tcPr>
          <w:p>
            <w:pPr>
              <w:spacing w:after="20" w:line="240" w:lineRule="auto"/>
            </w:pPr>
            <w:r>
              <w:rPr>
                <w:b w:val="0"/>
                <w:sz w:val="20"/>
              </w:rPr>
              <w:t>4,047</w:t>
            </w:r>
          </w:p>
        </w:tc>
        <w:tc>
          <w:tcPr>
            <w:tcW w:type="dxa" w:w="4090"/>
            <w:vAlign w:val="center"/>
            <w:shd w:fill="FFFFFF"/>
            <w:tcMar>
              <w:top w:w="70" w:type="dxa"/>
              <w:left w:w="70" w:type="dxa"/>
              <w:bottom w:w="70" w:type="dxa"/>
              <w:right w:w="70" w:type="dxa"/>
            </w:tcMar>
          </w:tcPr>
          <w:p>
            <w:pPr>
              <w:spacing w:after="20" w:line="240" w:lineRule="auto"/>
            </w:pPr>
            <w:r>
              <w:rPr>
                <w:b w:val="0"/>
                <w:sz w:val="20"/>
              </w:rPr>
              <w:t>5.8%</w:t>
            </w:r>
          </w:p>
        </w:tc>
      </w:tr>
      <w:tr>
        <w:trPr>
          <w:cantSplit/>
        </w:trPr>
        <w:tc>
          <w:tcPr>
            <w:tcW w:type="dxa" w:w="3024"/>
            <w:vAlign w:val="center"/>
            <w:shd w:fill="F5F7F9"/>
            <w:tcMar>
              <w:top w:w="70" w:type="dxa"/>
              <w:left w:w="70" w:type="dxa"/>
              <w:bottom w:w="70" w:type="dxa"/>
              <w:right w:w="70" w:type="dxa"/>
            </w:tcMar>
          </w:tcPr>
          <w:p>
            <w:pPr>
              <w:spacing w:after="20" w:line="240" w:lineRule="auto"/>
            </w:pPr>
            <w:r>
              <w:rPr>
                <w:b w:val="0"/>
                <w:sz w:val="20"/>
              </w:rPr>
              <w:t>unknown</w:t>
            </w:r>
          </w:p>
        </w:tc>
        <w:tc>
          <w:tcPr>
            <w:tcW w:type="dxa" w:w="2880"/>
            <w:vAlign w:val="center"/>
            <w:shd w:fill="F5F7F9"/>
            <w:tcMar>
              <w:top w:w="70" w:type="dxa"/>
              <w:left w:w="70" w:type="dxa"/>
              <w:bottom w:w="70" w:type="dxa"/>
              <w:right w:w="70" w:type="dxa"/>
            </w:tcMar>
          </w:tcPr>
          <w:p>
            <w:pPr>
              <w:spacing w:after="20" w:line="240" w:lineRule="auto"/>
            </w:pPr>
            <w:r>
              <w:rPr>
                <w:b w:val="0"/>
                <w:sz w:val="20"/>
              </w:rPr>
              <w:t>29,619</w:t>
            </w:r>
          </w:p>
        </w:tc>
        <w:tc>
          <w:tcPr>
            <w:tcW w:type="dxa" w:w="4090"/>
            <w:vAlign w:val="center"/>
            <w:shd w:fill="F5F7F9"/>
            <w:tcMar>
              <w:top w:w="70" w:type="dxa"/>
              <w:left w:w="70" w:type="dxa"/>
              <w:bottom w:w="70" w:type="dxa"/>
              <w:right w:w="70" w:type="dxa"/>
            </w:tcMar>
          </w:tcPr>
          <w:p>
            <w:pPr>
              <w:spacing w:after="20" w:line="240" w:lineRule="auto"/>
            </w:pPr>
            <w:r>
              <w:rPr>
                <w:b w:val="0"/>
                <w:sz w:val="20"/>
              </w:rPr>
              <w:t>42.5%</w:t>
            </w:r>
          </w:p>
        </w:tc>
      </w:tr>
    </w:tbl>
    <w:p>
      <w:pPr>
        <w:spacing w:after="20"/>
      </w:pPr>
    </w:p>
    <w:p>
      <w:r>
        <w:br w:type="page"/>
      </w:r>
    </w:p>
    <w:p>
      <w:pPr>
        <w:pStyle w:val="Heading1"/>
      </w:pPr>
      <w:r>
        <w:t>5 Summer and winter shade</w:t>
      </w:r>
    </w:p>
    <w:p>
      <w:r>
        <w:t>The shade model projects shadows from buildings and, in summer, individual trees onto the network lines. It calculates the shaded proportion of line length. This value describes neither the full width of a footway nor the time a person spends there. The calculation is a geometric approximation for the selected solar positions. [2] Historical solar-time calculations are approximate; see methods/METHOD_REVIEW.md.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3557"/>
        <w:gridCol w:w="3557"/>
      </w:tblGrid>
      <w:tr>
        <w:trPr>
          <w:cantSplit/>
          <w:tblHeader/>
        </w:trPr>
        <w:tc>
          <w:tcPr>
            <w:tcW w:type="dxa" w:w="2880"/>
            <w:vAlign w:val="center"/>
            <w:shd w:fill="DCE6EF"/>
            <w:tcMar>
              <w:top w:w="70" w:type="dxa"/>
              <w:left w:w="70" w:type="dxa"/>
              <w:bottom w:w="70" w:type="dxa"/>
              <w:right w:w="70" w:type="dxa"/>
            </w:tcMar>
          </w:tcPr>
          <w:p>
            <w:pPr>
              <w:spacing w:after="20" w:line="240" w:lineRule="auto"/>
            </w:pPr>
            <w:r>
              <w:rPr>
                <w:b/>
                <w:sz w:val="20"/>
              </w:rPr>
              <w:t>Model setting</w:t>
            </w:r>
          </w:p>
        </w:tc>
        <w:tc>
          <w:tcPr>
            <w:tcW w:type="dxa" w:w="3557"/>
            <w:vAlign w:val="center"/>
            <w:shd w:fill="DCE6EF"/>
            <w:tcMar>
              <w:top w:w="70" w:type="dxa"/>
              <w:left w:w="70" w:type="dxa"/>
              <w:bottom w:w="70" w:type="dxa"/>
              <w:right w:w="70" w:type="dxa"/>
            </w:tcMar>
          </w:tcPr>
          <w:p>
            <w:pPr>
              <w:spacing w:after="20" w:line="240" w:lineRule="auto"/>
            </w:pPr>
            <w:r>
              <w:rPr>
                <w:b/>
                <w:sz w:val="20"/>
              </w:rPr>
              <w:t>Summer</w:t>
            </w:r>
          </w:p>
        </w:tc>
        <w:tc>
          <w:tcPr>
            <w:tcW w:type="dxa" w:w="3557"/>
            <w:vAlign w:val="center"/>
            <w:shd w:fill="DCE6EF"/>
            <w:tcMar>
              <w:top w:w="70" w:type="dxa"/>
              <w:left w:w="70" w:type="dxa"/>
              <w:bottom w:w="70" w:type="dxa"/>
              <w:right w:w="70" w:type="dxa"/>
            </w:tcMar>
          </w:tcPr>
          <w:p>
            <w:pPr>
              <w:spacing w:after="20" w:line="240" w:lineRule="auto"/>
            </w:pPr>
            <w:r>
              <w:rPr>
                <w:b/>
                <w:sz w:val="20"/>
              </w:rPr>
              <w:t>Winter</w:t>
            </w:r>
          </w:p>
        </w:tc>
      </w:tr>
      <w:tr>
        <w:trPr>
          <w:cantSplit/>
        </w:trPr>
        <w:tc>
          <w:tcPr>
            <w:tcW w:type="dxa" w:w="2880"/>
            <w:vAlign w:val="center"/>
            <w:shd w:fill="FFFFFF"/>
            <w:tcMar>
              <w:top w:w="70" w:type="dxa"/>
              <w:left w:w="70" w:type="dxa"/>
              <w:bottom w:w="70" w:type="dxa"/>
              <w:right w:w="70" w:type="dxa"/>
            </w:tcMar>
          </w:tcPr>
          <w:p>
            <w:pPr>
              <w:spacing w:after="20" w:line="240" w:lineRule="auto"/>
            </w:pPr>
            <w:r>
              <w:rPr>
                <w:b w:val="0"/>
                <w:sz w:val="20"/>
              </w:rPr>
              <w:t>Reference day</w:t>
            </w:r>
          </w:p>
        </w:tc>
        <w:tc>
          <w:tcPr>
            <w:tcW w:type="dxa" w:w="3557"/>
            <w:vAlign w:val="center"/>
            <w:shd w:fill="FFFFFF"/>
            <w:tcMar>
              <w:top w:w="70" w:type="dxa"/>
              <w:left w:w="70" w:type="dxa"/>
              <w:bottom w:w="70" w:type="dxa"/>
              <w:right w:w="70" w:type="dxa"/>
            </w:tcMar>
          </w:tcPr>
          <w:p>
            <w:pPr>
              <w:spacing w:after="20" w:line="240" w:lineRule="auto"/>
            </w:pPr>
            <w:r>
              <w:rPr>
                <w:b w:val="0"/>
                <w:sz w:val="20"/>
              </w:rPr>
              <w:t>21 June</w:t>
            </w:r>
          </w:p>
        </w:tc>
        <w:tc>
          <w:tcPr>
            <w:tcW w:type="dxa" w:w="3557"/>
            <w:vAlign w:val="center"/>
            <w:shd w:fill="FFFFFF"/>
            <w:tcMar>
              <w:top w:w="70" w:type="dxa"/>
              <w:left w:w="70" w:type="dxa"/>
              <w:bottom w:w="70" w:type="dxa"/>
              <w:right w:w="70" w:type="dxa"/>
            </w:tcMar>
          </w:tcPr>
          <w:p>
            <w:pPr>
              <w:spacing w:after="20" w:line="240" w:lineRule="auto"/>
            </w:pPr>
            <w:r>
              <w:rPr>
                <w:b w:val="0"/>
                <w:sz w:val="20"/>
              </w:rPr>
              <w:t>21 December</w:t>
            </w:r>
          </w:p>
        </w:tc>
      </w:tr>
      <w:tr>
        <w:trPr>
          <w:cantSplit/>
        </w:trPr>
        <w:tc>
          <w:tcPr>
            <w:tcW w:type="dxa" w:w="2880"/>
            <w:vAlign w:val="center"/>
            <w:shd w:fill="F5F7F9"/>
            <w:tcMar>
              <w:top w:w="70" w:type="dxa"/>
              <w:left w:w="70" w:type="dxa"/>
              <w:bottom w:w="70" w:type="dxa"/>
              <w:right w:w="70" w:type="dxa"/>
            </w:tcMar>
          </w:tcPr>
          <w:p>
            <w:pPr>
              <w:spacing w:after="20" w:line="240" w:lineRule="auto"/>
            </w:pPr>
            <w:r>
              <w:rPr>
                <w:b w:val="0"/>
                <w:sz w:val="20"/>
              </w:rPr>
              <w:t>Times included in the mean</w:t>
            </w:r>
          </w:p>
        </w:tc>
        <w:tc>
          <w:tcPr>
            <w:tcW w:type="dxa" w:w="3557"/>
            <w:vAlign w:val="center"/>
            <w:shd w:fill="F5F7F9"/>
            <w:tcMar>
              <w:top w:w="70" w:type="dxa"/>
              <w:left w:w="70" w:type="dxa"/>
              <w:bottom w:w="70" w:type="dxa"/>
              <w:right w:w="70" w:type="dxa"/>
            </w:tcMar>
          </w:tcPr>
          <w:p>
            <w:pPr>
              <w:spacing w:after="20" w:line="240" w:lineRule="auto"/>
            </w:pPr>
            <w:r>
              <w:rPr>
                <w:b w:val="0"/>
                <w:sz w:val="20"/>
              </w:rPr>
              <w:t>08:00, 10:00, 12:00, 14:00, 16:00, 18:00</w:t>
            </w:r>
          </w:p>
        </w:tc>
        <w:tc>
          <w:tcPr>
            <w:tcW w:type="dxa" w:w="3557"/>
            <w:vAlign w:val="center"/>
            <w:shd w:fill="F5F7F9"/>
            <w:tcMar>
              <w:top w:w="70" w:type="dxa"/>
              <w:left w:w="70" w:type="dxa"/>
              <w:bottom w:w="70" w:type="dxa"/>
              <w:right w:w="70" w:type="dxa"/>
            </w:tcMar>
          </w:tcPr>
          <w:p>
            <w:pPr>
              <w:spacing w:after="20" w:line="240" w:lineRule="auto"/>
            </w:pPr>
            <w:r>
              <w:rPr>
                <w:b w:val="0"/>
                <w:sz w:val="20"/>
              </w:rPr>
              <w:t>10:00, 12:00, 14:00, 16:00</w:t>
            </w:r>
          </w:p>
        </w:tc>
      </w:tr>
      <w:tr>
        <w:trPr>
          <w:cantSplit/>
        </w:trPr>
        <w:tc>
          <w:tcPr>
            <w:tcW w:type="dxa" w:w="2880"/>
            <w:vAlign w:val="center"/>
            <w:shd w:fill="FFFFFF"/>
            <w:tcMar>
              <w:top w:w="70" w:type="dxa"/>
              <w:left w:w="70" w:type="dxa"/>
              <w:bottom w:w="70" w:type="dxa"/>
              <w:right w:w="70" w:type="dxa"/>
            </w:tcMar>
          </w:tcPr>
          <w:p>
            <w:pPr>
              <w:spacing w:after="20" w:line="240" w:lineRule="auto"/>
            </w:pPr>
            <w:r>
              <w:rPr>
                <w:b w:val="0"/>
                <w:sz w:val="20"/>
              </w:rPr>
              <w:t>Time reference</w:t>
            </w:r>
          </w:p>
        </w:tc>
        <w:tc>
          <w:tcPr>
            <w:tcW w:type="dxa" w:w="3557"/>
            <w:vAlign w:val="center"/>
            <w:shd w:fill="FFFFFF"/>
            <w:tcMar>
              <w:top w:w="70" w:type="dxa"/>
              <w:left w:w="70" w:type="dxa"/>
              <w:bottom w:w="70" w:type="dxa"/>
              <w:right w:w="70" w:type="dxa"/>
            </w:tcMar>
          </w:tcPr>
          <w:p>
            <w:pPr>
              <w:spacing w:after="20" w:line="240" w:lineRule="auto"/>
            </w:pPr>
            <w:r>
              <w:rPr>
                <w:b w:val="0"/>
                <w:sz w:val="20"/>
              </w:rPr>
              <w:t>CEST</w:t>
            </w:r>
          </w:p>
        </w:tc>
        <w:tc>
          <w:tcPr>
            <w:tcW w:type="dxa" w:w="3557"/>
            <w:vAlign w:val="center"/>
            <w:shd w:fill="FFFFFF"/>
            <w:tcMar>
              <w:top w:w="70" w:type="dxa"/>
              <w:left w:w="70" w:type="dxa"/>
              <w:bottom w:w="70" w:type="dxa"/>
              <w:right w:w="70" w:type="dxa"/>
            </w:tcMar>
          </w:tcPr>
          <w:p>
            <w:pPr>
              <w:spacing w:after="20" w:line="240" w:lineRule="auto"/>
            </w:pPr>
            <w:r>
              <w:rPr>
                <w:b w:val="0"/>
                <w:sz w:val="20"/>
              </w:rPr>
              <w:t>CET</w:t>
            </w:r>
          </w:p>
        </w:tc>
      </w:tr>
      <w:tr>
        <w:trPr>
          <w:cantSplit/>
        </w:trPr>
        <w:tc>
          <w:tcPr>
            <w:tcW w:type="dxa" w:w="2880"/>
            <w:vAlign w:val="center"/>
            <w:shd w:fill="F5F7F9"/>
            <w:tcMar>
              <w:top w:w="70" w:type="dxa"/>
              <w:left w:w="70" w:type="dxa"/>
              <w:bottom w:w="70" w:type="dxa"/>
              <w:right w:w="70" w:type="dxa"/>
            </w:tcMar>
          </w:tcPr>
          <w:p>
            <w:pPr>
              <w:spacing w:after="20" w:line="240" w:lineRule="auto"/>
            </w:pPr>
            <w:r>
              <w:rPr>
                <w:b w:val="0"/>
                <w:sz w:val="20"/>
              </w:rPr>
              <w:t>Shadow-casting objects</w:t>
            </w:r>
          </w:p>
        </w:tc>
        <w:tc>
          <w:tcPr>
            <w:tcW w:type="dxa" w:w="3557"/>
            <w:vAlign w:val="center"/>
            <w:shd w:fill="F5F7F9"/>
            <w:tcMar>
              <w:top w:w="70" w:type="dxa"/>
              <w:left w:w="70" w:type="dxa"/>
              <w:bottom w:w="70" w:type="dxa"/>
              <w:right w:w="70" w:type="dxa"/>
            </w:tcMar>
          </w:tcPr>
          <w:p>
            <w:pPr>
              <w:spacing w:after="20" w:line="240" w:lineRule="auto"/>
            </w:pPr>
            <w:r>
              <w:rPr>
                <w:b w:val="0"/>
                <w:sz w:val="20"/>
              </w:rPr>
              <w:t>Buildings and individual trees</w:t>
            </w:r>
          </w:p>
        </w:tc>
        <w:tc>
          <w:tcPr>
            <w:tcW w:type="dxa" w:w="3557"/>
            <w:vAlign w:val="center"/>
            <w:shd w:fill="F5F7F9"/>
            <w:tcMar>
              <w:top w:w="70" w:type="dxa"/>
              <w:left w:w="70" w:type="dxa"/>
              <w:bottom w:w="70" w:type="dxa"/>
              <w:right w:w="70" w:type="dxa"/>
            </w:tcMar>
          </w:tcPr>
          <w:p>
            <w:pPr>
              <w:spacing w:after="20" w:line="240" w:lineRule="auto"/>
            </w:pPr>
            <w:r>
              <w:rPr>
                <w:b w:val="0"/>
                <w:sz w:val="20"/>
              </w:rPr>
              <w:t>Buildings</w:t>
            </w:r>
          </w:p>
        </w:tc>
      </w:tr>
      <w:tr>
        <w:trPr>
          <w:cantSplit/>
        </w:trPr>
        <w:tc>
          <w:tcPr>
            <w:tcW w:type="dxa" w:w="2880"/>
            <w:vAlign w:val="center"/>
            <w:shd w:fill="FFFFFF"/>
            <w:tcMar>
              <w:top w:w="70" w:type="dxa"/>
              <w:left w:w="70" w:type="dxa"/>
              <w:bottom w:w="70" w:type="dxa"/>
              <w:right w:w="70" w:type="dxa"/>
            </w:tcMar>
          </w:tcPr>
          <w:p>
            <w:pPr>
              <w:spacing w:after="20" w:line="240" w:lineRule="auto"/>
            </w:pPr>
            <w:r>
              <w:rPr>
                <w:b w:val="0"/>
                <w:sz w:val="20"/>
              </w:rPr>
              <w:t>Forest segments</w:t>
            </w:r>
          </w:p>
        </w:tc>
        <w:tc>
          <w:tcPr>
            <w:tcW w:type="dxa" w:w="3557"/>
            <w:vAlign w:val="center"/>
            <w:shd w:fill="FFFFFF"/>
            <w:tcMar>
              <w:top w:w="70" w:type="dxa"/>
              <w:left w:w="70" w:type="dxa"/>
              <w:bottom w:w="70" w:type="dxa"/>
              <w:right w:w="70" w:type="dxa"/>
            </w:tcMar>
          </w:tcPr>
          <w:p>
            <w:pPr>
              <w:spacing w:after="20" w:line="240" w:lineRule="auto"/>
            </w:pPr>
            <w:r>
              <w:rPr>
                <w:b w:val="0"/>
                <w:sz w:val="20"/>
              </w:rPr>
              <w:t>Separate forest class</w:t>
            </w:r>
          </w:p>
        </w:tc>
        <w:tc>
          <w:tcPr>
            <w:tcW w:type="dxa" w:w="3557"/>
            <w:vAlign w:val="center"/>
            <w:shd w:fill="FFFFFF"/>
            <w:tcMar>
              <w:top w:w="70" w:type="dxa"/>
              <w:left w:w="70" w:type="dxa"/>
              <w:bottom w:w="70" w:type="dxa"/>
              <w:right w:w="70" w:type="dxa"/>
            </w:tcMar>
          </w:tcPr>
          <w:p>
            <w:pPr>
              <w:spacing w:after="20" w:line="240" w:lineRule="auto"/>
            </w:pPr>
            <w:r>
              <w:rPr>
                <w:b w:val="0"/>
                <w:sz w:val="20"/>
              </w:rPr>
              <w:t>Separate forest class</w:t>
            </w:r>
          </w:p>
        </w:tc>
      </w:tr>
    </w:tbl>
    <w:p>
      <w:pPr>
        <w:spacing w:after="20"/>
      </w:pPr>
    </w:p>
    <w:p>
      <w:r>
        <w:t>Tree locations come from OSM. Height information was supplemented with estimates from the LGL normalised surface model nDOM1, which describes object heights above the ground. Missing building heights are represented by an assumed value of 9 metres. This assumption is not a measured building height. Incomplete tree mapping or an incorrect height can change the calculated shade proportion. [2, 3, 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3557"/>
        <w:gridCol w:w="3557"/>
      </w:tblGrid>
      <w:tr>
        <w:trPr>
          <w:cantSplit/>
          <w:tblHeader/>
        </w:trPr>
        <w:tc>
          <w:tcPr>
            <w:tcW w:type="dxa" w:w="2880"/>
            <w:vAlign w:val="center"/>
            <w:shd w:fill="DCE6EF"/>
            <w:tcMar>
              <w:top w:w="70" w:type="dxa"/>
              <w:left w:w="70" w:type="dxa"/>
              <w:bottom w:w="70" w:type="dxa"/>
              <w:right w:w="70" w:type="dxa"/>
            </w:tcMar>
          </w:tcPr>
          <w:p>
            <w:pPr>
              <w:spacing w:after="20" w:line="240" w:lineRule="auto"/>
            </w:pPr>
            <w:r>
              <w:rPr>
                <w:b/>
                <w:sz w:val="20"/>
              </w:rPr>
              <w:t>Stored class</w:t>
            </w:r>
          </w:p>
        </w:tc>
        <w:tc>
          <w:tcPr>
            <w:tcW w:type="dxa" w:w="3557"/>
            <w:vAlign w:val="center"/>
            <w:shd w:fill="DCE6EF"/>
            <w:tcMar>
              <w:top w:w="70" w:type="dxa"/>
              <w:left w:w="70" w:type="dxa"/>
              <w:bottom w:w="70" w:type="dxa"/>
              <w:right w:w="70" w:type="dxa"/>
            </w:tcMar>
          </w:tcPr>
          <w:p>
            <w:pPr>
              <w:spacing w:after="20" w:line="240" w:lineRule="auto"/>
            </w:pPr>
            <w:r>
              <w:rPr>
                <w:b/>
                <w:sz w:val="20"/>
              </w:rPr>
              <w:t>Summer</w:t>
            </w:r>
          </w:p>
        </w:tc>
        <w:tc>
          <w:tcPr>
            <w:tcW w:type="dxa" w:w="3557"/>
            <w:vAlign w:val="center"/>
            <w:shd w:fill="DCE6EF"/>
            <w:tcMar>
              <w:top w:w="70" w:type="dxa"/>
              <w:left w:w="70" w:type="dxa"/>
              <w:bottom w:w="70" w:type="dxa"/>
              <w:right w:w="70" w:type="dxa"/>
            </w:tcMar>
          </w:tcPr>
          <w:p>
            <w:pPr>
              <w:spacing w:after="20" w:line="240" w:lineRule="auto"/>
            </w:pPr>
            <w:r>
              <w:rPr>
                <w:b/>
                <w:sz w:val="20"/>
              </w:rPr>
              <w:t>Winter</w:t>
            </w:r>
          </w:p>
        </w:tc>
      </w:tr>
      <w:tr>
        <w:trPr>
          <w:cantSplit/>
        </w:trPr>
        <w:tc>
          <w:tcPr>
            <w:tcW w:type="dxa" w:w="2880"/>
            <w:vAlign w:val="center"/>
            <w:shd w:fill="FFFFFF"/>
            <w:tcMar>
              <w:top w:w="70" w:type="dxa"/>
              <w:left w:w="70" w:type="dxa"/>
              <w:bottom w:w="70" w:type="dxa"/>
              <w:right w:w="70" w:type="dxa"/>
            </w:tcMar>
          </w:tcPr>
          <w:p>
            <w:pPr>
              <w:spacing w:after="20" w:line="240" w:lineRule="auto"/>
            </w:pPr>
            <w:r>
              <w:rPr>
                <w:b w:val="0"/>
                <w:sz w:val="20"/>
              </w:rPr>
              <w:t>none</w:t>
            </w:r>
          </w:p>
        </w:tc>
        <w:tc>
          <w:tcPr>
            <w:tcW w:type="dxa" w:w="3557"/>
            <w:vAlign w:val="center"/>
            <w:shd w:fill="FFFFFF"/>
            <w:tcMar>
              <w:top w:w="70" w:type="dxa"/>
              <w:left w:w="70" w:type="dxa"/>
              <w:bottom w:w="70" w:type="dxa"/>
              <w:right w:w="70" w:type="dxa"/>
            </w:tcMar>
          </w:tcPr>
          <w:p>
            <w:pPr>
              <w:spacing w:after="20" w:line="240" w:lineRule="auto"/>
            </w:pPr>
            <w:r>
              <w:rPr>
                <w:b w:val="0"/>
                <w:sz w:val="20"/>
              </w:rPr>
              <w:t>30,355</w:t>
            </w:r>
          </w:p>
        </w:tc>
        <w:tc>
          <w:tcPr>
            <w:tcW w:type="dxa" w:w="3557"/>
            <w:vAlign w:val="center"/>
            <w:shd w:fill="FFFFFF"/>
            <w:tcMar>
              <w:top w:w="70" w:type="dxa"/>
              <w:left w:w="70" w:type="dxa"/>
              <w:bottom w:w="70" w:type="dxa"/>
              <w:right w:w="70" w:type="dxa"/>
            </w:tcMar>
          </w:tcPr>
          <w:p>
            <w:pPr>
              <w:spacing w:after="20" w:line="240" w:lineRule="auto"/>
            </w:pPr>
            <w:r>
              <w:rPr>
                <w:b w:val="0"/>
                <w:sz w:val="20"/>
              </w:rPr>
              <w:t>20,908</w:t>
            </w:r>
          </w:p>
        </w:tc>
      </w:tr>
      <w:tr>
        <w:trPr>
          <w:cantSplit/>
        </w:trPr>
        <w:tc>
          <w:tcPr>
            <w:tcW w:type="dxa" w:w="2880"/>
            <w:vAlign w:val="center"/>
            <w:shd w:fill="F5F7F9"/>
            <w:tcMar>
              <w:top w:w="70" w:type="dxa"/>
              <w:left w:w="70" w:type="dxa"/>
              <w:bottom w:w="70" w:type="dxa"/>
              <w:right w:w="70" w:type="dxa"/>
            </w:tcMar>
          </w:tcPr>
          <w:p>
            <w:pPr>
              <w:spacing w:after="20" w:line="240" w:lineRule="auto"/>
            </w:pPr>
            <w:r>
              <w:rPr>
                <w:b w:val="0"/>
                <w:sz w:val="20"/>
              </w:rPr>
              <w:t>low</w:t>
            </w:r>
          </w:p>
        </w:tc>
        <w:tc>
          <w:tcPr>
            <w:tcW w:type="dxa" w:w="3557"/>
            <w:vAlign w:val="center"/>
            <w:shd w:fill="F5F7F9"/>
            <w:tcMar>
              <w:top w:w="70" w:type="dxa"/>
              <w:left w:w="70" w:type="dxa"/>
              <w:bottom w:w="70" w:type="dxa"/>
              <w:right w:w="70" w:type="dxa"/>
            </w:tcMar>
          </w:tcPr>
          <w:p>
            <w:pPr>
              <w:spacing w:after="20" w:line="240" w:lineRule="auto"/>
            </w:pPr>
            <w:r>
              <w:rPr>
                <w:b w:val="0"/>
                <w:sz w:val="20"/>
              </w:rPr>
              <w:t>12,631</w:t>
            </w:r>
          </w:p>
        </w:tc>
        <w:tc>
          <w:tcPr>
            <w:tcW w:type="dxa" w:w="3557"/>
            <w:vAlign w:val="center"/>
            <w:shd w:fill="F5F7F9"/>
            <w:tcMar>
              <w:top w:w="70" w:type="dxa"/>
              <w:left w:w="70" w:type="dxa"/>
              <w:bottom w:w="70" w:type="dxa"/>
              <w:right w:w="70" w:type="dxa"/>
            </w:tcMar>
          </w:tcPr>
          <w:p>
            <w:pPr>
              <w:spacing w:after="20" w:line="240" w:lineRule="auto"/>
            </w:pPr>
            <w:r>
              <w:rPr>
                <w:b w:val="0"/>
                <w:sz w:val="20"/>
              </w:rPr>
              <w:t>7,644</w:t>
            </w:r>
          </w:p>
        </w:tc>
      </w:tr>
      <w:tr>
        <w:trPr>
          <w:cantSplit/>
        </w:trPr>
        <w:tc>
          <w:tcPr>
            <w:tcW w:type="dxa" w:w="2880"/>
            <w:vAlign w:val="center"/>
            <w:shd w:fill="FFFFFF"/>
            <w:tcMar>
              <w:top w:w="70" w:type="dxa"/>
              <w:left w:w="70" w:type="dxa"/>
              <w:bottom w:w="70" w:type="dxa"/>
              <w:right w:w="70" w:type="dxa"/>
            </w:tcMar>
          </w:tcPr>
          <w:p>
            <w:pPr>
              <w:spacing w:after="20" w:line="240" w:lineRule="auto"/>
            </w:pPr>
            <w:r>
              <w:rPr>
                <w:b w:val="0"/>
                <w:sz w:val="20"/>
              </w:rPr>
              <w:t>medium</w:t>
            </w:r>
          </w:p>
        </w:tc>
        <w:tc>
          <w:tcPr>
            <w:tcW w:type="dxa" w:w="3557"/>
            <w:vAlign w:val="center"/>
            <w:shd w:fill="FFFFFF"/>
            <w:tcMar>
              <w:top w:w="70" w:type="dxa"/>
              <w:left w:w="70" w:type="dxa"/>
              <w:bottom w:w="70" w:type="dxa"/>
              <w:right w:w="70" w:type="dxa"/>
            </w:tcMar>
          </w:tcPr>
          <w:p>
            <w:pPr>
              <w:spacing w:after="20" w:line="240" w:lineRule="auto"/>
            </w:pPr>
            <w:r>
              <w:rPr>
                <w:b w:val="0"/>
                <w:sz w:val="20"/>
              </w:rPr>
              <w:t>10,737</w:t>
            </w:r>
          </w:p>
        </w:tc>
        <w:tc>
          <w:tcPr>
            <w:tcW w:type="dxa" w:w="3557"/>
            <w:vAlign w:val="center"/>
            <w:shd w:fill="FFFFFF"/>
            <w:tcMar>
              <w:top w:w="70" w:type="dxa"/>
              <w:left w:w="70" w:type="dxa"/>
              <w:bottom w:w="70" w:type="dxa"/>
              <w:right w:w="70" w:type="dxa"/>
            </w:tcMar>
          </w:tcPr>
          <w:p>
            <w:pPr>
              <w:spacing w:after="20" w:line="240" w:lineRule="auto"/>
            </w:pPr>
            <w:r>
              <w:rPr>
                <w:b w:val="0"/>
                <w:sz w:val="20"/>
              </w:rPr>
              <w:t>10,309</w:t>
            </w:r>
          </w:p>
        </w:tc>
      </w:tr>
      <w:tr>
        <w:trPr>
          <w:cantSplit/>
        </w:trPr>
        <w:tc>
          <w:tcPr>
            <w:tcW w:type="dxa" w:w="2880"/>
            <w:vAlign w:val="center"/>
            <w:shd w:fill="F5F7F9"/>
            <w:tcMar>
              <w:top w:w="70" w:type="dxa"/>
              <w:left w:w="70" w:type="dxa"/>
              <w:bottom w:w="70" w:type="dxa"/>
              <w:right w:w="70" w:type="dxa"/>
            </w:tcMar>
          </w:tcPr>
          <w:p>
            <w:pPr>
              <w:spacing w:after="20" w:line="240" w:lineRule="auto"/>
            </w:pPr>
            <w:r>
              <w:rPr>
                <w:b w:val="0"/>
                <w:sz w:val="20"/>
              </w:rPr>
              <w:t>high</w:t>
            </w:r>
          </w:p>
        </w:tc>
        <w:tc>
          <w:tcPr>
            <w:tcW w:type="dxa" w:w="3557"/>
            <w:vAlign w:val="center"/>
            <w:shd w:fill="F5F7F9"/>
            <w:tcMar>
              <w:top w:w="70" w:type="dxa"/>
              <w:left w:w="70" w:type="dxa"/>
              <w:bottom w:w="70" w:type="dxa"/>
              <w:right w:w="70" w:type="dxa"/>
            </w:tcMar>
          </w:tcPr>
          <w:p>
            <w:pPr>
              <w:spacing w:after="20" w:line="240" w:lineRule="auto"/>
            </w:pPr>
            <w:r>
              <w:rPr>
                <w:b w:val="0"/>
                <w:sz w:val="20"/>
              </w:rPr>
              <w:t>9,518</w:t>
            </w:r>
          </w:p>
        </w:tc>
        <w:tc>
          <w:tcPr>
            <w:tcW w:type="dxa" w:w="3557"/>
            <w:vAlign w:val="center"/>
            <w:shd w:fill="F5F7F9"/>
            <w:tcMar>
              <w:top w:w="70" w:type="dxa"/>
              <w:left w:w="70" w:type="dxa"/>
              <w:bottom w:w="70" w:type="dxa"/>
              <w:right w:w="70" w:type="dxa"/>
            </w:tcMar>
          </w:tcPr>
          <w:p>
            <w:pPr>
              <w:spacing w:after="20" w:line="240" w:lineRule="auto"/>
            </w:pPr>
            <w:r>
              <w:rPr>
                <w:b w:val="0"/>
                <w:sz w:val="20"/>
              </w:rPr>
              <w:t>24,380</w:t>
            </w:r>
          </w:p>
        </w:tc>
      </w:tr>
      <w:tr>
        <w:trPr>
          <w:cantSplit/>
        </w:trPr>
        <w:tc>
          <w:tcPr>
            <w:tcW w:type="dxa" w:w="2880"/>
            <w:vAlign w:val="center"/>
            <w:shd w:fill="FFFFFF"/>
            <w:tcMar>
              <w:top w:w="70" w:type="dxa"/>
              <w:left w:w="70" w:type="dxa"/>
              <w:bottom w:w="70" w:type="dxa"/>
              <w:right w:w="70" w:type="dxa"/>
            </w:tcMar>
          </w:tcPr>
          <w:p>
            <w:pPr>
              <w:spacing w:after="20" w:line="240" w:lineRule="auto"/>
            </w:pPr>
            <w:r>
              <w:rPr>
                <w:b w:val="0"/>
                <w:sz w:val="20"/>
              </w:rPr>
              <w:t>forest</w:t>
            </w:r>
          </w:p>
        </w:tc>
        <w:tc>
          <w:tcPr>
            <w:tcW w:type="dxa" w:w="3557"/>
            <w:vAlign w:val="center"/>
            <w:shd w:fill="FFFFFF"/>
            <w:tcMar>
              <w:top w:w="70" w:type="dxa"/>
              <w:left w:w="70" w:type="dxa"/>
              <w:bottom w:w="70" w:type="dxa"/>
              <w:right w:w="70" w:type="dxa"/>
            </w:tcMar>
          </w:tcPr>
          <w:p>
            <w:pPr>
              <w:spacing w:after="20" w:line="240" w:lineRule="auto"/>
            </w:pPr>
            <w:r>
              <w:rPr>
                <w:b w:val="0"/>
                <w:sz w:val="20"/>
              </w:rPr>
              <w:t>6,528</w:t>
            </w:r>
          </w:p>
        </w:tc>
        <w:tc>
          <w:tcPr>
            <w:tcW w:type="dxa" w:w="3557"/>
            <w:vAlign w:val="center"/>
            <w:shd w:fill="FFFFFF"/>
            <w:tcMar>
              <w:top w:w="70" w:type="dxa"/>
              <w:left w:w="70" w:type="dxa"/>
              <w:bottom w:w="70" w:type="dxa"/>
              <w:right w:w="70" w:type="dxa"/>
            </w:tcMar>
          </w:tcPr>
          <w:p>
            <w:pPr>
              <w:spacing w:after="20" w:line="240" w:lineRule="auto"/>
            </w:pPr>
            <w:r>
              <w:rPr>
                <w:b w:val="0"/>
                <w:sz w:val="20"/>
              </w:rPr>
              <w:t>6,528</w:t>
            </w:r>
          </w:p>
        </w:tc>
      </w:tr>
    </w:tbl>
    <w:p>
      <w:pPr>
        <w:spacing w:after="20"/>
      </w:pPr>
    </w:p>
    <w:p>
      <w:r>
        <w:t>The regular class thresholds are 10, 30 and 60 percent. forest identifies a separately treated forest assignment and does not mean 100 percent calculated shade. In summer, three numerical shade values are missing in addition to the 6,528 forest assignments. The map has a separate rendering for missing values. [1]</w:t>
      </w:r>
    </w:p>
    <w:p>
      <w:r>
        <w:t>Across the available numerical segment values, the unweighted mean is 24.53 percent in summer and 43.54 percent in winter. These are means over the selected model times and segments, not all-day area averages for Stuttgart. The higher winter value is particularly associated with the lower sun angle. Clouds, changing vegetation and the full range of radiation effects are not represented. A uniform sunshine factor does not turn these results into observed everyday exposure.</w:t>
      </w:r>
    </w:p>
    <w:p>
      <w:r>
        <w:br w:type="page"/>
      </w:r>
    </w:p>
    <w:p>
      <w:pPr>
        <w:pStyle w:val="Heading1"/>
      </w:pPr>
      <w:r>
        <w:t>6 Thermal stress and wind</w:t>
      </w:r>
    </w:p>
    <w:p>
      <w:pPr>
        <w:pStyle w:val="Heading2"/>
      </w:pPr>
      <w:r>
        <w:t>UTCI as a scenario value</w:t>
      </w:r>
    </w:p>
    <w:p>
      <w:r>
        <w:t>The Universal Thermal Climate Index, or UTCI, expresses thermal stress as an equivalent temperature. It accounts for air temperature, mean radiant temperature, humidity and wind. A UTCI value in degrees Celsius is therefore not equivalent to air temperature. The atlas uses the established calculation procedure with simplified project-specific inputs. [9, 10]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44"/>
        <w:gridCol w:w="3125"/>
        <w:gridCol w:w="3125"/>
      </w:tblGrid>
      <w:tr>
        <w:trPr>
          <w:cantSplit/>
          <w:tblHeader/>
        </w:trPr>
        <w:tc>
          <w:tcPr>
            <w:tcW w:type="dxa" w:w="3744"/>
            <w:vAlign w:val="center"/>
            <w:shd w:fill="DCE6EF"/>
            <w:tcMar>
              <w:top w:w="70" w:type="dxa"/>
              <w:left w:w="70" w:type="dxa"/>
              <w:bottom w:w="70" w:type="dxa"/>
              <w:right w:w="70" w:type="dxa"/>
            </w:tcMar>
          </w:tcPr>
          <w:p>
            <w:pPr>
              <w:spacing w:after="20" w:line="240" w:lineRule="auto"/>
            </w:pPr>
            <w:r>
              <w:rPr>
                <w:b/>
                <w:sz w:val="20"/>
              </w:rPr>
              <w:t>Input</w:t>
            </w:r>
          </w:p>
        </w:tc>
        <w:tc>
          <w:tcPr>
            <w:tcW w:type="dxa" w:w="3125"/>
            <w:vAlign w:val="center"/>
            <w:shd w:fill="DCE6EF"/>
            <w:tcMar>
              <w:top w:w="70" w:type="dxa"/>
              <w:left w:w="70" w:type="dxa"/>
              <w:bottom w:w="70" w:type="dxa"/>
              <w:right w:w="70" w:type="dxa"/>
            </w:tcMar>
          </w:tcPr>
          <w:p>
            <w:pPr>
              <w:spacing w:after="20" w:line="240" w:lineRule="auto"/>
            </w:pPr>
            <w:r>
              <w:rPr>
                <w:b/>
                <w:sz w:val="20"/>
              </w:rPr>
              <w:t>Summer</w:t>
            </w:r>
          </w:p>
        </w:tc>
        <w:tc>
          <w:tcPr>
            <w:tcW w:type="dxa" w:w="3125"/>
            <w:vAlign w:val="center"/>
            <w:shd w:fill="DCE6EF"/>
            <w:tcMar>
              <w:top w:w="70" w:type="dxa"/>
              <w:left w:w="70" w:type="dxa"/>
              <w:bottom w:w="70" w:type="dxa"/>
              <w:right w:w="70" w:type="dxa"/>
            </w:tcMar>
          </w:tcPr>
          <w:p>
            <w:pPr>
              <w:spacing w:after="20" w:line="240" w:lineRule="auto"/>
            </w:pPr>
            <w:r>
              <w:rPr>
                <w:b/>
                <w:sz w:val="20"/>
              </w:rPr>
              <w:t>Winter</w:t>
            </w:r>
          </w:p>
        </w:tc>
      </w:tr>
      <w:tr>
        <w:trPr>
          <w:cantSplit/>
        </w:trPr>
        <w:tc>
          <w:tcPr>
            <w:tcW w:type="dxa" w:w="3744"/>
            <w:vAlign w:val="center"/>
            <w:shd w:fill="FFFFFF"/>
            <w:tcMar>
              <w:top w:w="70" w:type="dxa"/>
              <w:left w:w="70" w:type="dxa"/>
              <w:bottom w:w="70" w:type="dxa"/>
              <w:right w:w="70" w:type="dxa"/>
            </w:tcMar>
          </w:tcPr>
          <w:p>
            <w:pPr>
              <w:spacing w:after="20" w:line="240" w:lineRule="auto"/>
            </w:pPr>
            <w:r>
              <w:rPr>
                <w:b w:val="0"/>
                <w:sz w:val="20"/>
              </w:rPr>
              <w:t>Air temperature</w:t>
            </w:r>
          </w:p>
        </w:tc>
        <w:tc>
          <w:tcPr>
            <w:tcW w:type="dxa" w:w="3125"/>
            <w:vAlign w:val="center"/>
            <w:shd w:fill="FFFFFF"/>
            <w:tcMar>
              <w:top w:w="70" w:type="dxa"/>
              <w:left w:w="70" w:type="dxa"/>
              <w:bottom w:w="70" w:type="dxa"/>
              <w:right w:w="70" w:type="dxa"/>
            </w:tcMar>
          </w:tcPr>
          <w:p>
            <w:pPr>
              <w:spacing w:after="20" w:line="240" w:lineRule="auto"/>
            </w:pPr>
            <w:r>
              <w:rPr>
                <w:b w:val="0"/>
                <w:sz w:val="20"/>
              </w:rPr>
              <w:t>35 °C</w:t>
            </w:r>
          </w:p>
        </w:tc>
        <w:tc>
          <w:tcPr>
            <w:tcW w:type="dxa" w:w="3125"/>
            <w:vAlign w:val="center"/>
            <w:shd w:fill="FFFFFF"/>
            <w:tcMar>
              <w:top w:w="70" w:type="dxa"/>
              <w:left w:w="70" w:type="dxa"/>
              <w:bottom w:w="70" w:type="dxa"/>
              <w:right w:w="70" w:type="dxa"/>
            </w:tcMar>
          </w:tcPr>
          <w:p>
            <w:pPr>
              <w:spacing w:after="20" w:line="240" w:lineRule="auto"/>
            </w:pPr>
            <w:r>
              <w:rPr>
                <w:b w:val="0"/>
                <w:sz w:val="20"/>
              </w:rPr>
              <w:t>−5 °C</w:t>
            </w:r>
          </w:p>
        </w:tc>
      </w:tr>
      <w:tr>
        <w:trPr>
          <w:cantSplit/>
        </w:trPr>
        <w:tc>
          <w:tcPr>
            <w:tcW w:type="dxa" w:w="3744"/>
            <w:vAlign w:val="center"/>
            <w:shd w:fill="F5F7F9"/>
            <w:tcMar>
              <w:top w:w="70" w:type="dxa"/>
              <w:left w:w="70" w:type="dxa"/>
              <w:bottom w:w="70" w:type="dxa"/>
              <w:right w:w="70" w:type="dxa"/>
            </w:tcMar>
          </w:tcPr>
          <w:p>
            <w:pPr>
              <w:spacing w:after="20" w:line="240" w:lineRule="auto"/>
            </w:pPr>
            <w:r>
              <w:rPr>
                <w:b w:val="0"/>
                <w:sz w:val="20"/>
              </w:rPr>
              <w:t>Relative humidity</w:t>
            </w:r>
          </w:p>
        </w:tc>
        <w:tc>
          <w:tcPr>
            <w:tcW w:type="dxa" w:w="3125"/>
            <w:vAlign w:val="center"/>
            <w:shd w:fill="F5F7F9"/>
            <w:tcMar>
              <w:top w:w="70" w:type="dxa"/>
              <w:left w:w="70" w:type="dxa"/>
              <w:bottom w:w="70" w:type="dxa"/>
              <w:right w:w="70" w:type="dxa"/>
            </w:tcMar>
          </w:tcPr>
          <w:p>
            <w:pPr>
              <w:spacing w:after="20" w:line="240" w:lineRule="auto"/>
            </w:pPr>
            <w:r>
              <w:rPr>
                <w:b w:val="0"/>
                <w:sz w:val="20"/>
              </w:rPr>
              <w:t>35%</w:t>
            </w:r>
          </w:p>
        </w:tc>
        <w:tc>
          <w:tcPr>
            <w:tcW w:type="dxa" w:w="3125"/>
            <w:vAlign w:val="center"/>
            <w:shd w:fill="F5F7F9"/>
            <w:tcMar>
              <w:top w:w="70" w:type="dxa"/>
              <w:left w:w="70" w:type="dxa"/>
              <w:bottom w:w="70" w:type="dxa"/>
              <w:right w:w="70" w:type="dxa"/>
            </w:tcMar>
          </w:tcPr>
          <w:p>
            <w:pPr>
              <w:spacing w:after="20" w:line="240" w:lineRule="auto"/>
            </w:pPr>
            <w:r>
              <w:rPr>
                <w:b w:val="0"/>
                <w:sz w:val="20"/>
              </w:rPr>
              <w:t>80%</w:t>
            </w:r>
          </w:p>
        </w:tc>
      </w:tr>
      <w:tr>
        <w:trPr>
          <w:cantSplit/>
        </w:trPr>
        <w:tc>
          <w:tcPr>
            <w:tcW w:type="dxa" w:w="3744"/>
            <w:vAlign w:val="center"/>
            <w:shd w:fill="FFFFFF"/>
            <w:tcMar>
              <w:top w:w="70" w:type="dxa"/>
              <w:left w:w="70" w:type="dxa"/>
              <w:bottom w:w="70" w:type="dxa"/>
              <w:right w:w="70" w:type="dxa"/>
            </w:tcMar>
          </w:tcPr>
          <w:p>
            <w:pPr>
              <w:spacing w:after="20" w:line="240" w:lineRule="auto"/>
            </w:pPr>
            <w:r>
              <w:rPr>
                <w:b w:val="0"/>
                <w:sz w:val="20"/>
              </w:rPr>
              <w:t>Wind speed</w:t>
            </w:r>
          </w:p>
        </w:tc>
        <w:tc>
          <w:tcPr>
            <w:tcW w:type="dxa" w:w="3125"/>
            <w:vAlign w:val="center"/>
            <w:shd w:fill="FFFFFF"/>
            <w:tcMar>
              <w:top w:w="70" w:type="dxa"/>
              <w:left w:w="70" w:type="dxa"/>
              <w:bottom w:w="70" w:type="dxa"/>
              <w:right w:w="70" w:type="dxa"/>
            </w:tcMar>
          </w:tcPr>
          <w:p>
            <w:pPr>
              <w:spacing w:after="20" w:line="240" w:lineRule="auto"/>
            </w:pPr>
            <w:r>
              <w:rPr>
                <w:b w:val="0"/>
                <w:sz w:val="20"/>
              </w:rPr>
              <w:t>1.0 m/s</w:t>
            </w:r>
          </w:p>
        </w:tc>
        <w:tc>
          <w:tcPr>
            <w:tcW w:type="dxa" w:w="3125"/>
            <w:vAlign w:val="center"/>
            <w:shd w:fill="FFFFFF"/>
            <w:tcMar>
              <w:top w:w="70" w:type="dxa"/>
              <w:left w:w="70" w:type="dxa"/>
              <w:bottom w:w="70" w:type="dxa"/>
              <w:right w:w="70" w:type="dxa"/>
            </w:tcMar>
          </w:tcPr>
          <w:p>
            <w:pPr>
              <w:spacing w:after="20" w:line="240" w:lineRule="auto"/>
            </w:pPr>
            <w:r>
              <w:rPr>
                <w:b w:val="0"/>
                <w:sz w:val="20"/>
              </w:rPr>
              <w:t>3.0 m/s</w:t>
            </w:r>
          </w:p>
        </w:tc>
      </w:tr>
      <w:tr>
        <w:trPr>
          <w:cantSplit/>
        </w:trPr>
        <w:tc>
          <w:tcPr>
            <w:tcW w:type="dxa" w:w="3744"/>
            <w:vAlign w:val="center"/>
            <w:shd w:fill="F5F7F9"/>
            <w:tcMar>
              <w:top w:w="70" w:type="dxa"/>
              <w:left w:w="70" w:type="dxa"/>
              <w:bottom w:w="70" w:type="dxa"/>
              <w:right w:w="70" w:type="dxa"/>
            </w:tcMar>
          </w:tcPr>
          <w:p>
            <w:pPr>
              <w:spacing w:after="20" w:line="240" w:lineRule="auto"/>
            </w:pPr>
            <w:r>
              <w:rPr>
                <w:b w:val="0"/>
                <w:sz w:val="20"/>
              </w:rPr>
              <w:t>Times</w:t>
            </w:r>
          </w:p>
        </w:tc>
        <w:tc>
          <w:tcPr>
            <w:tcW w:type="dxa" w:w="3125"/>
            <w:vAlign w:val="center"/>
            <w:shd w:fill="F5F7F9"/>
            <w:tcMar>
              <w:top w:w="70" w:type="dxa"/>
              <w:left w:w="70" w:type="dxa"/>
              <w:bottom w:w="70" w:type="dxa"/>
              <w:right w:w="70" w:type="dxa"/>
            </w:tcMar>
          </w:tcPr>
          <w:p>
            <w:pPr>
              <w:spacing w:after="20" w:line="240" w:lineRule="auto"/>
            </w:pPr>
            <w:r>
              <w:rPr>
                <w:b w:val="0"/>
                <w:sz w:val="20"/>
              </w:rPr>
              <w:t>As for summer shade</w:t>
            </w:r>
          </w:p>
        </w:tc>
        <w:tc>
          <w:tcPr>
            <w:tcW w:type="dxa" w:w="3125"/>
            <w:vAlign w:val="center"/>
            <w:shd w:fill="F5F7F9"/>
            <w:tcMar>
              <w:top w:w="70" w:type="dxa"/>
              <w:left w:w="70" w:type="dxa"/>
              <w:bottom w:w="70" w:type="dxa"/>
              <w:right w:w="70" w:type="dxa"/>
            </w:tcMar>
          </w:tcPr>
          <w:p>
            <w:pPr>
              <w:spacing w:after="20" w:line="240" w:lineRule="auto"/>
            </w:pPr>
            <w:r>
              <w:rPr>
                <w:b w:val="0"/>
                <w:sz w:val="20"/>
              </w:rPr>
              <w:t>As for winter shade</w:t>
            </w:r>
          </w:p>
        </w:tc>
      </w:tr>
    </w:tbl>
    <w:p>
      <w:pPr>
        <w:spacing w:after="20"/>
      </w:pPr>
    </w:p>
    <w:p>
      <w:r>
        <w:t>Mean radiant temperature is approximated using each segment’s mean shade fraction, reused at every model time, and solar elevation. This is not an hourly radiation simulation or a local measurement. The hot and cold weather inputs are project scenarios, not verified Stuttgart temperature percentiles. Historical code and its limitations are reviewed in methods/METHOD_REVIEW.md. [2]</w:t>
      </w:r>
    </w:p>
    <w:p>
      <w:r>
        <w:t>In summer, 17,897 segments are classified as strong and 45,341 as very_strong; 6,531 values are missing. In winter, 49,410 are moderate and 13,831 strong, with 6,528 missing values. Summer labels describe heat stress and winter labels cold stress. The unweighted means of the available numerical values are 38.26 °C and −9.12 °C, respectively. These results are not forecasts for a specific date. [1]</w:t>
      </w:r>
    </w:p>
    <w:p>
      <w:pPr>
        <w:pStyle w:val="Heading2"/>
      </w:pPr>
      <w:r>
        <w:t>Relative wind index</w:t>
      </w:r>
    </w:p>
    <w:p>
      <w:r>
        <w:t>The wind index combines four components: a coarse wind raster with a weight of 35 percent, segment orientation relative to wind direction with 25 percent, relative elevation with 25 percent, and openness to surrounding buildings with 15 percent. The components are rescaled to a common range. The resulting index lies between 0 and 1. [2]</w:t>
      </w:r>
    </w:p>
    <w:p>
      <w:r>
        <w:t>The raster resolution is 1,000 metres. Its original unit and reference period are not adequately documented. The index is therefore treated as a heuristic spatial comparison, not as wind speed or a validated microclimate model. Building influence is approximated with a 100-metre buffer. Street canyons and gusts are not resolved. The index is not coupled to the UTCI calculation.</w:t>
      </w:r>
    </w:p>
    <w:p>
      <w:r>
        <w:t>The stored classes comprise 12,515 sheltered, 50,979 moderate and 6,267 exposed segments; eight values are missing. Summer and winter labels interpret the same index differently. They do not represent separate seasonal wind measurements. [1]</w:t>
      </w:r>
    </w:p>
    <w:p>
      <w:r>
        <w:br w:type="page"/>
      </w:r>
    </w:p>
    <w:p>
      <w:pPr>
        <w:pStyle w:val="Heading1"/>
      </w:pPr>
      <w:r>
        <w:t>7 Noise and additional infrastructure</w:t>
      </w:r>
    </w:p>
    <w:p>
      <w:pPr>
        <w:pStyle w:val="Heading2"/>
      </w:pPr>
      <w:r>
        <w:t>Noise information</w:t>
      </w:r>
    </w:p>
    <w:p>
      <w:r>
        <w:t>The noise attributes are based on polygon data from the City of Stuttgart for road traffic, rail traffic and industry. The documented processing assigns matching polygons to each segment’s geometric centroid. Where several polygons from one source match, the highest value is retained. The available sources are then combined logarithmically. This combination is an atlas-derived result, not a separate official map of total noise. [2, 7]</w:t>
      </w:r>
    </w:p>
    <w:p>
      <w:r>
        <w:t>Historical documentation labels the noise values as Lden, an indicator of long-term exposure with evening and night penalties. The supplied filenames contain “tag”; their exact imported indicator has not been verified. Do not interpret them as confirmed Lden or as instantaneous sound levels while walking. The Stuttgart results report describes its official calculation, including a height of 4 metres; it does not by itself identify these historical exports. [2, 7]</w:t>
      </w:r>
    </w:p>
    <w:p>
      <w:r>
        <w:t>A total of 34,523 segments have the quiet class and no overall noise level. The legend calls these cases Quiet / not mapped. They must be read as unassigned or unmapped. Without evidence of complete coverage, they do not guarantee quiet conditions or a particular level below a threshold. The remaining stored classes contain 8,226 elevated, 7,049 high, 8,601 very_high and 11,370 extreme segments. [1]</w:t>
      </w:r>
    </w:p>
    <w:p>
      <w:pPr>
        <w:pStyle w:val="Heading2"/>
      </w:pPr>
      <w:r>
        <w:t>Crossings and assistance facilities</w:t>
      </w:r>
    </w:p>
    <w:p>
      <w:r>
        <w:t>At signalised crossings, the rendering evaluates recorded information on audible signals, vibration and tactile paving. At least two positively documented features produce Good support; one positive feature produces Partial support. Three explicitly negative entries produce No documented support. All other combinations are shown as Unknown / incomplete.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488"/>
        <w:gridCol w:w="2506"/>
      </w:tblGrid>
      <w:tr>
        <w:trPr>
          <w:cantSplit/>
          <w:tblHeader/>
        </w:trPr>
        <w:tc>
          <w:tcPr>
            <w:tcW w:type="dxa" w:w="7488"/>
            <w:vAlign w:val="center"/>
            <w:shd w:fill="DCE6EF"/>
            <w:tcMar>
              <w:top w:w="70" w:type="dxa"/>
              <w:left w:w="70" w:type="dxa"/>
              <w:bottom w:w="70" w:type="dxa"/>
              <w:right w:w="70" w:type="dxa"/>
            </w:tcMar>
          </w:tcPr>
          <w:p>
            <w:pPr>
              <w:spacing w:after="20" w:line="240" w:lineRule="auto"/>
            </w:pPr>
            <w:r>
              <w:rPr>
                <w:b/>
                <w:sz w:val="20"/>
              </w:rPr>
              <w:t>Display class</w:t>
            </w:r>
          </w:p>
        </w:tc>
        <w:tc>
          <w:tcPr>
            <w:tcW w:type="dxa" w:w="2506"/>
            <w:vAlign w:val="center"/>
            <w:shd w:fill="DCE6EF"/>
            <w:tcMar>
              <w:top w:w="70" w:type="dxa"/>
              <w:left w:w="70" w:type="dxa"/>
              <w:bottom w:w="70" w:type="dxa"/>
              <w:right w:w="70" w:type="dxa"/>
            </w:tcMar>
          </w:tcPr>
          <w:p>
            <w:pPr>
              <w:spacing w:after="20" w:line="240" w:lineRule="auto"/>
            </w:pPr>
            <w:r>
              <w:rPr>
                <w:b/>
                <w:sz w:val="20"/>
              </w:rPr>
              <w:t>Crossings</w:t>
            </w:r>
          </w:p>
        </w:tc>
      </w:tr>
      <w:tr>
        <w:trPr>
          <w:cantSplit/>
        </w:trPr>
        <w:tc>
          <w:tcPr>
            <w:tcW w:type="dxa" w:w="7488"/>
            <w:vAlign w:val="center"/>
            <w:shd w:fill="FFFFFF"/>
            <w:tcMar>
              <w:top w:w="70" w:type="dxa"/>
              <w:left w:w="70" w:type="dxa"/>
              <w:bottom w:w="70" w:type="dxa"/>
              <w:right w:w="70" w:type="dxa"/>
            </w:tcMar>
          </w:tcPr>
          <w:p>
            <w:pPr>
              <w:spacing w:after="20" w:line="240" w:lineRule="auto"/>
            </w:pPr>
            <w:r>
              <w:rPr>
                <w:b w:val="0"/>
                <w:sz w:val="20"/>
              </w:rPr>
              <w:t>Good support</w:t>
            </w:r>
          </w:p>
        </w:tc>
        <w:tc>
          <w:tcPr>
            <w:tcW w:type="dxa" w:w="2506"/>
            <w:vAlign w:val="center"/>
            <w:shd w:fill="FFFFFF"/>
            <w:tcMar>
              <w:top w:w="70" w:type="dxa"/>
              <w:left w:w="70" w:type="dxa"/>
              <w:bottom w:w="70" w:type="dxa"/>
              <w:right w:w="70" w:type="dxa"/>
            </w:tcMar>
          </w:tcPr>
          <w:p>
            <w:pPr>
              <w:spacing w:after="20" w:line="240" w:lineRule="auto"/>
            </w:pPr>
            <w:r>
              <w:rPr>
                <w:b w:val="0"/>
                <w:sz w:val="20"/>
              </w:rPr>
              <w:t>702</w:t>
            </w:r>
          </w:p>
        </w:tc>
      </w:tr>
      <w:tr>
        <w:trPr>
          <w:cantSplit/>
        </w:trPr>
        <w:tc>
          <w:tcPr>
            <w:tcW w:type="dxa" w:w="7488"/>
            <w:vAlign w:val="center"/>
            <w:shd w:fill="F5F7F9"/>
            <w:tcMar>
              <w:top w:w="70" w:type="dxa"/>
              <w:left w:w="70" w:type="dxa"/>
              <w:bottom w:w="70" w:type="dxa"/>
              <w:right w:w="70" w:type="dxa"/>
            </w:tcMar>
          </w:tcPr>
          <w:p>
            <w:pPr>
              <w:spacing w:after="20" w:line="240" w:lineRule="auto"/>
            </w:pPr>
            <w:r>
              <w:rPr>
                <w:b w:val="0"/>
                <w:sz w:val="20"/>
              </w:rPr>
              <w:t>Partial support</w:t>
            </w:r>
          </w:p>
        </w:tc>
        <w:tc>
          <w:tcPr>
            <w:tcW w:type="dxa" w:w="2506"/>
            <w:vAlign w:val="center"/>
            <w:shd w:fill="F5F7F9"/>
            <w:tcMar>
              <w:top w:w="70" w:type="dxa"/>
              <w:left w:w="70" w:type="dxa"/>
              <w:bottom w:w="70" w:type="dxa"/>
              <w:right w:w="70" w:type="dxa"/>
            </w:tcMar>
          </w:tcPr>
          <w:p>
            <w:pPr>
              <w:spacing w:after="20" w:line="240" w:lineRule="auto"/>
            </w:pPr>
            <w:r>
              <w:rPr>
                <w:b w:val="0"/>
                <w:sz w:val="20"/>
              </w:rPr>
              <w:t>1,216</w:t>
            </w:r>
          </w:p>
        </w:tc>
      </w:tr>
      <w:tr>
        <w:trPr>
          <w:cantSplit/>
        </w:trPr>
        <w:tc>
          <w:tcPr>
            <w:tcW w:type="dxa" w:w="7488"/>
            <w:vAlign w:val="center"/>
            <w:shd w:fill="FFFFFF"/>
            <w:tcMar>
              <w:top w:w="70" w:type="dxa"/>
              <w:left w:w="70" w:type="dxa"/>
              <w:bottom w:w="70" w:type="dxa"/>
              <w:right w:w="70" w:type="dxa"/>
            </w:tcMar>
          </w:tcPr>
          <w:p>
            <w:pPr>
              <w:spacing w:after="20" w:line="240" w:lineRule="auto"/>
            </w:pPr>
            <w:r>
              <w:rPr>
                <w:b w:val="0"/>
                <w:sz w:val="20"/>
              </w:rPr>
              <w:t>No documented support</w:t>
            </w:r>
          </w:p>
        </w:tc>
        <w:tc>
          <w:tcPr>
            <w:tcW w:type="dxa" w:w="2506"/>
            <w:vAlign w:val="center"/>
            <w:shd w:fill="FFFFFF"/>
            <w:tcMar>
              <w:top w:w="70" w:type="dxa"/>
              <w:left w:w="70" w:type="dxa"/>
              <w:bottom w:w="70" w:type="dxa"/>
              <w:right w:w="70" w:type="dxa"/>
            </w:tcMar>
          </w:tcPr>
          <w:p>
            <w:pPr>
              <w:spacing w:after="20" w:line="240" w:lineRule="auto"/>
            </w:pPr>
            <w:r>
              <w:rPr>
                <w:b w:val="0"/>
                <w:sz w:val="20"/>
              </w:rPr>
              <w:t>251</w:t>
            </w:r>
          </w:p>
        </w:tc>
      </w:tr>
      <w:tr>
        <w:trPr>
          <w:cantSplit/>
        </w:trPr>
        <w:tc>
          <w:tcPr>
            <w:tcW w:type="dxa" w:w="7488"/>
            <w:vAlign w:val="center"/>
            <w:shd w:fill="F5F7F9"/>
            <w:tcMar>
              <w:top w:w="70" w:type="dxa"/>
              <w:left w:w="70" w:type="dxa"/>
              <w:bottom w:w="70" w:type="dxa"/>
              <w:right w:w="70" w:type="dxa"/>
            </w:tcMar>
          </w:tcPr>
          <w:p>
            <w:pPr>
              <w:spacing w:after="20" w:line="240" w:lineRule="auto"/>
            </w:pPr>
            <w:r>
              <w:rPr>
                <w:b w:val="0"/>
                <w:sz w:val="20"/>
              </w:rPr>
              <w:t>Unknown / incomplete</w:t>
            </w:r>
          </w:p>
        </w:tc>
        <w:tc>
          <w:tcPr>
            <w:tcW w:type="dxa" w:w="2506"/>
            <w:vAlign w:val="center"/>
            <w:shd w:fill="F5F7F9"/>
            <w:tcMar>
              <w:top w:w="70" w:type="dxa"/>
              <w:left w:w="70" w:type="dxa"/>
              <w:bottom w:w="70" w:type="dxa"/>
              <w:right w:w="70" w:type="dxa"/>
            </w:tcMar>
          </w:tcPr>
          <w:p>
            <w:pPr>
              <w:spacing w:after="20" w:line="240" w:lineRule="auto"/>
            </w:pPr>
            <w:r>
              <w:rPr>
                <w:b w:val="0"/>
                <w:sz w:val="20"/>
              </w:rPr>
              <w:t>2,092</w:t>
            </w:r>
          </w:p>
        </w:tc>
      </w:tr>
    </w:tbl>
    <w:p>
      <w:pPr>
        <w:spacing w:after="20"/>
      </w:pPr>
    </w:p>
    <w:p>
      <w:r>
        <w:t>This classification describes the recorded attributes and does not replace an assessment against an accessibility standard. Elevators, ramps, stairs and escalators use NVBW BFRK data and, in part, OSM. Benches, shelters, curbs and barriers provide additional spatial information. Operating status, opening hours and usability require separate checks. [2, 3, 6]</w:t>
      </w:r>
    </w:p>
    <w:p>
      <w:r>
        <w:br w:type="page"/>
      </w:r>
    </w:p>
    <w:p>
      <w:pPr>
        <w:pStyle w:val="Heading1"/>
      </w:pPr>
      <w:r>
        <w:t>8 Data quality and limitations</w:t>
      </w:r>
    </w:p>
    <w:p>
      <w:pPr>
        <w:pStyle w:val="Heading2"/>
      </w:pPr>
      <w:r>
        <w:t>Processing and verification</w:t>
      </w:r>
    </w:p>
    <w:p>
      <w:r>
        <w:t>The dataset was progressively enriched and cleaned during the project. This included merging stair segments, examining unusual building-related sections, and assessing private or unusable connections in context. Original attributes and display adjustments were partly kept separate, for example through fclass and fclass_display. correction_note records certain interventions. These fields do not, however, provide a complete change history for every feature. [2]</w:t>
      </w:r>
    </w:p>
    <w:p>
      <w:r>
        <w:t>Field visits in August 2026 supplemented plausibility checks in selected parts of Bad Cannstatt, Feuerbach and Stuttgart-Mitte. They were not a comprehensive survey of the entire network. Without a fully evaluated sampling record, no overall accuracy, error rate or statistical representativeness is claimed here.</w:t>
      </w:r>
    </w:p>
    <w:p>
      <w:pPr>
        <w:pStyle w:val="Heading2"/>
      </w:pPr>
      <w:r>
        <w:t>Identified limitations</w:t>
      </w:r>
    </w:p>
    <w:p>
      <w:r>
        <w:t>The database passes the technical SQLite integrity check. It contains 21 feature layers, each with exactly one embedded default style. These findings confirm database readability and style storage, not the correctness of every attribute. The package still contains unusual slope values and street classes that cannot directly be interpreted as pedestrian connections. Additional thematic selection is required before routing or reliable overall statistics. [1]</w:t>
      </w:r>
    </w:p>
    <w:p>
      <w:r>
        <w:t>The unknown surface class accounts for 42.5 percent of the main network. Forest assignments and other missing values limit the spatial coverage of shade and UTCI analysis. Comparisons must therefore state the number of segments with usable values and how missing values are handled. Changes in segmentation also affect the interpretation of an unweighted segment mean.</w:t>
      </w:r>
    </w:p>
    <w:p>
      <w:r>
        <w:t>The sum of the stored length_m field is approximately 4,831.8 kilometres. It describes the length of the included line features and must not be used as the official total length of Stuttgart’s public footways. The input datasets represent different dates. New construction works, vegetation changes and altered access restrictions are not reflected without an update.</w:t>
      </w:r>
    </w:p>
    <w:p>
      <w:pPr>
        <w:pStyle w:val="Heading2"/>
      </w:pPr>
      <w:r>
        <w:t>Implications for decisions</w:t>
      </w:r>
    </w:p>
    <w:p>
      <w:r>
        <w:t>The atlas supports the selection of areas for investigation and comparisons of documented properties. For construction measures, approval of an accessible route or assessment of an individual’s exposure, the relevant conditions must be confirmed on site and with suitable specialist methods. These limitations are part of the interpretation of the results and must accompany the data when they are passed on.</w:t>
      </w:r>
    </w:p>
    <w:p>
      <w:r>
        <w:br w:type="page"/>
      </w:r>
    </w:p>
    <w:p>
      <w:pPr>
        <w:pStyle w:val="Heading1"/>
      </w:pPr>
      <w:r>
        <w:t>9 Delivery and updates</w:t>
      </w:r>
    </w:p>
    <w:p>
      <w:pPr>
        <w:pStyle w:val="Heading2"/>
      </w:pPr>
      <w:r>
        <w:t>Scope of the supplied package</w:t>
      </w:r>
    </w:p>
    <w:p>
      <w:r>
        <w:t>The 21 feature layers are stored locally in the GeoPackage. The saved QGIS project also references the online basemap OSM Standard. This basemap requires a network connection and is subject to its service conditions. It is not part of the local geodatabase. No terrain raster is included in the inspected ZIP. [1]</w:t>
      </w:r>
    </w:p>
    <w:p>
      <w:r>
        <w:t>The original package manifest contained a QGZ checksum discrepancy. For this repository edition, use the regenerated root MANIFEST_SHA256.txt and the database hash in data/manifest.json. The outdated raw manifest and noisy build logs are excluded. Current verification and outstanding scientific and privacy issues are recorded in Documentation/PUBLICATION_REVIEW.md.</w:t>
      </w:r>
    </w:p>
    <w:p>
      <w:pPr>
        <w:pStyle w:val="Heading2"/>
      </w:pPr>
      <w:r>
        <w:t>Updating the dataset</w:t>
      </w:r>
    </w:p>
    <w:p>
      <w:r>
        <w:t>An update begins by identifying the new source versions. Changes to network geometry can affect slope, shade, spatial assignments and identifiers. New geometries must therefore not simply be joined to old results. After each update, the main network and thematic layers must be checked for consistent feature correspondence.</w:t>
      </w:r>
    </w:p>
    <w:p>
      <w:r>
        <w:t>A new edition should record the data dates, software, input datasets and methodological changes. Class values and rendering rules must be checked together. External styles, embedded styles and symbol paths must all correspond to the new edition. A new checksum manifest is generated only after these checks.</w:t>
      </w:r>
    </w:p>
    <w:p>
      <w:pPr>
        <w:pStyle w:val="Heading2"/>
      </w:pPr>
      <w:r>
        <w:t>Further development</w:t>
      </w:r>
    </w:p>
    <w:p>
      <w:r>
        <w:t>Possible extensions include finer footway modelling, additional field checks, more detailed vegetation data and a routing model with verified access rules. Weather-dependent calculations or an interactive three-dimensional shade view would be separate developments. They are not already included in the static scenarios described here.</w:t>
      </w:r>
    </w:p>
    <w:p>
      <w:r>
        <w:t>The main documentation explains how to use the dataset. Technical reproduction also requires the exact input files, processing versions and parameters. Providing QGZ and GPKG files reproduces the presentation, but does not automatically reproduce all preceding model calculations.</w:t>
      </w:r>
    </w:p>
    <w:p>
      <w:r>
        <w:br w:type="page"/>
      </w:r>
    </w:p>
    <w:p>
      <w:pPr>
        <w:pStyle w:val="Heading1"/>
      </w:pPr>
      <w:r>
        <w:t>10 Data sources and usage rights</w:t>
      </w:r>
    </w:p>
    <w:p>
      <w:r>
        <w:t>Data provenance and usage rights are considered separately from fitness for a particular purpose. A freely accessible file is not necessarily reusable without conditions. Redistribution requires separate consideration of the rights attached to the data and to the graphical symbols.</w:t>
      </w:r>
    </w:p>
    <w:p>
      <w:pPr>
        <w:pStyle w:val="Heading2"/>
      </w:pPr>
      <w:r>
        <w:t>OpenStreetMap and Geofabrik</w:t>
      </w:r>
    </w:p>
    <w:p>
      <w:r>
        <w:t>Streets, paths, buildings, trees and many infrastructure points are based on OpenStreetMap. Geofabrik supplied the regional street export; later OSM enrichment added further attributes. OSM data are licensed under the Open Database License. Reuse must observe attribution requirements and the applicable licence conditions. The precise treatment of a combined database depends on how it has been prepared and used. [3]</w:t>
      </w:r>
    </w:p>
    <w:p>
      <w:pPr>
        <w:pStyle w:val="Heading2"/>
      </w:pPr>
      <w:r>
        <w:t>LGL elevation data</w:t>
      </w:r>
    </w:p>
    <w:p>
      <w:r>
        <w:t>DGM1 and nDOM1 come from LGL Baden-Württemberg. The supplied licence specifies Datenlizenz Deutschland – Namensnennung – Version 2.0 (dl-de/by-2-0). Required credit: Datenquelle: LGL, www.lgl-bw.de, dl-de/by-2-0. Dataset references and the notice of atlas processing must be retained. The repository includes tile-companion inventories and licence evidence, rather than the full terrain rasters. [4, 5]</w:t>
      </w:r>
    </w:p>
    <w:p>
      <w:pPr>
        <w:pStyle w:val="Heading2"/>
      </w:pPr>
      <w:r>
        <w:t>NVBW and BFRK</w:t>
      </w:r>
    </w:p>
    <w:p>
      <w:r>
        <w:t>Station infrastructure information comes from the BFRK dataset on MobiData BW. Its official dataset profile explicitly lists Datenlizenz Deutschland – Namensnennung – Version 2.0. The supplied infrastructure CSV exports retain facility survey dates. Atlas processing selects Stuttgart features, converts geometry and adapts attributes and rendering. The provider credit and dataset link are recorded in SOURCES_AND_RIGHTS.md; a survey date is not the export download date. [6]</w:t>
      </w:r>
    </w:p>
    <w:p>
      <w:pPr>
        <w:pStyle w:val="Heading2"/>
      </w:pPr>
      <w:r>
        <w:t>City of Stuttgart and other spatial data</w:t>
      </w:r>
    </w:p>
    <w:p>
      <w:r>
        <w:t>The noise polygons are attributed to the City of Stuttgart’s environmental protection office and its INSPIRE service. The official Lärmkartierung Stuttgart catalogue lists CC BY 4.0. The atlas assigns polygons to segments and derives a logarithmic source combination, so a modification notice is required. The original imported resource and indicator must still be matched to the historical download; current portal metadata alone does not establish that identity. [2, 7]</w:t>
      </w:r>
    </w:p>
    <w:p>
      <w:r>
        <w:t>The supplied wind raster confirms a two-band, 1,000-metre grid in EPSG:25832 but contains no publisher or licence. Its exact catalogue record remains unresolved; no licence is inferred from the historical state-portal access route. Raw redistribution of that input is withheld pending source identification. The municipal boundary carries BKG identifiers and metadata dated 31 December 2024; BKG product evidence and dl-de/by-2-0 credit are recorded in SOURCES_AND_RIGHTS.md. [2, 8]</w:t>
      </w:r>
    </w:p>
    <w:p>
      <w:r>
        <w:br w:type="page"/>
      </w:r>
    </w:p>
    <w:p>
      <w:pPr>
        <w:pStyle w:val="Heading1"/>
      </w:pPr>
      <w:r>
        <w:t>11 References and symbol provenance</w:t>
      </w:r>
    </w:p>
    <w:p>
      <w:r>
        <w:t>The numbered references identify sources used in this main documentation. Some portal addresses serve as access and contact points; they do not replace archived metadata for the files actually processed.</w:t>
      </w:r>
    </w:p>
    <w:p>
      <w:r>
        <w:t>[1] Bakhshi, Mohammadreza: Stuttgart Pedestrian Atlas. Data package dated 15 September 2026. GeoPackage, QGIS project, QML styles, SVGs and files in Documentation. The statistics in this document were calculated from the supplied GeoPackage.</w:t>
      </w:r>
    </w:p>
    <w:p>
      <w:r>
        <w:t>[2] Bakhshi, Mohammadreza: Project and processing records for the Stuttgart Pedestrian Atlas. Technical documentation and session records from June to September 2026, particularly 16, 22, 23, 29 and 30 July and the handovers through 15 September 2026. Historical figures apply only to the processing stage identified in the relevant record.</w:t>
      </w:r>
    </w:p>
    <w:p>
      <w:pPr>
        <w:spacing w:after="120"/>
      </w:pPr>
      <w:hyperlink r:id="rId10">
        <w:r>
          <w:rPr>
            <w:color w:val="174A73"/>
          </w:rPr>
          <w:t>[3] OpenStreetMap contributors: Copyright and ODbL</w:t>
        </w:r>
      </w:hyperlink>
    </w:p>
    <w:p>
      <w:pPr>
        <w:spacing w:after="120"/>
      </w:pPr>
      <w:hyperlink r:id="rId11">
        <w:r>
          <w:rPr>
            <w:color w:val="174A73"/>
          </w:rPr>
          <w:t>Geofabrik GmbH: Baden-Württemberg download region</w:t>
        </w:r>
      </w:hyperlink>
    </w:p>
    <w:p>
      <w:pPr>
        <w:spacing w:after="120"/>
      </w:pPr>
      <w:hyperlink r:id="rId12">
        <w:r>
          <w:rPr>
            <w:color w:val="174A73"/>
          </w:rPr>
          <w:t>[4] LGL Baden-Württemberg: Digital terrain models</w:t>
        </w:r>
      </w:hyperlink>
    </w:p>
    <w:p>
      <w:pPr>
        <w:spacing w:after="120"/>
      </w:pPr>
      <w:hyperlink r:id="rId13">
        <w:r>
          <w:rPr>
            <w:color w:val="174A73"/>
          </w:rPr>
          <w:t>[5] LGL Baden-Württemberg: Normalised surface model</w:t>
        </w:r>
      </w:hyperlink>
    </w:p>
    <w:p>
      <w:pPr>
        <w:spacing w:after="120"/>
      </w:pPr>
      <w:hyperlink r:id="rId14">
        <w:r>
          <w:rPr>
            <w:color w:val="174A73"/>
          </w:rPr>
          <w:t>[6] NVBW / MobiData BW: Accessibility at stations and stopping points</w:t>
        </w:r>
      </w:hyperlink>
    </w:p>
    <w:p>
      <w:pPr>
        <w:spacing w:after="120"/>
      </w:pPr>
      <w:hyperlink r:id="rId15">
        <w:r>
          <w:rPr>
            <w:color w:val="174A73"/>
          </w:rPr>
          <w:t>[7] City of Stuttgart: Noise maps</w:t>
        </w:r>
      </w:hyperlink>
    </w:p>
    <w:p>
      <w:pPr>
        <w:spacing w:after="120"/>
      </w:pPr>
      <w:hyperlink r:id="rId16">
        <w:r>
          <w:rPr>
            <w:color w:val="174A73"/>
          </w:rPr>
          <w:t>City of Stuttgart: Results of Stuttgart noise mapping 2022</w:t>
        </w:r>
      </w:hyperlink>
    </w:p>
    <w:p>
      <w:r>
        <w:t>The results report explains the official methodology. Citing it does not establish that all imported noise contours originate from that particular calculation edition.</w:t>
      </w:r>
    </w:p>
    <w:p>
      <w:pPr>
        <w:spacing w:after="120"/>
      </w:pPr>
      <w:hyperlink r:id="rId17">
        <w:r>
          <w:rPr>
            <w:color w:val="174A73"/>
          </w:rPr>
          <w:t>[8] Baden-Württemberg state data portal: Access portal for the wind raster</w:t>
        </w:r>
      </w:hyperlink>
    </w:p>
    <w:p>
      <w:pPr>
        <w:spacing w:after="120"/>
      </w:pPr>
      <w:hyperlink r:id="rId18">
        <w:r>
          <w:rPr>
            <w:color w:val="174A73"/>
          </w:rPr>
          <w:t>[9] Bröde et al. (2012): Deriving the operational procedure for the Universal Thermal Climate Index (UTCI). International Journal of Biometeorology 56, 481–494. DOI 10.1007/s00484-011-0454-1</w:t>
        </w:r>
      </w:hyperlink>
    </w:p>
    <w:p>
      <w:pPr>
        <w:spacing w:after="120"/>
      </w:pPr>
      <w:hyperlink r:id="rId19">
        <w:r>
          <w:rPr>
            <w:color w:val="174A73"/>
          </w:rPr>
          <w:t>[10] Center for the Built Environment and contributors: pythermalcomfort</w:t>
        </w:r>
      </w:hyperlink>
    </w:p>
    <w:p>
      <w:r>
        <w:br w:type="page"/>
      </w:r>
    </w:p>
    <w:p>
      <w:pPr>
        <w:pStyle w:val="Heading1"/>
      </w:pPr>
      <w:r>
        <w:t>Symbol rights and further methodological references</w:t>
      </w:r>
    </w:p>
    <w:p>
      <w:pPr>
        <w:spacing w:after="120"/>
      </w:pPr>
      <w:hyperlink r:id="rId20">
        <w:r>
          <w:rPr>
            <w:color w:val="174A73"/>
          </w:rPr>
          <w:t>[11] Wolf, Szell and Vierø (2024): CoolWalks. Dataset on shade-related routing. Zenodo, DOI 10.5281/zenodo.11103149</w:t>
        </w:r>
      </w:hyperlink>
    </w:p>
    <w:p>
      <w:r>
        <w:t>CoolWalks is cited in the project records as methodological inspiration for considering shade. This does not imply that its dataset was used for Stuttgart or that the algorithms are identical.</w:t>
      </w:r>
    </w:p>
    <w:p>
      <w:pPr>
        <w:spacing w:after="120"/>
      </w:pPr>
      <w:hyperlink r:id="rId21">
        <w:r>
          <w:rPr>
            <w:color w:val="174A73"/>
          </w:rPr>
          <w:t>[12] QGIS project: QGIS and licence information</w:t>
        </w:r>
      </w:hyperlink>
    </w:p>
    <w:p>
      <w:r>
        <w:t>Other tools used during processing include GDAL/OGR, GeoPandas, Shapely, NumPy, pandas and Python with SQLite. Project-specific calculations must be distinguished from the functions provided by these tools. A software licence does not automatically determine the licence of the resulting geodata.</w:t>
      </w:r>
    </w:p>
    <w:p>
      <w:pPr>
        <w:pStyle w:val="Heading2"/>
      </w:pPr>
      <w:r>
        <w:t>Graphical symbols</w:t>
      </w:r>
    </w:p>
    <w:p>
      <w:r>
        <w:t>For the public repository snapshot dated 27 October 2026, all eleven SVG symbols were replaced by newly drawn geometric paths. Existing filenames and QGIS references were retained. These replacement symbols are supplied under CC0 1.0; that notice applies only to the new SVG files. Earlier working symbols are not included in the public baseline.</w:t>
      </w:r>
    </w:p>
    <w:p>
      <w:r>
        <w:t>The replacement avoids uncertainty about the downloaded symbols used during development, including an Icons8 original-file redistribution restriction. Earlier curb symbols were traced to Jeroen Hoek’s JOSM style; their paths were not reused in the replacements. Detailed provenance is recorded in Styling/SVG/README.md.</w:t>
      </w:r>
    </w:p>
    <w:p>
      <w:pPr>
        <w:spacing w:after="120"/>
      </w:pPr>
      <w:hyperlink r:id="rId22">
        <w:r>
          <w:rPr>
            <w:color w:val="174A73"/>
          </w:rPr>
          <w:t>Icons8: Provider indicated by the recorded provenance clue</w:t>
        </w:r>
      </w:hyperlink>
    </w:p>
    <w:p>
      <w:pPr>
        <w:pStyle w:val="Heading2"/>
      </w:pPr>
      <w:r>
        <w:t>Historical literature references</w:t>
      </w:r>
    </w:p>
    <w:p>
      <w:r>
        <w:t>Earlier project documents also cite SOLWEIG by Lindberg et al. (2008), work by Thorsson et al. (2007), Lafortezza et al. (2009) and Pauleit et al. (2005), and studies by Hyyppä et al. (2001) and Popescu and Wynne (2004). These references concern radiation and vegetation modelling. Their connection to specific parameters and their complete bibliographic details still require verification. They are not used here as evidence for the project coefficients.</w:t>
      </w:r>
    </w:p>
    <w:p>
      <w:r>
        <w:t>Likewise, earlier references to DWD and climate-data.org for climatic reference values, and to DIN 18040, DIN 18065, DIN ISO 9613-2 and WHO noise recommendations, must not be read as general evidence of standards-compliant modelling. This main documentation makes no unsupported claims about thresholds or percentiles derived from those references.</w:t>
      </w:r>
    </w:p>
    <w:p>
      <w:r>
        <w:t>Source-specific credits and conditions are collected in SOURCES_AND_RIGHTS.md. The wind source-record gap and remaining historical input-version details are stated explicitly. The public repository is a research snapshot; institutional attribution and final archive metadata are being discussed before a later Zenodo submission. No DOI or institutional endorsement is claimed.</w:t>
      </w:r>
    </w:p>
    <w:sectPr w:rsidR="00FC693F" w:rsidRPr="0006063C" w:rsidSect="00034616">
      <w:footerReference w:type="default" r:id="rId9"/>
      <w:pgSz w:w="12240" w:h="15840"/>
      <w:pgMar w:top="1037"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Stuttgart Pedestrian Atlas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openstreetmap.org/copyright" TargetMode="External"/><Relationship Id="rId11" Type="http://schemas.openxmlformats.org/officeDocument/2006/relationships/hyperlink" Target="https://download.geofabrik.de/europe/germany/baden-wuerttemberg.html" TargetMode="External"/><Relationship Id="rId12" Type="http://schemas.openxmlformats.org/officeDocument/2006/relationships/hyperlink" Target="https://www.lgl-bw.de/Produkte/3D-Produkte/Digitale-Gelaendemodelle/index.html" TargetMode="External"/><Relationship Id="rId13" Type="http://schemas.openxmlformats.org/officeDocument/2006/relationships/hyperlink" Target="https://www.lgl-bw.de/Produkte/3D-Produkte/Digitale-Oberflaechenmodelle/nDOM/index.html" TargetMode="External"/><Relationship Id="rId14" Type="http://schemas.openxmlformats.org/officeDocument/2006/relationships/hyperlink" Target="https://mobidata-bw.de/dataset/bfrk-barrierefreiheit-an-bw-bahnhoefen" TargetMode="External"/><Relationship Id="rId15" Type="http://schemas.openxmlformats.org/officeDocument/2006/relationships/hyperlink" Target="https://www.stuttgart.de/leben/umwelt/laerm/laermkarten" TargetMode="External"/><Relationship Id="rId16" Type="http://schemas.openxmlformats.org/officeDocument/2006/relationships/hyperlink" Target="https://www.stadtklima-stuttgart.de/stadtklima_filestorage/download/LMP/Ergebnisbericht-Laermkartierung-2022.pdf" TargetMode="External"/><Relationship Id="rId17" Type="http://schemas.openxmlformats.org/officeDocument/2006/relationships/hyperlink" Target="https://www.daten-bw.de/" TargetMode="External"/><Relationship Id="rId18" Type="http://schemas.openxmlformats.org/officeDocument/2006/relationships/hyperlink" Target="https://doi.org/10.1007/s00484-011-0454-1" TargetMode="External"/><Relationship Id="rId19" Type="http://schemas.openxmlformats.org/officeDocument/2006/relationships/hyperlink" Target="https://pythermalcomfort.readthedocs.io/" TargetMode="External"/><Relationship Id="rId20" Type="http://schemas.openxmlformats.org/officeDocument/2006/relationships/hyperlink" Target="https://zenodo.org/records/11103149" TargetMode="External"/><Relationship Id="rId21" Type="http://schemas.openxmlformats.org/officeDocument/2006/relationships/hyperlink" Target="https://www.qgis.org/license/" TargetMode="External"/><Relationship Id="rId22" Type="http://schemas.openxmlformats.org/officeDocument/2006/relationships/hyperlink" Target="https://icons8.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ns0:coreProperties xmlns:dc="http://purl.org/dc/elements/1.1/" xmlns:ns0="http://schemas.openxmlformats.org/package/2006/metadata/core-properties">
  <dc:title>Stuttgart Pedestrian Atlas Main Documentation</dc:title>
  <dc:subject>Data sources, methods, use and limitations</dc:subject>
  <dc:creator>Mohammadreza Bakhshi</dc:creator>
  <ns0:keywords>Walking, Stuttgart, QGIS, pedestrian comfort, documentation</ns0:keywords>
  <ns0:revision>1</ns0:revision>
  <ns0:category/>
</ns0:coreProperties>
</file>