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4"/>
          <w:szCs w:val="34"/>
        </w:rPr>
        <w:t xml:space="preserve">Control Narrative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Power Distribution Substation — Incoming Feed, Transformer, and Outgoing Feeders</w:t>
      </w:r>
    </w:p>
    <w:p>
      <w:pPr>
        <w:pStyle w:val="Heading1"/>
        <w:spacing w:after="120" w:before="260"/>
      </w:pPr>
      <w:r>
        <w:rPr>
          <w:b/>
          <w:bCs/>
          <w:color w:val="185FA5"/>
          <w:sz w:val="26"/>
          <w:szCs w:val="26"/>
        </w:rPr>
        <w:t xml:space="preserve">1. Purpose &amp; Scope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This document describes the intended control and protection philosophy for a distribution substation consisting of a single incoming utility feed, a step-down power transformer, and three outgoing distribution feeders. It is the reference document for the accompanying Alarm Rationalization Table and HMI mimic panel.</w:t>
      </w:r>
    </w:p>
    <w:p>
      <w:pPr>
        <w:pStyle w:val="Heading1"/>
        <w:spacing w:after="120" w:before="260"/>
      </w:pPr>
      <w:r>
        <w:rPr>
          <w:b/>
          <w:bCs/>
          <w:color w:val="185FA5"/>
          <w:sz w:val="26"/>
          <w:szCs w:val="26"/>
        </w:rPr>
        <w:t xml:space="preserve">2. Process Description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Utility power arrives via the incoming line, monitored at VT-101 (voltage) and CT-101 (current) and controlled by incoming breaker CB-101. Power passes through step-down transformer T-1 (monitored for winding temperature at TT-201 and oil temperature at TT-202) to the secondary bus, monitored at VT-301 (voltage) and FT-301 (frequency). Three outgoing feeder breakers (CB-201, CB-202, CB-203) distribute power to downstream loads, each with dedicated current monitoring (CT-401/402/403).</w:t>
      </w:r>
    </w:p>
    <w:p>
      <w:pPr>
        <w:pStyle w:val="Heading1"/>
        <w:spacing w:after="120" w:before="260"/>
      </w:pPr>
      <w:r>
        <w:rPr>
          <w:b/>
          <w:bCs/>
          <w:color w:val="185FA5"/>
          <w:sz w:val="26"/>
          <w:szCs w:val="26"/>
        </w:rPr>
        <w:t xml:space="preserve">3. Normal Operating Sequence</w:t>
      </w:r>
    </w:p>
    <w:p>
      <w:pPr>
        <w:pStyle w:val="Heading2"/>
        <w:spacing w:after="80" w:before="180"/>
      </w:pPr>
      <w:r>
        <w:rPr>
          <w:b/>
          <w:bCs/>
          <w:color w:val="1A1A1A"/>
          <w:sz w:val="21"/>
          <w:szCs w:val="21"/>
        </w:rPr>
        <w:t xml:space="preserve">3.1 Energization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Confirm no active high-priority alarms and all feeder breakers (CB-201/202/203)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Close CB-101 (incoming breaker) once incoming voltage (VT-101) is confirmed within normal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Monitor transformer temperatures (TT-201, TT-202) and confirm bus voltage (VT-301) establishes within normal band.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Close feeder breakers (CB-201, CB-202, CB-203) sequentially once bus voltage permissive is satisfied (Section 4).</w:t>
      </w:r>
    </w:p>
    <w:p>
      <w:pPr>
        <w:pStyle w:val="Heading2"/>
        <w:spacing w:after="80" w:before="180"/>
      </w:pPr>
      <w:r>
        <w:rPr>
          <w:b/>
          <w:bCs/>
          <w:color w:val="1A1A1A"/>
          <w:sz w:val="21"/>
          <w:szCs w:val="21"/>
        </w:rPr>
        <w:t xml:space="preserve">3.2 Normal Running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CB-101 and all feeder breakers remain closed under normal conditions. Feeder currents are monitored continuously against overcurrent protection setpoints; transformer temperatures are monitored continuously against thermal protection setpoints.</w:t>
      </w:r>
    </w:p>
    <w:p>
      <w:pPr>
        <w:pStyle w:val="Heading2"/>
        <w:spacing w:after="80" w:before="180"/>
      </w:pPr>
      <w:r>
        <w:rPr>
          <w:b/>
          <w:bCs/>
          <w:color w:val="1A1A1A"/>
          <w:sz w:val="21"/>
          <w:szCs w:val="21"/>
        </w:rPr>
        <w:t xml:space="preserve">3.3 De-energization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Open feeder breakers (CB-201/202/203) first to de-energize downstream 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Open CB-101 (incoming breaker) last.</w:t>
      </w:r>
    </w:p>
    <w:p>
      <w:pPr>
        <w:pStyle w:val="Heading1"/>
        <w:spacing w:after="120" w:before="260"/>
      </w:pPr>
      <w:r>
        <w:rPr>
          <w:b/>
          <w:bCs/>
          <w:color w:val="185FA5"/>
          <w:sz w:val="26"/>
          <w:szCs w:val="26"/>
        </w:rPr>
        <w:t xml:space="preserve">4. Protection Scheme, Interlocks &amp; Permissives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3328"/>
        <w:gridCol w:w="5632"/>
      </w:tblGrid>
      <w:tr>
        <w:trPr>
          <w:tblHeader/>
        </w:trPr>
        <w:tc>
          <w:tcPr>
            <w:tcW w:type="dxa" w:w="1280"/>
            <w:shd w:fill="E6F1FB" w:val="clea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3328"/>
            <w:shd w:fill="E6F1FB" w:val="clea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Protection Function</w:t>
            </w:r>
          </w:p>
        </w:tc>
        <w:tc>
          <w:tcPr>
            <w:tcW w:type="dxa" w:w="5632"/>
            <w:shd w:fill="E6F1FB" w:val="clear"/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80"/>
          </w:tcPr>
          <w:p>
            <w:r>
              <w:rPr>
                <w:color w:val="1A1A1A"/>
                <w:sz w:val="17"/>
                <w:szCs w:val="17"/>
              </w:rPr>
              <w:t xml:space="preserve">INT-01</w:t>
            </w:r>
          </w:p>
        </w:tc>
        <w:tc>
          <w:tcPr>
            <w:tcW w:type="dxa" w:w="3328"/>
          </w:tcPr>
          <w:p>
            <w:r>
              <w:rPr>
                <w:color w:val="1A1A1A"/>
                <w:sz w:val="17"/>
                <w:szCs w:val="17"/>
              </w:rPr>
              <w:t xml:space="preserve">27 — Undervoltage permissive</w:t>
            </w:r>
          </w:p>
        </w:tc>
        <w:tc>
          <w:tcPr>
            <w:tcW w:type="dxa" w:w="5632"/>
          </w:tcPr>
          <w:p>
            <w:r>
              <w:rPr>
                <w:color w:val="1A1A1A"/>
                <w:sz w:val="17"/>
                <w:szCs w:val="17"/>
              </w:rPr>
              <w:t xml:space="preserve">Feeder breakers (CB-201/202/203) cannot close unless bus voltage (VT-301) is above 90% of nominal</w:t>
            </w:r>
          </w:p>
        </w:tc>
      </w:tr>
      <w:tr>
        <w:tc>
          <w:tcPr>
            <w:tcW w:type="dxa" w:w="1280"/>
          </w:tcPr>
          <w:p>
            <w:r>
              <w:rPr>
                <w:color w:val="1A1A1A"/>
                <w:sz w:val="17"/>
                <w:szCs w:val="17"/>
              </w:rPr>
              <w:t xml:space="preserve">INT-02</w:t>
            </w:r>
          </w:p>
        </w:tc>
        <w:tc>
          <w:tcPr>
            <w:tcW w:type="dxa" w:w="3328"/>
          </w:tcPr>
          <w:p>
            <w:r>
              <w:rPr>
                <w:color w:val="1A1A1A"/>
                <w:sz w:val="17"/>
                <w:szCs w:val="17"/>
              </w:rPr>
              <w:t xml:space="preserve">49 — Transformer thermal protection</w:t>
            </w:r>
          </w:p>
        </w:tc>
        <w:tc>
          <w:tcPr>
            <w:tcW w:type="dxa" w:w="5632"/>
          </w:tcPr>
          <w:p>
            <w:r>
              <w:rPr>
                <w:color w:val="1A1A1A"/>
                <w:sz w:val="17"/>
                <w:szCs w:val="17"/>
              </w:rPr>
              <w:t xml:space="preserve">CB-101 trips if transformer winding temp (TT-201) or oil temp (TT-202) exceeds high-high setpoint</w:t>
            </w:r>
          </w:p>
        </w:tc>
      </w:tr>
      <w:tr>
        <w:tc>
          <w:tcPr>
            <w:tcW w:type="dxa" w:w="1280"/>
          </w:tcPr>
          <w:p>
            <w:r>
              <w:rPr>
                <w:color w:val="1A1A1A"/>
                <w:sz w:val="17"/>
                <w:szCs w:val="17"/>
              </w:rPr>
              <w:t xml:space="preserve">INT-03</w:t>
            </w:r>
          </w:p>
        </w:tc>
        <w:tc>
          <w:tcPr>
            <w:tcW w:type="dxa" w:w="3328"/>
          </w:tcPr>
          <w:p>
            <w:r>
              <w:rPr>
                <w:color w:val="1A1A1A"/>
                <w:sz w:val="17"/>
                <w:szCs w:val="17"/>
              </w:rPr>
              <w:t xml:space="preserve">51 — Feeder time-overcurrent</w:t>
            </w:r>
          </w:p>
        </w:tc>
        <w:tc>
          <w:tcPr>
            <w:tcW w:type="dxa" w:w="5632"/>
          </w:tcPr>
          <w:p>
            <w:r>
              <w:rPr>
                <w:color w:val="1A1A1A"/>
                <w:sz w:val="17"/>
                <w:szCs w:val="17"/>
              </w:rPr>
              <w:t xml:space="preserve">A feeder breaker trips if its current exceeds pickup setpoint for longer than the coordination time delay</w:t>
            </w:r>
          </w:p>
        </w:tc>
      </w:tr>
      <w:tr>
        <w:tc>
          <w:tcPr>
            <w:tcW w:type="dxa" w:w="1280"/>
          </w:tcPr>
          <w:p>
            <w:r>
              <w:rPr>
                <w:color w:val="1A1A1A"/>
                <w:sz w:val="17"/>
                <w:szCs w:val="17"/>
              </w:rPr>
              <w:t xml:space="preserve">INT-04</w:t>
            </w:r>
          </w:p>
        </w:tc>
        <w:tc>
          <w:tcPr>
            <w:tcW w:type="dxa" w:w="3328"/>
          </w:tcPr>
          <w:p>
            <w:r>
              <w:rPr>
                <w:color w:val="1A1A1A"/>
                <w:sz w:val="17"/>
                <w:szCs w:val="17"/>
              </w:rPr>
              <w:t xml:space="preserve">50 — Instantaneous overcurrent</w:t>
            </w:r>
          </w:p>
        </w:tc>
        <w:tc>
          <w:tcPr>
            <w:tcW w:type="dxa" w:w="5632"/>
          </w:tcPr>
          <w:p>
            <w:r>
              <w:rPr>
                <w:color w:val="1A1A1A"/>
                <w:sz w:val="17"/>
                <w:szCs w:val="17"/>
              </w:rPr>
              <w:t xml:space="preserve">CB-101 trips immediately on bus/transformer fault-level current, without time delay</w:t>
            </w:r>
          </w:p>
        </w:tc>
      </w:tr>
      <w:tr>
        <w:tc>
          <w:tcPr>
            <w:tcW w:type="dxa" w:w="1280"/>
          </w:tcPr>
          <w:p>
            <w:r>
              <w:rPr>
                <w:color w:val="1A1A1A"/>
                <w:sz w:val="17"/>
                <w:szCs w:val="17"/>
              </w:rPr>
              <w:t xml:space="preserve">INT-05</w:t>
            </w:r>
          </w:p>
        </w:tc>
        <w:tc>
          <w:tcPr>
            <w:tcW w:type="dxa" w:w="3328"/>
          </w:tcPr>
          <w:p>
            <w:r>
              <w:rPr>
                <w:color w:val="1A1A1A"/>
                <w:sz w:val="17"/>
                <w:szCs w:val="17"/>
              </w:rPr>
              <w:t xml:space="preserve">86 — Lockout after trip</w:t>
            </w:r>
          </w:p>
        </w:tc>
        <w:tc>
          <w:tcPr>
            <w:tcW w:type="dxa" w:w="5632"/>
          </w:tcPr>
          <w:p>
            <w:r>
              <w:rPr>
                <w:color w:val="1A1A1A"/>
                <w:sz w:val="17"/>
                <w:szCs w:val="17"/>
              </w:rPr>
              <w:t xml:space="preserve">Any breaker that trips on protection (INT-02/03/04) is blocked from reclosing until the operator issues a manual reset</w:t>
            </w:r>
          </w:p>
        </w:tc>
      </w:tr>
      <w:tr>
        <w:tc>
          <w:tcPr>
            <w:tcW w:type="dxa" w:w="1280"/>
          </w:tcPr>
          <w:p>
            <w:r>
              <w:rPr>
                <w:color w:val="1A1A1A"/>
                <w:sz w:val="17"/>
                <w:szCs w:val="17"/>
              </w:rPr>
              <w:t xml:space="preserve">INT-06</w:t>
            </w:r>
          </w:p>
        </w:tc>
        <w:tc>
          <w:tcPr>
            <w:tcW w:type="dxa" w:w="3328"/>
          </w:tcPr>
          <w:p>
            <w:r>
              <w:rPr>
                <w:color w:val="1A1A1A"/>
                <w:sz w:val="17"/>
                <w:szCs w:val="17"/>
              </w:rPr>
              <w:t xml:space="preserve">81 — Frequency monitoring</w:t>
            </w:r>
          </w:p>
        </w:tc>
        <w:tc>
          <w:tcPr>
            <w:tcW w:type="dxa" w:w="5632"/>
          </w:tcPr>
          <w:p>
            <w:r>
              <w:rPr>
                <w:color w:val="1A1A1A"/>
                <w:sz w:val="17"/>
                <w:szCs w:val="17"/>
              </w:rPr>
              <w:t xml:space="preserve">Bus frequency (FT-301) outside 59.5–60.5 Hz raises an alarm; no automatic trip is modeled in this simulation</w:t>
            </w:r>
          </w:p>
        </w:tc>
      </w:tr>
    </w:tbl>
    <w:p>
      <w:pPr>
        <w:spacing w:after="100"/>
      </w:pPr>
      <w:r>
        <w:rPr>
          <w:color w:val="1A1A1A"/>
          <w:sz w:val="20"/>
          <w:szCs w:val="20"/>
        </w:rPr>
        <w:t xml:space="preserve">Protection function numbers follow IEEE C37.2 device number convention, consistent with how these functions would be labeled on real protective relays.</w:t>
      </w:r>
    </w:p>
    <w:p>
      <w:pPr>
        <w:pStyle w:val="Heading1"/>
        <w:spacing w:after="120" w:before="260"/>
      </w:pPr>
      <w:r>
        <w:rPr>
          <w:b/>
          <w:bCs/>
          <w:color w:val="185FA5"/>
          <w:sz w:val="26"/>
          <w:szCs w:val="26"/>
        </w:rPr>
        <w:t xml:space="preserve">5. Alarm Philosophy Summary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Alarms are assigned priority (High / Medium / Low) based on operator response time available and consequence of inaction, consistent with ISA-18.2 principles. Full detail — setpoints, probable cause, and required operator action for every alarm — is maintained in the companion Alarm Rationalization Table (alarm_rationalization.xlsx), not duplicated here.</w:t>
      </w:r>
    </w:p>
    <w:p>
      <w:pPr>
        <w:pStyle w:val="Heading1"/>
        <w:spacing w:after="120" w:before="260"/>
      </w:pPr>
      <w:r>
        <w:rPr>
          <w:b/>
          <w:bCs/>
          <w:color w:val="185FA5"/>
          <w:sz w:val="26"/>
          <w:szCs w:val="26"/>
        </w:rP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IEEE C37.2 — Standard Electrical Power System Device Function Numbers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ISA-18.2-2016 — Management of Alarm Systems for the Process Industries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Companion document: alarm_rationalization.xlsx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Companion system: HMI mimic panel (this project's web application)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2026-07-22T23:05:26.772Z</dcterms:created>
  <dcterms:modified xsi:type="dcterms:W3CDTF">2026-07-22T23:05:26.789Z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