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Reza Barzegar Nozari</w:t>
      </w:r>
    </w:p>
    <w:p>
      <w:pPr>
        <w:pStyle w:val="Subtitle"/>
      </w:pPr>
      <w:r>
        <w:t>Academic Curriculum Vitae</w:t>
      </w:r>
    </w:p>
    <w:p>
      <w:pPr>
        <w:keepLines/>
      </w:pPr>
      <w:r>
        <w:rPr>
          <w:b/>
        </w:rPr>
        <w:t>PhD Researcher in Artificial Intelligence</w:t>
      </w:r>
      <w:r/>
    </w:p>
    <w:p>
      <w:r>
        <w:t>Department of Artificial Intelligence, Faculty of Computer Engineering</w:t>
        <w:br/>
        <w:t>University of Isfahan, Iran</w:t>
      </w:r>
    </w:p>
    <w:p>
      <w:hyperlink r:id="rId9">
        <w:r>
          <w:rPr>
            <w:color w:val="244B65"/>
          </w:rPr>
          <w:t>barzegar@eng.ui.ac.ir</w:t>
        </w:r>
      </w:hyperlink>
      <w:r>
        <w:t xml:space="preserve">  |  </w:t>
      </w:r>
      <w:hyperlink r:id="rId10">
        <w:r>
          <w:rPr>
            <w:color w:val="244B65"/>
          </w:rPr>
          <w:t>ORCID 0000-0002-7051-0853</w:t>
        </w:r>
      </w:hyperlink>
    </w:p>
    <w:p>
      <w:pPr>
        <w:pStyle w:val="Heading1"/>
      </w:pPr>
      <w:r>
        <w:t>Research Profile</w:t>
      </w:r>
    </w:p>
    <w:p>
      <w:r>
        <w:t>Artificial intelligence researcher studying social influence, uncertainty, and knowledge transfer in adaptive intelligent systems. Published research focuses on trust modeling, group recommendation, collaborative filtering, and multi-agent reinforcement learning. Current work extends to probabilistic graphical models, geometric knowledge distillation, and causally informed adaptation of large language models. Author or coauthor of eight journal articles and one preprint, with 111 completed peer reviews across 10 journals.</w:t>
      </w:r>
    </w:p>
    <w:p>
      <w:pPr>
        <w:pStyle w:val="Heading1"/>
      </w:pPr>
      <w:r>
        <w:t>Education</w:t>
      </w:r>
    </w:p>
    <w:p>
      <w:pPr>
        <w:keepLines/>
      </w:pPr>
      <w:r>
        <w:rPr>
          <w:b/>
        </w:rPr>
        <w:t>PhD in Artificial Intelligence</w:t>
      </w:r>
      <w:r>
        <w:t xml:space="preserve">  |  In progress</w:t>
        <w:br/>
        <w:t>University of Isfahan, Iran</w:t>
      </w:r>
    </w:p>
    <w:p>
      <w:pPr>
        <w:keepLines/>
      </w:pPr>
      <w:r>
        <w:rPr>
          <w:b/>
        </w:rPr>
        <w:t>MSc in Artificial Intelligence and Robotics</w:t>
      </w:r>
      <w:r/>
    </w:p>
    <w:p>
      <w:pPr>
        <w:keepLines/>
      </w:pPr>
      <w:r>
        <w:rPr>
          <w:b/>
        </w:rPr>
        <w:t>BSc in Software Engineering</w:t>
      </w:r>
      <w:r/>
    </w:p>
    <w:p>
      <w:pPr>
        <w:pStyle w:val="Heading1"/>
      </w:pPr>
      <w:r>
        <w:t>Research Interests</w:t>
      </w:r>
    </w:p>
    <w:p>
      <w:r>
        <w:t>Recommender systems and social influence modeling; probabilistic graphical models and graph neural networks; reinforcement learning; knowledge distillation and optimal transport; mechanistic and causal interpretability; large language models and parameter-efficient fine-tuning.</w:t>
      </w:r>
    </w:p>
    <w:p>
      <w:pPr>
        <w:pStyle w:val="Heading1"/>
      </w:pPr>
      <w:r>
        <w:t>Research Contributions</w:t>
      </w:r>
    </w:p>
    <w:p>
      <w:pPr>
        <w:keepLines/>
      </w:pPr>
      <w:r>
        <w:rPr>
          <w:b/>
        </w:rPr>
        <w:t xml:space="preserve">Trust and social influence in recommendation. </w:t>
      </w:r>
      <w:r>
        <w:t>Developed methods for implicit trust-network construction, trust computation from user ratings, and group recommendation incorporating member influence and leader impact.</w:t>
      </w:r>
    </w:p>
    <w:p>
      <w:pPr>
        <w:keepLines/>
      </w:pPr>
      <w:r>
        <w:rPr>
          <w:b/>
        </w:rPr>
        <w:t xml:space="preserve">Adaptive group recommendation. </w:t>
      </w:r>
      <w:r>
        <w:t>Investigated leader-centric group formation through multi-agent reinforcement learning to address evolving preferences and interaction patterns.</w:t>
      </w:r>
    </w:p>
    <w:p>
      <w:pPr>
        <w:keepLines/>
      </w:pPr>
      <w:r>
        <w:rPr>
          <w:b/>
        </w:rPr>
        <w:t xml:space="preserve">Collaborative filtering and recommendation applications. </w:t>
      </w:r>
      <w:r>
        <w:t>Studied clustering algorithms with and without autoencoders for collaborative filtering, integrated recommendation for multi-day tourist itineraries, and behavior-based recommendation for e-commerce.</w:t>
      </w:r>
    </w:p>
    <w:p>
      <w:r>
        <w:br w:type="page"/>
      </w:r>
    </w:p>
    <w:p>
      <w:pPr>
        <w:pStyle w:val="Heading1"/>
        <w:spacing w:before="0"/>
      </w:pPr>
      <w:r>
        <w:t>Peer Reviewed Journal Publications</w:t>
      </w:r>
    </w:p>
    <w:p>
      <w:pPr>
        <w:keepLines/>
        <w:spacing w:after="200"/>
        <w:ind w:left="317" w:hanging="317"/>
      </w:pPr>
      <w:r>
        <w:t xml:space="preserve">1. </w:t>
      </w:r>
      <w:r>
        <w:rPr>
          <w:b/>
          <w:i w:val="0"/>
        </w:rPr>
        <w:t>Barzegar Nozari, R.</w:t>
      </w:r>
      <w:r>
        <w:rPr>
          <w:b w:val="0"/>
          <w:i w:val="0"/>
        </w:rPr>
        <w:t xml:space="preserve">, &amp; Karshenas, H. (2026). Leader-centric adaptive group formation via multi-agent reinforcement learning for group recommendation. </w:t>
      </w:r>
      <w:r>
        <w:rPr>
          <w:b w:val="0"/>
          <w:i/>
        </w:rPr>
        <w:t>Expert Systems with Applications, 322</w:t>
      </w:r>
      <w:r>
        <w:rPr>
          <w:b w:val="0"/>
          <w:i w:val="0"/>
        </w:rPr>
        <w:t>, Article 131864.</w:t>
      </w:r>
      <w:r>
        <w:br/>
      </w:r>
      <w:hyperlink r:id="rId11">
        <w:r>
          <w:rPr>
            <w:color w:val="244B65"/>
          </w:rPr>
          <w:t>https://doi.org/10.1016/j.eswa.2026.131864</w:t>
        </w:r>
      </w:hyperlink>
    </w:p>
    <w:p>
      <w:pPr>
        <w:keepLines/>
        <w:spacing w:after="200"/>
        <w:ind w:left="317" w:hanging="317"/>
      </w:pPr>
      <w:r>
        <w:t xml:space="preserve">2. </w:t>
      </w:r>
      <w:r>
        <w:rPr>
          <w:b/>
          <w:i w:val="0"/>
        </w:rPr>
        <w:t>Barzegar Nozari, R.</w:t>
      </w:r>
      <w:r>
        <w:rPr>
          <w:b w:val="0"/>
          <w:i w:val="0"/>
        </w:rPr>
        <w:t xml:space="preserve"> (2026). Improving collaborative filtering performance: A comparative analysis of clustering algorithms with and without autoencoders. </w:t>
      </w:r>
      <w:r>
        <w:rPr>
          <w:b w:val="0"/>
          <w:i/>
        </w:rPr>
        <w:t>Multimedia Tools and Applications, 85</w:t>
      </w:r>
      <w:r>
        <w:rPr>
          <w:b w:val="0"/>
          <w:i w:val="0"/>
        </w:rPr>
        <w:t>(6), Article 533.</w:t>
      </w:r>
      <w:r>
        <w:br/>
      </w:r>
      <w:hyperlink r:id="rId12">
        <w:r>
          <w:rPr>
            <w:color w:val="244B65"/>
          </w:rPr>
          <w:t>https://doi.org/10.1007/s11042-026-21326-2</w:t>
        </w:r>
      </w:hyperlink>
    </w:p>
    <w:p>
      <w:pPr>
        <w:keepLines/>
        <w:spacing w:after="200"/>
        <w:ind w:left="317" w:hanging="317"/>
      </w:pPr>
      <w:r>
        <w:t xml:space="preserve">3. </w:t>
      </w:r>
      <w:r>
        <w:rPr>
          <w:b/>
          <w:i w:val="0"/>
        </w:rPr>
        <w:t>Barzegar Nozari, R.</w:t>
      </w:r>
      <w:r>
        <w:rPr>
          <w:b w:val="0"/>
          <w:i w:val="0"/>
        </w:rPr>
        <w:t xml:space="preserve">, Koohi, H., &amp; Kobti, Z. (2024). IBGR: Influence-based group recommendation system. </w:t>
      </w:r>
      <w:r>
        <w:rPr>
          <w:b w:val="0"/>
          <w:i/>
        </w:rPr>
        <w:t>Software Impacts, 19</w:t>
      </w:r>
      <w:r>
        <w:rPr>
          <w:b w:val="0"/>
          <w:i w:val="0"/>
        </w:rPr>
        <w:t>, Article 100597.</w:t>
      </w:r>
      <w:r>
        <w:br/>
      </w:r>
      <w:hyperlink r:id="rId13">
        <w:r>
          <w:rPr>
            <w:color w:val="244B65"/>
          </w:rPr>
          <w:t>https://doi.org/10.1016/j.simpa.2023.100597</w:t>
        </w:r>
      </w:hyperlink>
    </w:p>
    <w:p>
      <w:pPr>
        <w:keepLines/>
        <w:spacing w:after="200"/>
        <w:ind w:left="317" w:hanging="317"/>
      </w:pPr>
      <w:r>
        <w:t xml:space="preserve">4. </w:t>
      </w:r>
      <w:r>
        <w:rPr>
          <w:b w:val="0"/>
          <w:i w:val="0"/>
        </w:rPr>
        <w:t xml:space="preserve">Ghobadi, F., Divsalar, A., Jandaghi, H., &amp; </w:t>
      </w:r>
      <w:r>
        <w:rPr>
          <w:b/>
          <w:i w:val="0"/>
        </w:rPr>
        <w:t>Barzegar Nozari, R.</w:t>
      </w:r>
      <w:r>
        <w:rPr>
          <w:b w:val="0"/>
          <w:i w:val="0"/>
        </w:rPr>
        <w:t xml:space="preserve"> (2023). An integrated recommender system for multi-day tourist itinerary. </w:t>
      </w:r>
      <w:r>
        <w:rPr>
          <w:b w:val="0"/>
          <w:i/>
        </w:rPr>
        <w:t>Applied Soft Computing, 149</w:t>
      </w:r>
      <w:r>
        <w:rPr>
          <w:b w:val="0"/>
          <w:i w:val="0"/>
        </w:rPr>
        <w:t>, Article 110942.</w:t>
      </w:r>
      <w:r>
        <w:br/>
      </w:r>
      <w:hyperlink r:id="rId14">
        <w:r>
          <w:rPr>
            <w:color w:val="244B65"/>
          </w:rPr>
          <w:t>https://doi.org/10.1016/j.asoc.2023.110942</w:t>
        </w:r>
      </w:hyperlink>
    </w:p>
    <w:p>
      <w:pPr>
        <w:keepLines/>
        <w:spacing w:after="200"/>
        <w:ind w:left="317" w:hanging="317"/>
      </w:pPr>
      <w:r>
        <w:t xml:space="preserve">5. </w:t>
      </w:r>
      <w:r>
        <w:rPr>
          <w:b/>
          <w:i w:val="0"/>
        </w:rPr>
        <w:t>Barzegar Nozari, R.</w:t>
      </w:r>
      <w:r>
        <w:rPr>
          <w:b w:val="0"/>
          <w:i w:val="0"/>
        </w:rPr>
        <w:t xml:space="preserve">, &amp; Koohi, H. (2022). An implicit trust-network construction approach and a recommendation methodology for recommender systems. </w:t>
      </w:r>
      <w:r>
        <w:rPr>
          <w:b w:val="0"/>
          <w:i/>
        </w:rPr>
        <w:t>Software Impacts, 12</w:t>
      </w:r>
      <w:r>
        <w:rPr>
          <w:b w:val="0"/>
          <w:i w:val="0"/>
        </w:rPr>
        <w:t>, Article 100242.</w:t>
      </w:r>
      <w:r>
        <w:br/>
      </w:r>
      <w:hyperlink r:id="rId15">
        <w:r>
          <w:rPr>
            <w:color w:val="244B65"/>
          </w:rPr>
          <w:t>https://doi.org/10.1016/j.simpa.2022.100242</w:t>
        </w:r>
      </w:hyperlink>
    </w:p>
    <w:p>
      <w:pPr>
        <w:keepLines/>
        <w:spacing w:after="200"/>
        <w:ind w:left="317" w:hanging="317"/>
      </w:pPr>
      <w:r>
        <w:t xml:space="preserve">6. </w:t>
      </w:r>
      <w:r>
        <w:rPr>
          <w:b/>
          <w:i w:val="0"/>
        </w:rPr>
        <w:t>Barzegar Nozari, R.</w:t>
      </w:r>
      <w:r>
        <w:rPr>
          <w:b w:val="0"/>
          <w:i w:val="0"/>
        </w:rPr>
        <w:t xml:space="preserve">, &amp; Koohi, H. (2021). Novel implicit-trust-network-based recommendation methodology. </w:t>
      </w:r>
      <w:r>
        <w:rPr>
          <w:b w:val="0"/>
          <w:i/>
        </w:rPr>
        <w:t>Expert Systems with Applications, 186</w:t>
      </w:r>
      <w:r>
        <w:rPr>
          <w:b w:val="0"/>
          <w:i w:val="0"/>
        </w:rPr>
        <w:t>, Article 115709.</w:t>
      </w:r>
      <w:r>
        <w:br/>
      </w:r>
      <w:hyperlink r:id="rId16">
        <w:r>
          <w:rPr>
            <w:color w:val="244B65"/>
          </w:rPr>
          <w:t>https://doi.org/10.1016/j.eswa.2021.115709</w:t>
        </w:r>
      </w:hyperlink>
    </w:p>
    <w:p>
      <w:pPr>
        <w:keepLines/>
        <w:spacing w:after="200"/>
        <w:ind w:left="317" w:hanging="317"/>
      </w:pPr>
      <w:r>
        <w:t xml:space="preserve">7. </w:t>
      </w:r>
      <w:r>
        <w:rPr>
          <w:b/>
          <w:i w:val="0"/>
        </w:rPr>
        <w:t>Barzegar Nozari, R.</w:t>
      </w:r>
      <w:r>
        <w:rPr>
          <w:b w:val="0"/>
          <w:i w:val="0"/>
        </w:rPr>
        <w:t xml:space="preserve">, &amp; Koohi, H. (2020). A novel group recommender system based on members’ influence and leader impact. </w:t>
      </w:r>
      <w:r>
        <w:rPr>
          <w:b w:val="0"/>
          <w:i/>
        </w:rPr>
        <w:t>Knowledge-Based Systems, 205</w:t>
      </w:r>
      <w:r>
        <w:rPr>
          <w:b w:val="0"/>
          <w:i w:val="0"/>
        </w:rPr>
        <w:t>, Article 106296.</w:t>
      </w:r>
      <w:r>
        <w:br/>
      </w:r>
      <w:hyperlink r:id="rId17">
        <w:r>
          <w:rPr>
            <w:color w:val="244B65"/>
          </w:rPr>
          <w:t>https://doi.org/10.1016/j.knosys.2020.106296</w:t>
        </w:r>
      </w:hyperlink>
    </w:p>
    <w:p>
      <w:pPr>
        <w:keepLines/>
        <w:spacing w:after="200"/>
        <w:ind w:left="317" w:hanging="317"/>
      </w:pPr>
      <w:r>
        <w:t xml:space="preserve">8. </w:t>
      </w:r>
      <w:r>
        <w:rPr>
          <w:b/>
          <w:i w:val="0"/>
        </w:rPr>
        <w:t>Barzegar Nozari, R.</w:t>
      </w:r>
      <w:r>
        <w:rPr>
          <w:b w:val="0"/>
          <w:i w:val="0"/>
        </w:rPr>
        <w:t xml:space="preserve">, Koohi, H., &amp; Mahmodi, E. (2020). A novel trust computation method based on user ratings to improve the recommendation. </w:t>
      </w:r>
      <w:r>
        <w:rPr>
          <w:b w:val="0"/>
          <w:i/>
        </w:rPr>
        <w:t>International Journal of Engineering, 33</w:t>
      </w:r>
      <w:r>
        <w:rPr>
          <w:b w:val="0"/>
          <w:i w:val="0"/>
        </w:rPr>
        <w:t>(3), 377–386.</w:t>
      </w:r>
      <w:r>
        <w:br/>
      </w:r>
      <w:hyperlink r:id="rId18">
        <w:r>
          <w:rPr>
            <w:color w:val="244B65"/>
          </w:rPr>
          <w:t>https://doi.org/10.5829/ije.2020.33.03c.02</w:t>
        </w:r>
      </w:hyperlink>
    </w:p>
    <w:p>
      <w:pPr>
        <w:pStyle w:val="Heading1"/>
      </w:pPr>
      <w:r>
        <w:t>Preprint</w:t>
      </w:r>
    </w:p>
    <w:p>
      <w:pPr>
        <w:keepLines/>
        <w:spacing w:after="200"/>
      </w:pPr>
      <w:r>
        <w:rPr>
          <w:b/>
          <w:i w:val="0"/>
        </w:rPr>
        <w:t>Barzegar Nozari, R.</w:t>
      </w:r>
      <w:r>
        <w:rPr>
          <w:b w:val="0"/>
          <w:i w:val="0"/>
        </w:rPr>
        <w:t xml:space="preserve">, Divsalar, M., Akbarzadeh Abkenar, S., Fadavi Amiri, M., &amp; Divsalar, A. (2024). </w:t>
      </w:r>
      <w:r>
        <w:rPr>
          <w:b w:val="0"/>
          <w:i/>
        </w:rPr>
        <w:t>A novel behavior-based recommendation system for e-commerce</w:t>
      </w:r>
      <w:r>
        <w:rPr>
          <w:b w:val="0"/>
          <w:i w:val="0"/>
        </w:rPr>
        <w:t xml:space="preserve"> [Preprint]. arXiv.</w:t>
      </w:r>
      <w:r>
        <w:br/>
      </w:r>
      <w:hyperlink r:id="rId19">
        <w:r>
          <w:rPr>
            <w:color w:val="244B65"/>
          </w:rPr>
          <w:t>https://doi.org/10.48550/arXiv.2403.18536</w:t>
        </w:r>
      </w:hyperlink>
    </w:p>
    <w:p>
      <w:r>
        <w:br w:type="page"/>
      </w:r>
    </w:p>
    <w:p>
      <w:pPr>
        <w:pStyle w:val="Heading1"/>
        <w:spacing w:before="0"/>
      </w:pPr>
      <w:r>
        <w:t>Current Research Manuscripts</w:t>
      </w:r>
    </w:p>
    <w:p>
      <w:pPr>
        <w:keepLines/>
        <w:spacing w:after="180"/>
      </w:pPr>
      <w:r>
        <w:rPr>
          <w:b/>
        </w:rPr>
        <w:t>Influence-Aware Preference Shifting via Convex CRF for Fair and Diverse Group Recommendation</w:t>
      </w:r>
      <w:r>
        <w:rPr>
          <w:i/>
        </w:rPr>
        <w:br/>
        <w:t xml:space="preserve">Ongoing research. </w:t>
      </w:r>
      <w:r>
        <w:t>Probabilistic graphical models, social influence, fairness, and diversity.</w:t>
      </w:r>
    </w:p>
    <w:p>
      <w:pPr>
        <w:keepLines/>
        <w:spacing w:after="180"/>
      </w:pPr>
      <w:r>
        <w:rPr>
          <w:b/>
        </w:rPr>
        <w:t>Wasserstein-Enhanced Student-Calibrated Teacher Distillation via Geometric Manifold Alignment</w:t>
      </w:r>
      <w:r>
        <w:rPr>
          <w:i/>
        </w:rPr>
        <w:br/>
        <w:t xml:space="preserve">Under review. </w:t>
      </w:r>
      <w:r>
        <w:t>Optimal transport and geometric knowledge distillation.</w:t>
      </w:r>
    </w:p>
    <w:p>
      <w:pPr>
        <w:keepLines/>
        <w:spacing w:after="180"/>
      </w:pPr>
      <w:r>
        <w:rPr>
          <w:b/>
        </w:rPr>
        <w:t>Do We Need Every Teacher Prediction? Geometry-Calibrated Budgeted Distillation</w:t>
      </w:r>
      <w:r>
        <w:rPr>
          <w:i/>
        </w:rPr>
        <w:br/>
        <w:t xml:space="preserve">Under review. </w:t>
      </w:r>
      <w:r>
        <w:t>Efficient knowledge distillation and selective teacher querying.</w:t>
      </w:r>
    </w:p>
    <w:p>
      <w:pPr>
        <w:keepLines/>
        <w:spacing w:after="180"/>
      </w:pPr>
      <w:r>
        <w:rPr>
          <w:b/>
        </w:rPr>
        <w:t>CRAT: Causally Routed Adaptive Tuning for Machine Translation with Large Language Models</w:t>
      </w:r>
      <w:r>
        <w:rPr>
          <w:i/>
        </w:rPr>
        <w:br/>
        <w:t xml:space="preserve">Recent research manuscript. </w:t>
      </w:r>
      <w:r>
        <w:t>Causal interpretability, language model adaptation, and machine translation.</w:t>
      </w:r>
    </w:p>
    <w:p>
      <w:pPr>
        <w:pStyle w:val="Heading1"/>
      </w:pPr>
      <w:r>
        <w:t>Peer Review Service</w:t>
      </w:r>
    </w:p>
    <w:p>
      <w:pPr>
        <w:keepLines/>
      </w:pPr>
      <w:r>
        <w:rPr>
          <w:b/>
        </w:rPr>
        <w:t>Journal reviewer</w:t>
      </w:r>
      <w:r>
        <w:t xml:space="preserve">  |  111 completed peer reviews across 10 journals</w:t>
        <w:br/>
        <w:t>Review activity through October 2026</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424"/>
        <w:gridCol w:w="1656"/>
      </w:tblGrid>
      <w:tr>
        <w:trPr>
          <w:cantSplit/>
          <w:tblHeader/>
        </w:trPr>
        <w:tc>
          <w:tcPr>
            <w:tcW w:type="dxa" w:w="8424"/>
            <w:vAlign w:val="center"/>
            <w:tcMar>
              <w:top w:w="65" w:type="dxa"/>
              <w:bottom w:w="65" w:type="dxa"/>
              <w:left w:w="110" w:type="dxa"/>
              <w:right w:w="110" w:type="dxa"/>
            </w:tcMar>
            <w:shd w:fill="E8ECEF"/>
          </w:tcPr>
          <w:p>
            <w:pPr>
              <w:spacing w:before="0" w:after="0" w:line="240" w:lineRule="auto"/>
              <w:jc w:val="left"/>
            </w:pPr>
            <w:r>
              <w:rPr>
                <w:b/>
                <w:sz w:val="22"/>
              </w:rPr>
              <w:t>Journal</w:t>
            </w:r>
          </w:p>
        </w:tc>
        <w:tc>
          <w:tcPr>
            <w:tcW w:type="dxa" w:w="1656"/>
            <w:vAlign w:val="center"/>
            <w:tcMar>
              <w:top w:w="65" w:type="dxa"/>
              <w:bottom w:w="65" w:type="dxa"/>
              <w:left w:w="110" w:type="dxa"/>
              <w:right w:w="110" w:type="dxa"/>
            </w:tcMar>
            <w:shd w:fill="E8ECEF"/>
          </w:tcPr>
          <w:p>
            <w:pPr>
              <w:spacing w:before="0" w:after="0" w:line="240" w:lineRule="auto"/>
              <w:jc w:val="center"/>
            </w:pPr>
            <w:r>
              <w:rPr>
                <w:b/>
                <w:sz w:val="22"/>
              </w:rPr>
              <w:t>Reviews</w:t>
            </w:r>
          </w:p>
        </w:tc>
      </w:tr>
      <w:tr>
        <w:trPr>
          <w:cantSplit/>
        </w:trPr>
        <w:tc>
          <w:tcPr>
            <w:tcW w:type="dxa" w:w="8424"/>
            <w:vAlign w:val="center"/>
            <w:tcMar>
              <w:top w:w="65" w:type="dxa"/>
              <w:bottom w:w="65" w:type="dxa"/>
              <w:left w:w="110" w:type="dxa"/>
              <w:right w:w="110" w:type="dxa"/>
            </w:tcMar>
            <w:shd w:fill="FFFFFF"/>
          </w:tcPr>
          <w:p>
            <w:pPr>
              <w:spacing w:before="0" w:after="0" w:line="240" w:lineRule="auto"/>
              <w:jc w:val="left"/>
            </w:pPr>
            <w:r>
              <w:rPr>
                <w:b w:val="0"/>
                <w:sz w:val="22"/>
              </w:rPr>
              <w:t>Applied Intelligence</w:t>
            </w:r>
          </w:p>
        </w:tc>
        <w:tc>
          <w:tcPr>
            <w:tcW w:type="dxa" w:w="1656"/>
            <w:vAlign w:val="center"/>
            <w:tcMar>
              <w:top w:w="65" w:type="dxa"/>
              <w:bottom w:w="65" w:type="dxa"/>
              <w:left w:w="110" w:type="dxa"/>
              <w:right w:w="110" w:type="dxa"/>
            </w:tcMar>
            <w:shd w:fill="FFFFFF"/>
          </w:tcPr>
          <w:p>
            <w:pPr>
              <w:spacing w:before="0" w:after="0" w:line="240" w:lineRule="auto"/>
              <w:jc w:val="center"/>
            </w:pPr>
            <w:r>
              <w:rPr>
                <w:b w:val="0"/>
                <w:sz w:val="22"/>
              </w:rPr>
              <w:t>15</w:t>
            </w:r>
          </w:p>
        </w:tc>
      </w:tr>
      <w:tr>
        <w:trPr>
          <w:cantSplit/>
        </w:trPr>
        <w:tc>
          <w:tcPr>
            <w:tcW w:type="dxa" w:w="8424"/>
            <w:vAlign w:val="center"/>
            <w:tcMar>
              <w:top w:w="65" w:type="dxa"/>
              <w:bottom w:w="65" w:type="dxa"/>
              <w:left w:w="110" w:type="dxa"/>
              <w:right w:w="110" w:type="dxa"/>
            </w:tcMar>
            <w:shd w:fill="FFFFFF"/>
          </w:tcPr>
          <w:p>
            <w:pPr>
              <w:spacing w:before="0" w:after="0" w:line="240" w:lineRule="auto"/>
              <w:jc w:val="left"/>
            </w:pPr>
            <w:r>
              <w:rPr>
                <w:b w:val="0"/>
                <w:sz w:val="22"/>
              </w:rPr>
              <w:t>Applied Soft Computing</w:t>
            </w:r>
          </w:p>
        </w:tc>
        <w:tc>
          <w:tcPr>
            <w:tcW w:type="dxa" w:w="1656"/>
            <w:vAlign w:val="center"/>
            <w:tcMar>
              <w:top w:w="65" w:type="dxa"/>
              <w:bottom w:w="65" w:type="dxa"/>
              <w:left w:w="110" w:type="dxa"/>
              <w:right w:w="110" w:type="dxa"/>
            </w:tcMar>
            <w:shd w:fill="FFFFFF"/>
          </w:tcPr>
          <w:p>
            <w:pPr>
              <w:spacing w:before="0" w:after="0" w:line="240" w:lineRule="auto"/>
              <w:jc w:val="center"/>
            </w:pPr>
            <w:r>
              <w:rPr>
                <w:b w:val="0"/>
                <w:sz w:val="22"/>
              </w:rPr>
              <w:t>14</w:t>
            </w:r>
          </w:p>
        </w:tc>
      </w:tr>
      <w:tr>
        <w:trPr>
          <w:cantSplit/>
        </w:trPr>
        <w:tc>
          <w:tcPr>
            <w:tcW w:type="dxa" w:w="8424"/>
            <w:vAlign w:val="center"/>
            <w:tcMar>
              <w:top w:w="65" w:type="dxa"/>
              <w:bottom w:w="65" w:type="dxa"/>
              <w:left w:w="110" w:type="dxa"/>
              <w:right w:w="110" w:type="dxa"/>
            </w:tcMar>
            <w:shd w:fill="FFFFFF"/>
          </w:tcPr>
          <w:p>
            <w:pPr>
              <w:spacing w:before="0" w:after="0" w:line="240" w:lineRule="auto"/>
              <w:jc w:val="left"/>
            </w:pPr>
            <w:r>
              <w:rPr>
                <w:b w:val="0"/>
                <w:sz w:val="22"/>
              </w:rPr>
              <w:t>Electronic Commerce Research and Applications</w:t>
            </w:r>
          </w:p>
        </w:tc>
        <w:tc>
          <w:tcPr>
            <w:tcW w:type="dxa" w:w="1656"/>
            <w:vAlign w:val="center"/>
            <w:tcMar>
              <w:top w:w="65" w:type="dxa"/>
              <w:bottom w:w="65" w:type="dxa"/>
              <w:left w:w="110" w:type="dxa"/>
              <w:right w:w="110" w:type="dxa"/>
            </w:tcMar>
            <w:shd w:fill="FFFFFF"/>
          </w:tcPr>
          <w:p>
            <w:pPr>
              <w:spacing w:before="0" w:after="0" w:line="240" w:lineRule="auto"/>
              <w:jc w:val="center"/>
            </w:pPr>
            <w:r>
              <w:rPr>
                <w:b w:val="0"/>
                <w:sz w:val="22"/>
              </w:rPr>
              <w:t>1</w:t>
            </w:r>
          </w:p>
        </w:tc>
      </w:tr>
      <w:tr>
        <w:trPr>
          <w:cantSplit/>
        </w:trPr>
        <w:tc>
          <w:tcPr>
            <w:tcW w:type="dxa" w:w="8424"/>
            <w:vAlign w:val="center"/>
            <w:tcMar>
              <w:top w:w="65" w:type="dxa"/>
              <w:bottom w:w="65" w:type="dxa"/>
              <w:left w:w="110" w:type="dxa"/>
              <w:right w:w="110" w:type="dxa"/>
            </w:tcMar>
            <w:shd w:fill="FFFFFF"/>
          </w:tcPr>
          <w:p>
            <w:pPr>
              <w:spacing w:before="0" w:after="0" w:line="240" w:lineRule="auto"/>
              <w:jc w:val="left"/>
            </w:pPr>
            <w:r>
              <w:rPr>
                <w:b w:val="0"/>
                <w:sz w:val="22"/>
              </w:rPr>
              <w:t>Engineering Applications of Artificial Intelligence</w:t>
            </w:r>
          </w:p>
        </w:tc>
        <w:tc>
          <w:tcPr>
            <w:tcW w:type="dxa" w:w="1656"/>
            <w:vAlign w:val="center"/>
            <w:tcMar>
              <w:top w:w="65" w:type="dxa"/>
              <w:bottom w:w="65" w:type="dxa"/>
              <w:left w:w="110" w:type="dxa"/>
              <w:right w:w="110" w:type="dxa"/>
            </w:tcMar>
            <w:shd w:fill="FFFFFF"/>
          </w:tcPr>
          <w:p>
            <w:pPr>
              <w:spacing w:before="0" w:after="0" w:line="240" w:lineRule="auto"/>
              <w:jc w:val="center"/>
            </w:pPr>
            <w:r>
              <w:rPr>
                <w:b w:val="0"/>
                <w:sz w:val="22"/>
              </w:rPr>
              <w:t>60</w:t>
            </w:r>
          </w:p>
        </w:tc>
      </w:tr>
      <w:tr>
        <w:trPr>
          <w:cantSplit/>
        </w:trPr>
        <w:tc>
          <w:tcPr>
            <w:tcW w:type="dxa" w:w="8424"/>
            <w:vAlign w:val="center"/>
            <w:tcMar>
              <w:top w:w="65" w:type="dxa"/>
              <w:bottom w:w="65" w:type="dxa"/>
              <w:left w:w="110" w:type="dxa"/>
              <w:right w:w="110" w:type="dxa"/>
            </w:tcMar>
            <w:shd w:fill="FFFFFF"/>
          </w:tcPr>
          <w:p>
            <w:pPr>
              <w:spacing w:before="0" w:after="0" w:line="240" w:lineRule="auto"/>
              <w:jc w:val="left"/>
            </w:pPr>
            <w:r>
              <w:rPr>
                <w:b w:val="0"/>
                <w:sz w:val="22"/>
              </w:rPr>
              <w:t>Expert Systems with Applications</w:t>
            </w:r>
          </w:p>
        </w:tc>
        <w:tc>
          <w:tcPr>
            <w:tcW w:type="dxa" w:w="1656"/>
            <w:vAlign w:val="center"/>
            <w:tcMar>
              <w:top w:w="65" w:type="dxa"/>
              <w:bottom w:w="65" w:type="dxa"/>
              <w:left w:w="110" w:type="dxa"/>
              <w:right w:w="110" w:type="dxa"/>
            </w:tcMar>
            <w:shd w:fill="FFFFFF"/>
          </w:tcPr>
          <w:p>
            <w:pPr>
              <w:spacing w:before="0" w:after="0" w:line="240" w:lineRule="auto"/>
              <w:jc w:val="center"/>
            </w:pPr>
            <w:r>
              <w:rPr>
                <w:b w:val="0"/>
                <w:sz w:val="22"/>
              </w:rPr>
              <w:t>8</w:t>
            </w:r>
          </w:p>
        </w:tc>
      </w:tr>
      <w:tr>
        <w:trPr>
          <w:cantSplit/>
        </w:trPr>
        <w:tc>
          <w:tcPr>
            <w:tcW w:type="dxa" w:w="8424"/>
            <w:vAlign w:val="center"/>
            <w:tcMar>
              <w:top w:w="65" w:type="dxa"/>
              <w:bottom w:w="65" w:type="dxa"/>
              <w:left w:w="110" w:type="dxa"/>
              <w:right w:w="110" w:type="dxa"/>
            </w:tcMar>
            <w:shd w:fill="FFFFFF"/>
          </w:tcPr>
          <w:p>
            <w:pPr>
              <w:spacing w:before="0" w:after="0" w:line="240" w:lineRule="auto"/>
              <w:jc w:val="left"/>
            </w:pPr>
            <w:r>
              <w:rPr>
                <w:b w:val="0"/>
                <w:sz w:val="22"/>
              </w:rPr>
              <w:t>Information Fusion</w:t>
            </w:r>
          </w:p>
        </w:tc>
        <w:tc>
          <w:tcPr>
            <w:tcW w:type="dxa" w:w="1656"/>
            <w:vAlign w:val="center"/>
            <w:tcMar>
              <w:top w:w="65" w:type="dxa"/>
              <w:bottom w:w="65" w:type="dxa"/>
              <w:left w:w="110" w:type="dxa"/>
              <w:right w:w="110" w:type="dxa"/>
            </w:tcMar>
            <w:shd w:fill="FFFFFF"/>
          </w:tcPr>
          <w:p>
            <w:pPr>
              <w:spacing w:before="0" w:after="0" w:line="240" w:lineRule="auto"/>
              <w:jc w:val="center"/>
            </w:pPr>
            <w:r>
              <w:rPr>
                <w:b w:val="0"/>
                <w:sz w:val="22"/>
              </w:rPr>
              <w:t>1</w:t>
            </w:r>
          </w:p>
        </w:tc>
      </w:tr>
      <w:tr>
        <w:trPr>
          <w:cantSplit/>
        </w:trPr>
        <w:tc>
          <w:tcPr>
            <w:tcW w:type="dxa" w:w="8424"/>
            <w:vAlign w:val="center"/>
            <w:tcMar>
              <w:top w:w="65" w:type="dxa"/>
              <w:bottom w:w="65" w:type="dxa"/>
              <w:left w:w="110" w:type="dxa"/>
              <w:right w:w="110" w:type="dxa"/>
            </w:tcMar>
            <w:shd w:fill="FFFFFF"/>
          </w:tcPr>
          <w:p>
            <w:pPr>
              <w:spacing w:before="0" w:after="0" w:line="240" w:lineRule="auto"/>
              <w:jc w:val="left"/>
            </w:pPr>
            <w:r>
              <w:rPr>
                <w:b w:val="0"/>
                <w:sz w:val="22"/>
              </w:rPr>
              <w:t>Information Sciences</w:t>
            </w:r>
          </w:p>
        </w:tc>
        <w:tc>
          <w:tcPr>
            <w:tcW w:type="dxa" w:w="1656"/>
            <w:vAlign w:val="center"/>
            <w:tcMar>
              <w:top w:w="65" w:type="dxa"/>
              <w:bottom w:w="65" w:type="dxa"/>
              <w:left w:w="110" w:type="dxa"/>
              <w:right w:w="110" w:type="dxa"/>
            </w:tcMar>
            <w:shd w:fill="FFFFFF"/>
          </w:tcPr>
          <w:p>
            <w:pPr>
              <w:spacing w:before="0" w:after="0" w:line="240" w:lineRule="auto"/>
              <w:jc w:val="center"/>
            </w:pPr>
            <w:r>
              <w:rPr>
                <w:b w:val="0"/>
                <w:sz w:val="22"/>
              </w:rPr>
              <w:t>3</w:t>
            </w:r>
          </w:p>
        </w:tc>
      </w:tr>
      <w:tr>
        <w:trPr>
          <w:cantSplit/>
        </w:trPr>
        <w:tc>
          <w:tcPr>
            <w:tcW w:type="dxa" w:w="8424"/>
            <w:vAlign w:val="center"/>
            <w:tcMar>
              <w:top w:w="65" w:type="dxa"/>
              <w:bottom w:w="65" w:type="dxa"/>
              <w:left w:w="110" w:type="dxa"/>
              <w:right w:w="110" w:type="dxa"/>
            </w:tcMar>
            <w:shd w:fill="FFFFFF"/>
          </w:tcPr>
          <w:p>
            <w:pPr>
              <w:spacing w:before="0" w:after="0" w:line="240" w:lineRule="auto"/>
              <w:jc w:val="left"/>
            </w:pPr>
            <w:r>
              <w:rPr>
                <w:b w:val="0"/>
                <w:sz w:val="22"/>
              </w:rPr>
              <w:t>Knowledge-Based Systems</w:t>
            </w:r>
          </w:p>
        </w:tc>
        <w:tc>
          <w:tcPr>
            <w:tcW w:type="dxa" w:w="1656"/>
            <w:vAlign w:val="center"/>
            <w:tcMar>
              <w:top w:w="65" w:type="dxa"/>
              <w:bottom w:w="65" w:type="dxa"/>
              <w:left w:w="110" w:type="dxa"/>
              <w:right w:w="110" w:type="dxa"/>
            </w:tcMar>
            <w:shd w:fill="FFFFFF"/>
          </w:tcPr>
          <w:p>
            <w:pPr>
              <w:spacing w:before="0" w:after="0" w:line="240" w:lineRule="auto"/>
              <w:jc w:val="center"/>
            </w:pPr>
            <w:r>
              <w:rPr>
                <w:b w:val="0"/>
                <w:sz w:val="22"/>
              </w:rPr>
              <w:t>4</w:t>
            </w:r>
          </w:p>
        </w:tc>
      </w:tr>
      <w:tr>
        <w:trPr>
          <w:cantSplit/>
        </w:trPr>
        <w:tc>
          <w:tcPr>
            <w:tcW w:type="dxa" w:w="8424"/>
            <w:vAlign w:val="center"/>
            <w:tcMar>
              <w:top w:w="65" w:type="dxa"/>
              <w:bottom w:w="65" w:type="dxa"/>
              <w:left w:w="110" w:type="dxa"/>
              <w:right w:w="110" w:type="dxa"/>
            </w:tcMar>
            <w:shd w:fill="FFFFFF"/>
          </w:tcPr>
          <w:p>
            <w:pPr>
              <w:spacing w:before="0" w:after="0" w:line="240" w:lineRule="auto"/>
              <w:jc w:val="left"/>
            </w:pPr>
            <w:r>
              <w:rPr>
                <w:b w:val="0"/>
                <w:sz w:val="22"/>
              </w:rPr>
              <w:t>Multimedia Tools and Applications</w:t>
            </w:r>
          </w:p>
        </w:tc>
        <w:tc>
          <w:tcPr>
            <w:tcW w:type="dxa" w:w="1656"/>
            <w:vAlign w:val="center"/>
            <w:tcMar>
              <w:top w:w="65" w:type="dxa"/>
              <w:bottom w:w="65" w:type="dxa"/>
              <w:left w:w="110" w:type="dxa"/>
              <w:right w:w="110" w:type="dxa"/>
            </w:tcMar>
            <w:shd w:fill="FFFFFF"/>
          </w:tcPr>
          <w:p>
            <w:pPr>
              <w:spacing w:before="0" w:after="0" w:line="240" w:lineRule="auto"/>
              <w:jc w:val="center"/>
            </w:pPr>
            <w:r>
              <w:rPr>
                <w:b w:val="0"/>
                <w:sz w:val="22"/>
              </w:rPr>
              <w:t>3</w:t>
            </w:r>
          </w:p>
        </w:tc>
      </w:tr>
      <w:tr>
        <w:trPr>
          <w:cantSplit/>
        </w:trPr>
        <w:tc>
          <w:tcPr>
            <w:tcW w:type="dxa" w:w="8424"/>
            <w:vAlign w:val="center"/>
            <w:tcMar>
              <w:top w:w="65" w:type="dxa"/>
              <w:bottom w:w="65" w:type="dxa"/>
              <w:left w:w="110" w:type="dxa"/>
              <w:right w:w="110" w:type="dxa"/>
            </w:tcMar>
            <w:shd w:fill="FFFFFF"/>
          </w:tcPr>
          <w:p>
            <w:pPr>
              <w:spacing w:before="0" w:after="0" w:line="240" w:lineRule="auto"/>
              <w:jc w:val="left"/>
            </w:pPr>
            <w:r>
              <w:rPr>
                <w:b w:val="0"/>
                <w:sz w:val="22"/>
              </w:rPr>
              <w:t>The Journal of Supercomputing</w:t>
            </w:r>
          </w:p>
        </w:tc>
        <w:tc>
          <w:tcPr>
            <w:tcW w:type="dxa" w:w="1656"/>
            <w:vAlign w:val="center"/>
            <w:tcMar>
              <w:top w:w="65" w:type="dxa"/>
              <w:bottom w:w="65" w:type="dxa"/>
              <w:left w:w="110" w:type="dxa"/>
              <w:right w:w="110" w:type="dxa"/>
            </w:tcMar>
            <w:shd w:fill="FFFFFF"/>
          </w:tcPr>
          <w:p>
            <w:pPr>
              <w:spacing w:before="0" w:after="0" w:line="240" w:lineRule="auto"/>
              <w:jc w:val="center"/>
            </w:pPr>
            <w:r>
              <w:rPr>
                <w:b w:val="0"/>
                <w:sz w:val="22"/>
              </w:rPr>
              <w:t>2</w:t>
            </w:r>
          </w:p>
        </w:tc>
      </w:tr>
      <w:tr>
        <w:trPr>
          <w:cantSplit/>
        </w:trPr>
        <w:tc>
          <w:tcPr>
            <w:tcW w:type="dxa" w:w="8424"/>
            <w:vAlign w:val="center"/>
            <w:tcMar>
              <w:top w:w="65" w:type="dxa"/>
              <w:bottom w:w="65" w:type="dxa"/>
              <w:left w:w="110" w:type="dxa"/>
              <w:right w:w="110" w:type="dxa"/>
            </w:tcMar>
            <w:shd w:fill="F5F5F5"/>
          </w:tcPr>
          <w:p>
            <w:pPr>
              <w:spacing w:before="0" w:after="0" w:line="240" w:lineRule="auto"/>
              <w:jc w:val="left"/>
            </w:pPr>
            <w:r>
              <w:rPr>
                <w:b/>
                <w:sz w:val="22"/>
              </w:rPr>
              <w:t>Total</w:t>
            </w:r>
          </w:p>
        </w:tc>
        <w:tc>
          <w:tcPr>
            <w:tcW w:type="dxa" w:w="1656"/>
            <w:vAlign w:val="center"/>
            <w:tcMar>
              <w:top w:w="65" w:type="dxa"/>
              <w:bottom w:w="65" w:type="dxa"/>
              <w:left w:w="110" w:type="dxa"/>
              <w:right w:w="110" w:type="dxa"/>
            </w:tcMar>
            <w:shd w:fill="F5F5F5"/>
          </w:tcPr>
          <w:p>
            <w:pPr>
              <w:spacing w:before="0" w:after="0" w:line="240" w:lineRule="auto"/>
              <w:jc w:val="center"/>
            </w:pPr>
            <w:r>
              <w:rPr>
                <w:b/>
                <w:sz w:val="22"/>
              </w:rPr>
              <w:t>111</w:t>
            </w:r>
          </w:p>
        </w:tc>
      </w:tr>
    </w:tbl>
    <w:sectPr w:rsidR="00FC693F" w:rsidRPr="0006063C" w:rsidSect="00034616">
      <w:footerReference w:type="default" r:id="rId20"/>
      <w:pgSz w:w="12240" w:h="15840"/>
      <w:pgMar w:top="936"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spacing w:after="0"/>
    </w:pPr>
    <w:r>
      <w:rPr>
        <w:sz w:val="18"/>
      </w:rPr>
      <w:t>Reza Barzegar Nozari  |  Academic CV</w:t>
    </w:r>
    <w:r>
      <w:rPr>
        <w:sz w:val="18"/>
      </w:rPr>
      <w:tab/>
    </w:r>
    <w:fldSimple w:instr="PAGE"/>
    <w:r>
      <w:rPr>
        <w:sz w:val="18"/>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barzegar@eng.ui.ac.ir" TargetMode="External"/><Relationship Id="rId10" Type="http://schemas.openxmlformats.org/officeDocument/2006/relationships/hyperlink" Target="https://orcid.org/0000-0002-7051-0853" TargetMode="External"/><Relationship Id="rId11" Type="http://schemas.openxmlformats.org/officeDocument/2006/relationships/hyperlink" Target="https://doi.org/10.1016/j.eswa.2026.131864" TargetMode="External"/><Relationship Id="rId12" Type="http://schemas.openxmlformats.org/officeDocument/2006/relationships/hyperlink" Target="https://doi.org/10.1007/s11042-026-21326-2" TargetMode="External"/><Relationship Id="rId13" Type="http://schemas.openxmlformats.org/officeDocument/2006/relationships/hyperlink" Target="https://doi.org/10.1016/j.simpa.2023.100597" TargetMode="External"/><Relationship Id="rId14" Type="http://schemas.openxmlformats.org/officeDocument/2006/relationships/hyperlink" Target="https://doi.org/10.1016/j.asoc.2023.110942" TargetMode="External"/><Relationship Id="rId15" Type="http://schemas.openxmlformats.org/officeDocument/2006/relationships/hyperlink" Target="https://doi.org/10.1016/j.simpa.2022.100242" TargetMode="External"/><Relationship Id="rId16" Type="http://schemas.openxmlformats.org/officeDocument/2006/relationships/hyperlink" Target="https://doi.org/10.1016/j.eswa.2021.115709" TargetMode="External"/><Relationship Id="rId17" Type="http://schemas.openxmlformats.org/officeDocument/2006/relationships/hyperlink" Target="https://doi.org/10.1016/j.knosys.2020.106296" TargetMode="External"/><Relationship Id="rId18" Type="http://schemas.openxmlformats.org/officeDocument/2006/relationships/hyperlink" Target="https://doi.org/10.5829/ije.2020.33.03c.02" TargetMode="External"/><Relationship Id="rId19" Type="http://schemas.openxmlformats.org/officeDocument/2006/relationships/hyperlink" Target="https://doi.org/10.48550/arXiv.2403.18536"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Reza Barzegar Nozari Academic Curriculum Vitae</dc:title>
  <dc:subject>Education research publications and peer review service</dc:subject>
  <dc:creator>Reza Barzegar Nozari</dc:creator>
  <cp:keywords>Artificial Intelligence, Academic CV, Reza Barzegar Nozari</cp:keywords>
  <dc:description>generated by python-docx</dc:description>
  <cp:lastModifiedBy/>
  <cp:revision>1</cp:revision>
  <dcterms:created xsi:type="dcterms:W3CDTF">2013-12-23T23:15:00Z</dcterms:created>
  <dcterms:modified xsi:type="dcterms:W3CDTF">2013-12-23T23:15:00Z</dcterms:modified>
  <cp:category/>
</cp:coreProperties>
</file>