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3781" w14:textId="77777777" w:rsidR="00AB7F09" w:rsidRDefault="00000000">
      <w:pPr>
        <w:jc w:val="center"/>
      </w:pPr>
      <w:r>
        <w:rPr>
          <w:b/>
          <w:color w:val="1F77B4"/>
          <w:sz w:val="80"/>
        </w:rPr>
        <w:t>QMRA Batch Processing</w:t>
      </w:r>
      <w:r>
        <w:rPr>
          <w:b/>
          <w:color w:val="1F77B4"/>
          <w:sz w:val="80"/>
        </w:rPr>
        <w:br/>
        <w:t>Web Application</w:t>
      </w:r>
    </w:p>
    <w:p w14:paraId="08B02C1B" w14:textId="77777777" w:rsidR="00AB7F09" w:rsidRDefault="00AB7F09"/>
    <w:p w14:paraId="6998ABEC" w14:textId="77777777" w:rsidR="00AB7F09" w:rsidRDefault="00AB7F09"/>
    <w:p w14:paraId="21086BB5" w14:textId="77777777" w:rsidR="00AB7F09" w:rsidRDefault="00AB7F09"/>
    <w:p w14:paraId="5B18B29A" w14:textId="77777777" w:rsidR="00AB7F09" w:rsidRDefault="00000000">
      <w:pPr>
        <w:jc w:val="center"/>
      </w:pPr>
      <w:r>
        <w:rPr>
          <w:color w:val="464646"/>
          <w:sz w:val="40"/>
        </w:rPr>
        <w:t>Professional User Guide</w:t>
      </w:r>
      <w:r>
        <w:rPr>
          <w:color w:val="464646"/>
          <w:sz w:val="40"/>
        </w:rPr>
        <w:br/>
        <w:t>&amp;</w:t>
      </w:r>
      <w:r>
        <w:rPr>
          <w:color w:val="464646"/>
          <w:sz w:val="40"/>
        </w:rPr>
        <w:br/>
        <w:t>Technical Documentation</w:t>
      </w:r>
    </w:p>
    <w:p w14:paraId="5D88B275" w14:textId="77777777" w:rsidR="00AB7F09" w:rsidRDefault="00AB7F09"/>
    <w:p w14:paraId="60331DA6" w14:textId="77777777" w:rsidR="00AB7F09" w:rsidRDefault="00AB7F09"/>
    <w:p w14:paraId="24055FC5" w14:textId="77777777" w:rsidR="00AB7F09" w:rsidRDefault="00AB7F09"/>
    <w:p w14:paraId="7D37C2B5" w14:textId="77777777" w:rsidR="00AB7F09" w:rsidRDefault="00000000">
      <w:pPr>
        <w:jc w:val="center"/>
      </w:pPr>
      <w:r>
        <w:rPr>
          <w:color w:val="646464"/>
          <w:sz w:val="26"/>
        </w:rPr>
        <w:t>Quantitative Microbial Risk Assessment Toolkit</w:t>
      </w:r>
      <w:r>
        <w:rPr>
          <w:color w:val="646464"/>
          <w:sz w:val="26"/>
        </w:rPr>
        <w:br/>
      </w:r>
      <w:r>
        <w:rPr>
          <w:color w:val="646464"/>
          <w:sz w:val="26"/>
        </w:rPr>
        <w:br/>
      </w:r>
      <w:r>
        <w:rPr>
          <w:color w:val="808080"/>
        </w:rPr>
        <w:t>Version 2.0 | November 2025</w:t>
      </w:r>
      <w:r>
        <w:rPr>
          <w:color w:val="808080"/>
        </w:rPr>
        <w:br/>
      </w:r>
      <w:r>
        <w:rPr>
          <w:color w:val="808080"/>
        </w:rPr>
        <w:br/>
        <w:t>NIWA - National Institute of Water &amp; Atmospheric Research</w:t>
      </w:r>
      <w:r>
        <w:rPr>
          <w:color w:val="808080"/>
        </w:rPr>
        <w:br/>
      </w:r>
      <w:r>
        <w:rPr>
          <w:color w:val="969696"/>
          <w:sz w:val="20"/>
        </w:rPr>
        <w:t>Hamilton, New Zealand</w:t>
      </w:r>
    </w:p>
    <w:p w14:paraId="5F359828" w14:textId="77777777" w:rsidR="00AB7F09" w:rsidRDefault="00000000">
      <w:r>
        <w:br w:type="page"/>
      </w:r>
    </w:p>
    <w:p w14:paraId="261B20DB" w14:textId="77777777" w:rsidR="00AB7F09" w:rsidRDefault="00000000">
      <w:pPr>
        <w:pStyle w:val="Heading1"/>
      </w:pPr>
      <w:r>
        <w:rPr>
          <w:color w:val="1F77B4"/>
        </w:rPr>
        <w:lastRenderedPageBreak/>
        <w:t>Executive Summary</w:t>
      </w:r>
    </w:p>
    <w:p w14:paraId="79C841BB" w14:textId="77777777" w:rsidR="00AB7F09" w:rsidRDefault="00000000">
      <w:r>
        <w:t>The QMRA Batch Processing Web Application is a professional tool for quantitative microbial risk assessment (QMRA) of waterborne pathogens. It evaluates public health risks from pathogen exposure through shellfish consumption, recreational water contact, and other routes using validated dose-response models and Monte Carlo simulation.</w:t>
      </w:r>
    </w:p>
    <w:p w14:paraId="128E8A6A" w14:textId="77777777" w:rsidR="00AB7F09" w:rsidRDefault="00AB7F09"/>
    <w:p w14:paraId="0160B225" w14:textId="77777777" w:rsidR="00AB7F09" w:rsidRDefault="00000000">
      <w:r>
        <w:t>This application implements Production Mode as the default configuration, restricting pathogen selection to norovirus only with the validated Beta-Binomial dose-response model. This ensures all risk assessments meet scientific standards and align with project deliverables.</w:t>
      </w:r>
    </w:p>
    <w:p w14:paraId="759EDA4E" w14:textId="77777777" w:rsidR="00AB7F09" w:rsidRDefault="00AB7F09"/>
    <w:p w14:paraId="6A29CA43" w14:textId="77777777" w:rsidR="00AB7F09" w:rsidRDefault="00000000">
      <w:r>
        <w:rPr>
          <w:b/>
        </w:rPr>
        <w:t>Key Features:</w:t>
      </w:r>
    </w:p>
    <w:p w14:paraId="60414F52" w14:textId="77777777" w:rsidR="00AB7F09" w:rsidRDefault="00000000">
      <w:pPr>
        <w:pStyle w:val="ListBullet"/>
      </w:pPr>
      <w:r>
        <w:t>Five specialized assessment workflows for different scenarios</w:t>
      </w:r>
    </w:p>
    <w:p w14:paraId="448CD49B" w14:textId="77777777" w:rsidR="00AB7F09" w:rsidRDefault="00000000">
      <w:pPr>
        <w:pStyle w:val="ListBullet"/>
      </w:pPr>
      <w:r>
        <w:t>Validated Beta-Binomial dose-response model for norovirus (α=0.04, β=0.055)</w:t>
      </w:r>
    </w:p>
    <w:p w14:paraId="69C513A6" w14:textId="77777777" w:rsidR="00AB7F09" w:rsidRDefault="00000000">
      <w:pPr>
        <w:pStyle w:val="ListBullet"/>
      </w:pPr>
      <w:r>
        <w:t>Monte Carlo simulation with 10,000 iterations for uncertainty quantification</w:t>
      </w:r>
    </w:p>
    <w:p w14:paraId="488FC33C" w14:textId="77777777" w:rsidR="00AB7F09" w:rsidRDefault="00000000">
      <w:pPr>
        <w:pStyle w:val="ListBullet"/>
      </w:pPr>
      <w:r>
        <w:t>WHO guideline compliance checking (10⁻⁴ annual infection risk)</w:t>
      </w:r>
    </w:p>
    <w:p w14:paraId="4E41BF45" w14:textId="77777777" w:rsidR="00AB7F09" w:rsidRDefault="00000000">
      <w:pPr>
        <w:pStyle w:val="ListBullet"/>
      </w:pPr>
      <w:r>
        <w:t>Interactive visualizations and statistical summaries</w:t>
      </w:r>
    </w:p>
    <w:p w14:paraId="4B53982D" w14:textId="77777777" w:rsidR="00AB7F09" w:rsidRDefault="00000000">
      <w:pPr>
        <w:pStyle w:val="ListBullet"/>
      </w:pPr>
      <w:r>
        <w:t>Professional PDF reports and CSV data exports</w:t>
      </w:r>
    </w:p>
    <w:p w14:paraId="6101D594" w14:textId="77777777" w:rsidR="00AB7F09" w:rsidRDefault="00000000">
      <w:r>
        <w:br w:type="page"/>
      </w:r>
    </w:p>
    <w:p w14:paraId="1E6B89CD" w14:textId="77777777" w:rsidR="00AB7F09" w:rsidRDefault="00000000">
      <w:pPr>
        <w:pStyle w:val="Heading1"/>
      </w:pPr>
      <w:r>
        <w:rPr>
          <w:color w:val="1F77B4"/>
        </w:rPr>
        <w:lastRenderedPageBreak/>
        <w:t>Table of Contents</w:t>
      </w:r>
    </w:p>
    <w:p w14:paraId="1E923AB1" w14:textId="77777777" w:rsidR="00AB7F09" w:rsidRDefault="00000000">
      <w:r>
        <w:rPr>
          <w:b/>
        </w:rPr>
        <w:t>1. Introduction to QMRA</w:t>
      </w:r>
    </w:p>
    <w:p w14:paraId="6AE25B22" w14:textId="77777777" w:rsidR="00AB7F09" w:rsidRDefault="00000000">
      <w:pPr>
        <w:ind w:left="720"/>
      </w:pPr>
      <w:r>
        <w:t>1.1 What is Quantitative Microbial Risk Assessment?</w:t>
      </w:r>
    </w:p>
    <w:p w14:paraId="08CF2875" w14:textId="77777777" w:rsidR="00AB7F09" w:rsidRDefault="00000000">
      <w:pPr>
        <w:ind w:left="720"/>
      </w:pPr>
      <w:r>
        <w:t>1.2 Application Purpose and Scope</w:t>
      </w:r>
    </w:p>
    <w:p w14:paraId="0E4FC2C9" w14:textId="77777777" w:rsidR="00AB7F09" w:rsidRDefault="00000000">
      <w:pPr>
        <w:ind w:left="720"/>
      </w:pPr>
      <w:r>
        <w:t>1.3 Target Users</w:t>
      </w:r>
    </w:p>
    <w:p w14:paraId="24F047ED" w14:textId="77777777" w:rsidR="00AB7F09" w:rsidRDefault="00000000">
      <w:r>
        <w:rPr>
          <w:b/>
        </w:rPr>
        <w:t>2. Getting Started</w:t>
      </w:r>
    </w:p>
    <w:p w14:paraId="31041DB3" w14:textId="77777777" w:rsidR="00AB7F09" w:rsidRDefault="00000000">
      <w:pPr>
        <w:ind w:left="720"/>
      </w:pPr>
      <w:r>
        <w:t>2.1 System Requirements</w:t>
      </w:r>
    </w:p>
    <w:p w14:paraId="05F42443" w14:textId="77777777" w:rsidR="00AB7F09" w:rsidRDefault="00000000">
      <w:pPr>
        <w:ind w:left="720"/>
      </w:pPr>
      <w:r>
        <w:t>2.2 Launching the Application</w:t>
      </w:r>
    </w:p>
    <w:p w14:paraId="021FD5B7" w14:textId="77777777" w:rsidR="00AB7F09" w:rsidRDefault="00000000">
      <w:pPr>
        <w:ind w:left="720"/>
      </w:pPr>
      <w:r>
        <w:t>2.3 Understanding the Interface</w:t>
      </w:r>
    </w:p>
    <w:p w14:paraId="1A5689E0" w14:textId="77777777" w:rsidR="00AB7F09" w:rsidRDefault="00000000">
      <w:pPr>
        <w:ind w:left="720"/>
      </w:pPr>
      <w:r>
        <w:t>2.4 Production Mode vs Research Mode</w:t>
      </w:r>
    </w:p>
    <w:p w14:paraId="04F4194B" w14:textId="77777777" w:rsidR="00AB7F09" w:rsidRDefault="00000000">
      <w:r>
        <w:rPr>
          <w:b/>
        </w:rPr>
        <w:t>3. Assessment Workflows</w:t>
      </w:r>
    </w:p>
    <w:p w14:paraId="237AFE3B" w14:textId="77777777" w:rsidR="00AB7F09" w:rsidRDefault="00000000">
      <w:pPr>
        <w:ind w:left="720"/>
      </w:pPr>
      <w:r>
        <w:t>3.1 Batch Scenarios Assessment</w:t>
      </w:r>
    </w:p>
    <w:p w14:paraId="4077E8D0" w14:textId="77777777" w:rsidR="00AB7F09" w:rsidRDefault="00000000">
      <w:pPr>
        <w:ind w:left="720"/>
      </w:pPr>
      <w:r>
        <w:t>3.2 Spatial Risk Assessment</w:t>
      </w:r>
    </w:p>
    <w:p w14:paraId="532B4310" w14:textId="77777777" w:rsidR="00AB7F09" w:rsidRDefault="00000000">
      <w:pPr>
        <w:ind w:left="720"/>
      </w:pPr>
      <w:r>
        <w:t>3.3 Temporal Risk Assessment</w:t>
      </w:r>
    </w:p>
    <w:p w14:paraId="3DB88BF0" w14:textId="77777777" w:rsidR="00AB7F09" w:rsidRDefault="00000000">
      <w:pPr>
        <w:ind w:left="720"/>
      </w:pPr>
      <w:r>
        <w:t>3.4 Treatment Comparison</w:t>
      </w:r>
    </w:p>
    <w:p w14:paraId="6BDD48D5" w14:textId="77777777" w:rsidR="00AB7F09" w:rsidRDefault="00000000">
      <w:pPr>
        <w:ind w:left="720"/>
      </w:pPr>
      <w:r>
        <w:t>3.5 Multi-Pathogen Assessment</w:t>
      </w:r>
    </w:p>
    <w:p w14:paraId="233FFAA2" w14:textId="77777777" w:rsidR="00AB7F09" w:rsidRDefault="00000000">
      <w:r>
        <w:rPr>
          <w:b/>
        </w:rPr>
        <w:t>4. Input Data Requirements</w:t>
      </w:r>
    </w:p>
    <w:p w14:paraId="687ED804" w14:textId="77777777" w:rsidR="00AB7F09" w:rsidRDefault="00000000">
      <w:pPr>
        <w:ind w:left="720"/>
      </w:pPr>
      <w:r>
        <w:t>4.1 Pathogen Concentration Data</w:t>
      </w:r>
    </w:p>
    <w:p w14:paraId="6531F003" w14:textId="77777777" w:rsidR="00AB7F09" w:rsidRDefault="00000000">
      <w:pPr>
        <w:ind w:left="720"/>
      </w:pPr>
      <w:r>
        <w:t>4.2 Dilution Factor Data</w:t>
      </w:r>
    </w:p>
    <w:p w14:paraId="47D185C5" w14:textId="77777777" w:rsidR="00AB7F09" w:rsidRDefault="00000000">
      <w:pPr>
        <w:ind w:left="720"/>
      </w:pPr>
      <w:r>
        <w:t>4.3 Temporal Monitoring Data</w:t>
      </w:r>
    </w:p>
    <w:p w14:paraId="4C05B8DF" w14:textId="77777777" w:rsidR="00AB7F09" w:rsidRDefault="00000000">
      <w:pPr>
        <w:ind w:left="720"/>
      </w:pPr>
      <w:r>
        <w:t>4.4 Data Formats and Templates</w:t>
      </w:r>
    </w:p>
    <w:p w14:paraId="129228D8" w14:textId="77777777" w:rsidR="00AB7F09" w:rsidRDefault="00000000">
      <w:r>
        <w:rPr>
          <w:b/>
        </w:rPr>
        <w:t>5. Understanding Results</w:t>
      </w:r>
    </w:p>
    <w:p w14:paraId="0C35942E" w14:textId="77777777" w:rsidR="00AB7F09" w:rsidRDefault="00000000">
      <w:pPr>
        <w:ind w:left="720"/>
      </w:pPr>
      <w:r>
        <w:t>5.1 Risk Metrics Explained</w:t>
      </w:r>
    </w:p>
    <w:p w14:paraId="7E82548A" w14:textId="77777777" w:rsidR="00AB7F09" w:rsidRDefault="00000000">
      <w:pPr>
        <w:ind w:left="720"/>
      </w:pPr>
      <w:r>
        <w:t>5.2 Statistical Outputs</w:t>
      </w:r>
    </w:p>
    <w:p w14:paraId="68F23C4C" w14:textId="77777777" w:rsidR="00AB7F09" w:rsidRDefault="00000000">
      <w:pPr>
        <w:ind w:left="720"/>
      </w:pPr>
      <w:r>
        <w:t>5.3 Visualizations</w:t>
      </w:r>
    </w:p>
    <w:p w14:paraId="30002DB7" w14:textId="77777777" w:rsidR="00AB7F09" w:rsidRDefault="00000000">
      <w:pPr>
        <w:ind w:left="720"/>
      </w:pPr>
      <w:r>
        <w:t>5.4 WHO Guideline Compliance</w:t>
      </w:r>
    </w:p>
    <w:p w14:paraId="11E693DC" w14:textId="77777777" w:rsidR="00AB7F09" w:rsidRDefault="00000000">
      <w:r>
        <w:rPr>
          <w:b/>
        </w:rPr>
        <w:lastRenderedPageBreak/>
        <w:t>6. Technical Background</w:t>
      </w:r>
    </w:p>
    <w:p w14:paraId="55C3123F" w14:textId="77777777" w:rsidR="00AB7F09" w:rsidRDefault="00000000">
      <w:pPr>
        <w:ind w:left="720"/>
      </w:pPr>
      <w:r>
        <w:t>6.1 QMRA Methodology</w:t>
      </w:r>
    </w:p>
    <w:p w14:paraId="379FE4FC" w14:textId="77777777" w:rsidR="00AB7F09" w:rsidRDefault="00000000">
      <w:pPr>
        <w:ind w:left="720"/>
      </w:pPr>
      <w:r>
        <w:t>6.2 Dose-Response Models</w:t>
      </w:r>
    </w:p>
    <w:p w14:paraId="0C20792F" w14:textId="77777777" w:rsidR="00AB7F09" w:rsidRDefault="00000000">
      <w:pPr>
        <w:ind w:left="720"/>
      </w:pPr>
      <w:r>
        <w:t>6.3 Beta-Binomial Model (Norovirus)</w:t>
      </w:r>
    </w:p>
    <w:p w14:paraId="54D5A730" w14:textId="77777777" w:rsidR="00AB7F09" w:rsidRDefault="00000000">
      <w:pPr>
        <w:ind w:left="720"/>
      </w:pPr>
      <w:r>
        <w:t>6.4 Monte Carlo Simulation</w:t>
      </w:r>
    </w:p>
    <w:p w14:paraId="237BAF3C" w14:textId="77777777" w:rsidR="00AB7F09" w:rsidRDefault="00000000">
      <w:r>
        <w:rPr>
          <w:b/>
        </w:rPr>
        <w:t>7. Troubleshooting and Support</w:t>
      </w:r>
    </w:p>
    <w:p w14:paraId="5AFE5F9F" w14:textId="77777777" w:rsidR="00AB7F09" w:rsidRDefault="00000000">
      <w:r>
        <w:rPr>
          <w:b/>
        </w:rPr>
        <w:t>8. References</w:t>
      </w:r>
    </w:p>
    <w:p w14:paraId="6BA733E5" w14:textId="77777777" w:rsidR="00AB7F09" w:rsidRDefault="00000000">
      <w:r>
        <w:br w:type="page"/>
      </w:r>
    </w:p>
    <w:p w14:paraId="087ECFEE" w14:textId="77777777" w:rsidR="00AB7F09" w:rsidRDefault="00000000">
      <w:pPr>
        <w:pStyle w:val="Heading1"/>
      </w:pPr>
      <w:r>
        <w:rPr>
          <w:color w:val="1F77B4"/>
        </w:rPr>
        <w:lastRenderedPageBreak/>
        <w:t>1. Introduction to QMRA</w:t>
      </w:r>
    </w:p>
    <w:p w14:paraId="03FB9B22" w14:textId="77777777" w:rsidR="00AB7F09" w:rsidRDefault="00000000">
      <w:pPr>
        <w:pStyle w:val="Heading2"/>
      </w:pPr>
      <w:r>
        <w:rPr>
          <w:color w:val="2C3E50"/>
        </w:rPr>
        <w:t>1.1 What is Quantitative Microbial Risk Assessment?</w:t>
      </w:r>
    </w:p>
    <w:p w14:paraId="667B0745" w14:textId="77777777" w:rsidR="00AB7F09" w:rsidRDefault="00000000">
      <w:r>
        <w:t>Quantitative Microbial Risk Assessment (QMRA) is a scientific framework for estimating the probability of infection or illness from exposure to pathogenic microorganisms in water, food, or environmental media. Unlike traditional water quality monitoring that relies solely on indicator organisms (e.g., E. coli), QMRA directly estimates health risks by modeling the entire exposure pathway from source to receptor.</w:t>
      </w:r>
    </w:p>
    <w:p w14:paraId="18D2CA72" w14:textId="77777777" w:rsidR="00AB7F09" w:rsidRDefault="00AB7F09"/>
    <w:p w14:paraId="69AD2BDD" w14:textId="77777777" w:rsidR="00AB7F09" w:rsidRDefault="00000000">
      <w:r>
        <w:rPr>
          <w:b/>
        </w:rPr>
        <w:t>The QMRA Framework integrates four key components:</w:t>
      </w:r>
    </w:p>
    <w:p w14:paraId="33789CD2" w14:textId="77777777" w:rsidR="00AB7F09" w:rsidRDefault="00000000">
      <w:pPr>
        <w:pStyle w:val="ListBullet"/>
      </w:pPr>
      <w:r>
        <w:rPr>
          <w:b/>
        </w:rPr>
        <w:t xml:space="preserve">Hazard Identification: </w:t>
      </w:r>
      <w:r>
        <w:t>Identifying pathogenic microorganisms of concern (e.g., norovirus, Cryptosporidium)</w:t>
      </w:r>
    </w:p>
    <w:p w14:paraId="3524EE78" w14:textId="77777777" w:rsidR="00AB7F09" w:rsidRDefault="00000000">
      <w:pPr>
        <w:pStyle w:val="ListBullet"/>
      </w:pPr>
      <w:r>
        <w:rPr>
          <w:b/>
        </w:rPr>
        <w:t xml:space="preserve">Exposure Assessment: </w:t>
      </w:r>
      <w:r>
        <w:t>Quantifying pathogen concentrations and human exposure doses</w:t>
      </w:r>
    </w:p>
    <w:p w14:paraId="64DD44B0" w14:textId="77777777" w:rsidR="00AB7F09" w:rsidRDefault="00000000">
      <w:pPr>
        <w:pStyle w:val="ListBullet"/>
      </w:pPr>
      <w:r>
        <w:rPr>
          <w:b/>
        </w:rPr>
        <w:t xml:space="preserve">Dose-Response Modeling: </w:t>
      </w:r>
      <w:r>
        <w:t>Relating exposure dose to probability of infection</w:t>
      </w:r>
    </w:p>
    <w:p w14:paraId="17A0FEA3" w14:textId="77777777" w:rsidR="00AB7F09" w:rsidRDefault="00000000">
      <w:pPr>
        <w:pStyle w:val="ListBullet"/>
      </w:pPr>
      <w:r>
        <w:rPr>
          <w:b/>
        </w:rPr>
        <w:t xml:space="preserve">Risk Characterization: </w:t>
      </w:r>
      <w:r>
        <w:t>Calculating annual infection/illness probabilities and comparing to guidelines</w:t>
      </w:r>
    </w:p>
    <w:p w14:paraId="16557FDF" w14:textId="77777777" w:rsidR="00AB7F09" w:rsidRDefault="00AB7F09"/>
    <w:p w14:paraId="69173A84" w14:textId="77777777" w:rsidR="00AB7F09" w:rsidRDefault="00000000">
      <w:r>
        <w:t>QMRA outputs are typically expressed as annual infection risk (probability per person per year), which can be compared against health-based targets such as the World Health Organization (WHO) guideline of 10⁻⁴ (1 in 10,000) for drinking water and recreational water quality.</w:t>
      </w:r>
    </w:p>
    <w:p w14:paraId="3B2CD61C" w14:textId="77777777" w:rsidR="00AB7F09" w:rsidRDefault="00000000">
      <w:pPr>
        <w:pStyle w:val="Heading2"/>
      </w:pPr>
      <w:r>
        <w:rPr>
          <w:color w:val="2C3E50"/>
        </w:rPr>
        <w:t>1.2 Application Purpose and Scope</w:t>
      </w:r>
    </w:p>
    <w:p w14:paraId="421EC930" w14:textId="77777777" w:rsidR="00AB7F09" w:rsidRDefault="00000000">
      <w:r>
        <w:t>This web-based application enables water quality professionals to conduct comprehensive QMRA studies without requiring specialized programming skills or advanced statistical software. The application handles complex calculations, uncertainty quantification, and report generation through an intuitive interface.</w:t>
      </w:r>
    </w:p>
    <w:p w14:paraId="3219082F" w14:textId="77777777" w:rsidR="00AB7F09" w:rsidRDefault="00AB7F09"/>
    <w:p w14:paraId="055BD370" w14:textId="77777777" w:rsidR="00AB7F09" w:rsidRDefault="00000000">
      <w:r>
        <w:rPr>
          <w:b/>
        </w:rPr>
        <w:t>Primary Use Cases:</w:t>
      </w:r>
    </w:p>
    <w:p w14:paraId="2ECB136E" w14:textId="77777777" w:rsidR="00AB7F09" w:rsidRDefault="00000000">
      <w:pPr>
        <w:pStyle w:val="ListBullet"/>
      </w:pPr>
      <w:r>
        <w:t>Evaluating health risks from wastewater discharge to shellfish harvesting areas</w:t>
      </w:r>
    </w:p>
    <w:p w14:paraId="3FB52F17" w14:textId="77777777" w:rsidR="00AB7F09" w:rsidRDefault="00000000">
      <w:pPr>
        <w:pStyle w:val="ListBullet"/>
      </w:pPr>
      <w:r>
        <w:t>Assessing recreational water quality at swimming beaches</w:t>
      </w:r>
    </w:p>
    <w:p w14:paraId="24DC4DD0" w14:textId="77777777" w:rsidR="00AB7F09" w:rsidRDefault="00000000">
      <w:pPr>
        <w:pStyle w:val="ListBullet"/>
      </w:pPr>
      <w:r>
        <w:t>Comparing treatment technology effectiveness for pathogen reduction</w:t>
      </w:r>
    </w:p>
    <w:p w14:paraId="32A1F0D7" w14:textId="77777777" w:rsidR="00AB7F09" w:rsidRDefault="00000000">
      <w:pPr>
        <w:pStyle w:val="ListBullet"/>
      </w:pPr>
      <w:r>
        <w:t>Analyzing temporal risk trends from long-term monitoring programs</w:t>
      </w:r>
    </w:p>
    <w:p w14:paraId="09A13E80" w14:textId="77777777" w:rsidR="00AB7F09" w:rsidRDefault="00000000">
      <w:pPr>
        <w:pStyle w:val="ListBullet"/>
      </w:pPr>
      <w:r>
        <w:t>Supporting regulatory compliance and water safety plan development</w:t>
      </w:r>
    </w:p>
    <w:p w14:paraId="09E7788A" w14:textId="77777777" w:rsidR="00AB7F09" w:rsidRDefault="00000000">
      <w:pPr>
        <w:pStyle w:val="Heading2"/>
      </w:pPr>
      <w:r>
        <w:rPr>
          <w:color w:val="2C3E50"/>
        </w:rPr>
        <w:t>1.3 Target Users</w:t>
      </w:r>
    </w:p>
    <w:p w14:paraId="1007F6EA" w14:textId="77777777" w:rsidR="00AB7F09" w:rsidRDefault="00000000">
      <w:r>
        <w:t>This application is designed for:</w:t>
      </w:r>
    </w:p>
    <w:p w14:paraId="1C982C00" w14:textId="77777777" w:rsidR="00AB7F09" w:rsidRDefault="00000000">
      <w:pPr>
        <w:pStyle w:val="ListBullet"/>
      </w:pPr>
      <w:r>
        <w:lastRenderedPageBreak/>
        <w:t>Water quality managers and environmental engineers</w:t>
      </w:r>
    </w:p>
    <w:p w14:paraId="14DCD04C" w14:textId="77777777" w:rsidR="00AB7F09" w:rsidRDefault="00000000">
      <w:pPr>
        <w:pStyle w:val="ListBullet"/>
      </w:pPr>
      <w:r>
        <w:t>Public health risk assessors and epidemiologists</w:t>
      </w:r>
    </w:p>
    <w:p w14:paraId="762FB458" w14:textId="77777777" w:rsidR="00AB7F09" w:rsidRDefault="00000000">
      <w:pPr>
        <w:pStyle w:val="ListBullet"/>
      </w:pPr>
      <w:r>
        <w:t>Regulatory compliance officers and auditors</w:t>
      </w:r>
    </w:p>
    <w:p w14:paraId="1F2691C7" w14:textId="77777777" w:rsidR="00AB7F09" w:rsidRDefault="00000000">
      <w:pPr>
        <w:pStyle w:val="ListBullet"/>
      </w:pPr>
      <w:r>
        <w:t>Wastewater treatment plant operators and planners</w:t>
      </w:r>
    </w:p>
    <w:p w14:paraId="25B331DF" w14:textId="77777777" w:rsidR="00AB7F09" w:rsidRDefault="00000000">
      <w:pPr>
        <w:pStyle w:val="ListBullet"/>
      </w:pPr>
      <w:r>
        <w:t>Environmental health researchers and consultants</w:t>
      </w:r>
    </w:p>
    <w:p w14:paraId="668D02CA" w14:textId="77777777" w:rsidR="00AB7F09" w:rsidRDefault="00000000">
      <w:pPr>
        <w:pStyle w:val="ListBullet"/>
      </w:pPr>
      <w:r>
        <w:t>Shellfish industry managers and aquaculture professionals</w:t>
      </w:r>
    </w:p>
    <w:p w14:paraId="4AB0E3DC" w14:textId="77777777" w:rsidR="00AB7F09" w:rsidRDefault="00000000">
      <w:r>
        <w:br w:type="page"/>
      </w:r>
    </w:p>
    <w:p w14:paraId="7F225F03" w14:textId="77777777" w:rsidR="00AB7F09" w:rsidRDefault="00000000">
      <w:pPr>
        <w:pStyle w:val="Heading1"/>
      </w:pPr>
      <w:r>
        <w:rPr>
          <w:color w:val="1F77B4"/>
        </w:rPr>
        <w:lastRenderedPageBreak/>
        <w:t>2. Getting Started</w:t>
      </w:r>
    </w:p>
    <w:p w14:paraId="64A3EC1A" w14:textId="77777777" w:rsidR="00AB7F09" w:rsidRDefault="00000000">
      <w:pPr>
        <w:pStyle w:val="Heading2"/>
      </w:pPr>
      <w:r>
        <w:rPr>
          <w:color w:val="2C3E50"/>
        </w:rPr>
        <w:t>2.1 System Requirements</w:t>
      </w:r>
    </w:p>
    <w:p w14:paraId="7FA57E94" w14:textId="77777777" w:rsidR="00AB7F09" w:rsidRDefault="00000000">
      <w:r>
        <w:rPr>
          <w:b/>
        </w:rPr>
        <w:t>Software Requirements:</w:t>
      </w:r>
    </w:p>
    <w:p w14:paraId="0AF5EB81" w14:textId="77777777" w:rsidR="00AB7F09" w:rsidRDefault="00000000">
      <w:pPr>
        <w:pStyle w:val="ListBullet"/>
      </w:pPr>
      <w:r>
        <w:t>Python 3.8 or higher</w:t>
      </w:r>
    </w:p>
    <w:p w14:paraId="17587188" w14:textId="77777777" w:rsidR="00AB7F09" w:rsidRDefault="00000000">
      <w:pPr>
        <w:pStyle w:val="ListBullet"/>
      </w:pPr>
      <w:r>
        <w:t>Streamlit web framework</w:t>
      </w:r>
    </w:p>
    <w:p w14:paraId="370834B1" w14:textId="77777777" w:rsidR="00AB7F09" w:rsidRDefault="00000000">
      <w:pPr>
        <w:pStyle w:val="ListBullet"/>
      </w:pPr>
      <w:r>
        <w:t>Modern web browser (Chrome, Firefox, Edge, Safari)</w:t>
      </w:r>
    </w:p>
    <w:p w14:paraId="50DA2C50" w14:textId="77777777" w:rsidR="00AB7F09" w:rsidRDefault="00000000">
      <w:pPr>
        <w:pStyle w:val="ListBullet"/>
      </w:pPr>
      <w:r>
        <w:t>Required Python packages: numpy, pandas, scipy, matplotlib, plotly</w:t>
      </w:r>
    </w:p>
    <w:p w14:paraId="5CE2D3E0" w14:textId="77777777" w:rsidR="00AB7F09" w:rsidRDefault="00AB7F09"/>
    <w:p w14:paraId="04E717EA" w14:textId="77777777" w:rsidR="00AB7F09" w:rsidRDefault="00000000">
      <w:r>
        <w:rPr>
          <w:b/>
        </w:rPr>
        <w:t>Hardware Requirements:</w:t>
      </w:r>
    </w:p>
    <w:p w14:paraId="308D0FD3" w14:textId="77777777" w:rsidR="00AB7F09" w:rsidRDefault="00000000">
      <w:pPr>
        <w:pStyle w:val="ListBullet"/>
      </w:pPr>
      <w:r>
        <w:t>Minimum 4GB RAM (8GB recommended for large datasets)</w:t>
      </w:r>
    </w:p>
    <w:p w14:paraId="2EA4E4C0" w14:textId="77777777" w:rsidR="00AB7F09" w:rsidRDefault="00000000">
      <w:pPr>
        <w:pStyle w:val="ListBullet"/>
      </w:pPr>
      <w:r>
        <w:t>Modern CPU (Monte Carlo simulation is computationally intensive)</w:t>
      </w:r>
    </w:p>
    <w:p w14:paraId="06E85E17" w14:textId="77777777" w:rsidR="00AB7F09" w:rsidRDefault="00000000">
      <w:pPr>
        <w:pStyle w:val="ListBullet"/>
      </w:pPr>
      <w:r>
        <w:t>Screen resolution: 1920x1080 or higher recommended</w:t>
      </w:r>
    </w:p>
    <w:p w14:paraId="1B6E3EA5" w14:textId="77777777" w:rsidR="00AB7F09" w:rsidRDefault="00000000">
      <w:pPr>
        <w:pStyle w:val="Heading2"/>
      </w:pPr>
      <w:r>
        <w:rPr>
          <w:color w:val="2C3E50"/>
        </w:rPr>
        <w:t>2.2 Launching the Application</w:t>
      </w:r>
    </w:p>
    <w:p w14:paraId="6F6612CF" w14:textId="77777777" w:rsidR="00AB7F09" w:rsidRDefault="00000000">
      <w:r>
        <w:t>The QMRA application runs as a local web server using Streamlit. Follow these steps to launch:</w:t>
      </w:r>
    </w:p>
    <w:p w14:paraId="39EC8B5B" w14:textId="77777777" w:rsidR="00AB7F09" w:rsidRDefault="00AB7F09"/>
    <w:p w14:paraId="42AAFB26" w14:textId="77777777" w:rsidR="00AB7F09" w:rsidRDefault="00000000">
      <w:r>
        <w:rPr>
          <w:b/>
        </w:rPr>
        <w:t>Method 1: Using the Batch File (Windows)</w:t>
      </w:r>
    </w:p>
    <w:p w14:paraId="3471B985" w14:textId="77777777" w:rsidR="00AB7F09" w:rsidRDefault="00000000">
      <w:pPr>
        <w:pStyle w:val="ListNumber"/>
      </w:pPr>
      <w:r>
        <w:t>Navigate to: Batch_Processing_App/app/</w:t>
      </w:r>
    </w:p>
    <w:p w14:paraId="09E6FF8F" w14:textId="77777777" w:rsidR="00AB7F09" w:rsidRDefault="00000000">
      <w:pPr>
        <w:pStyle w:val="ListNumber"/>
      </w:pPr>
      <w:r>
        <w:t>Double-click: launch_web_gui.bat</w:t>
      </w:r>
    </w:p>
    <w:p w14:paraId="7DE6B510" w14:textId="77777777" w:rsidR="00AB7F09" w:rsidRDefault="00000000">
      <w:pPr>
        <w:pStyle w:val="ListNumber"/>
      </w:pPr>
      <w:r>
        <w:t>Your default web browser will automatically open to http://localhost:8501</w:t>
      </w:r>
    </w:p>
    <w:p w14:paraId="16BD15C9" w14:textId="77777777" w:rsidR="00AB7F09" w:rsidRDefault="00AB7F09"/>
    <w:p w14:paraId="6EF973F1" w14:textId="77777777" w:rsidR="00AB7F09" w:rsidRDefault="00000000">
      <w:r>
        <w:rPr>
          <w:b/>
        </w:rPr>
        <w:t>Method 2: Using Command Line</w:t>
      </w:r>
    </w:p>
    <w:p w14:paraId="72E1E008" w14:textId="77777777" w:rsidR="00AB7F09" w:rsidRDefault="00000000">
      <w:pPr>
        <w:spacing w:before="120" w:after="120"/>
        <w:ind w:left="720"/>
      </w:pPr>
      <w:r>
        <w:rPr>
          <w:rFonts w:ascii="Consolas" w:hAnsi="Consolas"/>
          <w:color w:val="000000"/>
          <w:sz w:val="20"/>
        </w:rPr>
        <w:t>cd Batch_Processing_App/app</w:t>
      </w:r>
      <w:r>
        <w:rPr>
          <w:rFonts w:ascii="Consolas" w:hAnsi="Consolas"/>
          <w:color w:val="000000"/>
          <w:sz w:val="20"/>
        </w:rPr>
        <w:br/>
        <w:t>streamlit run web_app.py</w:t>
      </w:r>
    </w:p>
    <w:p w14:paraId="5E5C79EE" w14:textId="77777777" w:rsidR="00AB7F09" w:rsidRDefault="00AB7F09"/>
    <w:p w14:paraId="1CBE9660" w14:textId="77777777" w:rsidR="00AB7F09" w:rsidRDefault="00000000">
      <w:r>
        <w:t>The terminal will display "Local URL: http://localhost:8501" when ready. The application will remain running until you close the terminal window or press Ctrl+C.</w:t>
      </w:r>
    </w:p>
    <w:p w14:paraId="569B9E77" w14:textId="77777777" w:rsidR="00AB7F09" w:rsidRDefault="00000000">
      <w:pPr>
        <w:pStyle w:val="Heading2"/>
      </w:pPr>
      <w:r>
        <w:rPr>
          <w:color w:val="2C3E50"/>
        </w:rPr>
        <w:t>2.3 Understanding the Interface</w:t>
      </w:r>
    </w:p>
    <w:p w14:paraId="2B1B20E9" w14:textId="77777777" w:rsidR="00AB7F09" w:rsidRDefault="00000000">
      <w:r>
        <w:t>The application interface consists of two main areas:</w:t>
      </w:r>
    </w:p>
    <w:p w14:paraId="4ACA50C7" w14:textId="77777777" w:rsidR="00AB7F09" w:rsidRDefault="00AB7F09"/>
    <w:p w14:paraId="4E89BCBB" w14:textId="77777777" w:rsidR="00AB7F09" w:rsidRDefault="00000000">
      <w:pPr>
        <w:pStyle w:val="ListBullet"/>
      </w:pPr>
      <w:r>
        <w:rPr>
          <w:b/>
        </w:rPr>
        <w:lastRenderedPageBreak/>
        <w:t xml:space="preserve">Left Sidebar: </w:t>
      </w:r>
      <w:r>
        <w:t>Contains configuration controls, production mode toggle, and assessment type selection. This panel remains visible as you navigate through different workflows.</w:t>
      </w:r>
    </w:p>
    <w:p w14:paraId="151A34FE" w14:textId="77777777" w:rsidR="00AB7F09" w:rsidRDefault="00000000">
      <w:pPr>
        <w:pStyle w:val="ListBullet"/>
      </w:pPr>
      <w:r>
        <w:rPr>
          <w:b/>
        </w:rPr>
        <w:t xml:space="preserve">Main Panel: </w:t>
      </w:r>
      <w:r>
        <w:t>Displays input forms, data preview tables, results, visualizations, and download options. Content changes based on the selected assessment mode.</w:t>
      </w:r>
    </w:p>
    <w:p w14:paraId="296FACB2" w14:textId="77777777" w:rsidR="00AB7F09" w:rsidRDefault="00AB7F09"/>
    <w:p w14:paraId="3C40F9E3" w14:textId="77777777" w:rsidR="00AB7F09" w:rsidRDefault="00000000">
      <w:r>
        <w:rPr>
          <w:b/>
        </w:rPr>
        <w:t>Navigation Pattern:</w:t>
      </w:r>
    </w:p>
    <w:p w14:paraId="23BF4F69" w14:textId="77777777" w:rsidR="00AB7F09" w:rsidRDefault="00000000">
      <w:pPr>
        <w:pStyle w:val="ListNumber"/>
      </w:pPr>
      <w:r>
        <w:t>Select assessment mode from sidebar dropdown</w:t>
      </w:r>
    </w:p>
    <w:p w14:paraId="7D562FBB" w14:textId="77777777" w:rsidR="00AB7F09" w:rsidRDefault="00000000">
      <w:pPr>
        <w:pStyle w:val="ListNumber"/>
      </w:pPr>
      <w:r>
        <w:t>Configure input parameters and upload data (if required)</w:t>
      </w:r>
    </w:p>
    <w:p w14:paraId="6E7208CD" w14:textId="77777777" w:rsidR="00AB7F09" w:rsidRDefault="00000000">
      <w:pPr>
        <w:pStyle w:val="ListNumber"/>
      </w:pPr>
      <w:r>
        <w:t>Click "Run Assessment" button</w:t>
      </w:r>
    </w:p>
    <w:p w14:paraId="27C881A8" w14:textId="77777777" w:rsidR="00AB7F09" w:rsidRDefault="00000000">
      <w:pPr>
        <w:pStyle w:val="ListNumber"/>
      </w:pPr>
      <w:r>
        <w:t>Review results, visualizations, and download outputs</w:t>
      </w:r>
    </w:p>
    <w:p w14:paraId="5222D422" w14:textId="77777777" w:rsidR="00AB7F09" w:rsidRDefault="00000000">
      <w:pPr>
        <w:pStyle w:val="Heading2"/>
      </w:pPr>
      <w:r>
        <w:rPr>
          <w:color w:val="2C3E50"/>
        </w:rPr>
        <w:t>2.4 Production Mode vs Research Mode</w:t>
      </w:r>
    </w:p>
    <w:p w14:paraId="1D310ED8" w14:textId="77777777" w:rsidR="00AB7F09" w:rsidRDefault="00000000">
      <w:r>
        <w:t>The application operates in two distinct modes, controlled by a checkbox in the sidebar:</w:t>
      </w:r>
    </w:p>
    <w:p w14:paraId="7E133CEC" w14:textId="77777777" w:rsidR="00AB7F09" w:rsidRDefault="00AB7F09"/>
    <w:p w14:paraId="43151C60" w14:textId="77777777" w:rsidR="00AB7F09" w:rsidRDefault="00000000">
      <w:r>
        <w:rPr>
          <w:b/>
          <w:color w:val="008000"/>
        </w:rPr>
        <w:t>Production Mode (Default - Recommended)</w:t>
      </w:r>
    </w:p>
    <w:p w14:paraId="1BEE656B" w14:textId="77777777" w:rsidR="00AB7F09" w:rsidRDefault="00AB7F09"/>
    <w:p w14:paraId="23B58BD8" w14:textId="77777777" w:rsidR="00AB7F09" w:rsidRDefault="00000000">
      <w:r>
        <w:t>Production Mode is enabled by default and provides:</w:t>
      </w:r>
    </w:p>
    <w:p w14:paraId="06C2AC5F" w14:textId="77777777" w:rsidR="00AB7F09" w:rsidRDefault="00000000">
      <w:pPr>
        <w:pStyle w:val="ListBullet"/>
      </w:pPr>
      <w:r>
        <w:t>Pathogen selection restricted to norovirus only</w:t>
      </w:r>
    </w:p>
    <w:p w14:paraId="755B7640" w14:textId="77777777" w:rsidR="00AB7F09" w:rsidRDefault="00000000">
      <w:pPr>
        <w:pStyle w:val="ListBullet"/>
      </w:pPr>
      <w:r>
        <w:t>Validated Beta-Binomial dose-response model (α=0.04, β=0.055)</w:t>
      </w:r>
    </w:p>
    <w:p w14:paraId="50D468DD" w14:textId="77777777" w:rsidR="00AB7F09" w:rsidRDefault="00000000">
      <w:pPr>
        <w:pStyle w:val="ListBullet"/>
      </w:pPr>
      <w:r>
        <w:t>Complete verification against reference Excel calculations</w:t>
      </w:r>
    </w:p>
    <w:p w14:paraId="7FC7CA9C" w14:textId="77777777" w:rsidR="00AB7F09" w:rsidRDefault="00000000">
      <w:pPr>
        <w:pStyle w:val="ListBullet"/>
      </w:pPr>
      <w:r>
        <w:t>Alignment with project contract deliverables</w:t>
      </w:r>
    </w:p>
    <w:p w14:paraId="2EB4CB31" w14:textId="77777777" w:rsidR="00AB7F09" w:rsidRDefault="00000000">
      <w:pPr>
        <w:pStyle w:val="ListBullet"/>
      </w:pPr>
      <w:r>
        <w:t>Ensures scientifically defensible results for regulatory submissions</w:t>
      </w:r>
    </w:p>
    <w:p w14:paraId="68E3EED7" w14:textId="77777777" w:rsidR="00AB7F09" w:rsidRDefault="00AB7F09"/>
    <w:p w14:paraId="0B4E985B" w14:textId="77777777" w:rsidR="00AB7F09" w:rsidRDefault="00000000">
      <w:r>
        <w:rPr>
          <w:b/>
        </w:rPr>
        <w:t>When to use Production Mode:</w:t>
      </w:r>
    </w:p>
    <w:p w14:paraId="6137A443" w14:textId="77777777" w:rsidR="00AB7F09" w:rsidRDefault="00000000">
      <w:pPr>
        <w:pStyle w:val="ListBullet"/>
      </w:pPr>
      <w:r>
        <w:t>Official risk assessments for regulatory compliance</w:t>
      </w:r>
    </w:p>
    <w:p w14:paraId="2EA589F0" w14:textId="77777777" w:rsidR="00AB7F09" w:rsidRDefault="00000000">
      <w:pPr>
        <w:pStyle w:val="ListBullet"/>
      </w:pPr>
      <w:r>
        <w:t>Reports for public health authorities</w:t>
      </w:r>
    </w:p>
    <w:p w14:paraId="1FA98FBC" w14:textId="77777777" w:rsidR="00AB7F09" w:rsidRDefault="00000000">
      <w:pPr>
        <w:pStyle w:val="ListBullet"/>
      </w:pPr>
      <w:r>
        <w:t>Water safety plan documentation</w:t>
      </w:r>
    </w:p>
    <w:p w14:paraId="46FBE714" w14:textId="77777777" w:rsidR="00AB7F09" w:rsidRDefault="00000000">
      <w:pPr>
        <w:pStyle w:val="ListBullet"/>
      </w:pPr>
      <w:r>
        <w:t>Shellfish harvesting area classifications</w:t>
      </w:r>
    </w:p>
    <w:p w14:paraId="48DCC48E" w14:textId="77777777" w:rsidR="00AB7F09" w:rsidRDefault="00000000">
      <w:pPr>
        <w:pStyle w:val="ListBullet"/>
      </w:pPr>
      <w:r>
        <w:t>Any scenario requiring WHO guideline compliance evaluation</w:t>
      </w:r>
    </w:p>
    <w:p w14:paraId="586D50B4" w14:textId="77777777" w:rsidR="00AB7F09" w:rsidRDefault="00AB7F09"/>
    <w:p w14:paraId="74BDF06A" w14:textId="77777777" w:rsidR="00AB7F09" w:rsidRDefault="00000000">
      <w:r>
        <w:rPr>
          <w:b/>
          <w:color w:val="FF8C00"/>
        </w:rPr>
        <w:t>Research Mode</w:t>
      </w:r>
    </w:p>
    <w:p w14:paraId="35BD0958" w14:textId="77777777" w:rsidR="00AB7F09" w:rsidRDefault="00AB7F09"/>
    <w:p w14:paraId="301C521B" w14:textId="77777777" w:rsidR="00AB7F09" w:rsidRDefault="00000000">
      <w:r>
        <w:lastRenderedPageBreak/>
        <w:t>Research Mode can be enabled by unchecking the Production Mode checkbox. This provides:</w:t>
      </w:r>
    </w:p>
    <w:p w14:paraId="4986A72E" w14:textId="77777777" w:rsidR="00AB7F09" w:rsidRDefault="00000000">
      <w:pPr>
        <w:pStyle w:val="ListBullet"/>
      </w:pPr>
      <w:r>
        <w:t>Access to all 6 pathogens (norovirus, Campylobacter, Cryptosporidium, E. coli, rotavirus, Salmonella)</w:t>
      </w:r>
    </w:p>
    <w:p w14:paraId="4DC87397" w14:textId="77777777" w:rsidR="00AB7F09" w:rsidRDefault="00000000">
      <w:pPr>
        <w:pStyle w:val="ListBullet"/>
      </w:pPr>
      <w:r>
        <w:t>Multiple dose-response model options</w:t>
      </w:r>
    </w:p>
    <w:p w14:paraId="1E074691" w14:textId="77777777" w:rsidR="00AB7F09" w:rsidRDefault="00000000">
      <w:pPr>
        <w:pStyle w:val="ListBullet"/>
      </w:pPr>
      <w:r>
        <w:t>Exploratory analysis capabilities</w:t>
      </w:r>
    </w:p>
    <w:p w14:paraId="182AF2EF" w14:textId="77777777" w:rsidR="00AB7F09" w:rsidRDefault="00AB7F09"/>
    <w:p w14:paraId="42B66E86" w14:textId="77777777" w:rsidR="00AB7F09" w:rsidRDefault="00000000">
      <w:r>
        <w:rPr>
          <w:b/>
          <w:color w:val="FF0000"/>
        </w:rPr>
        <w:t xml:space="preserve">IMPORTANT WARNING: </w:t>
      </w:r>
      <w:r>
        <w:t>Non-norovirus pathogens in Research Mode have NOT been validated to the same standard as norovirus. These should be used for exploratory research purposes only, not for regulatory or compliance assessments.</w:t>
      </w:r>
    </w:p>
    <w:p w14:paraId="6BBAF141" w14:textId="77777777" w:rsidR="00AB7F09" w:rsidRDefault="00000000">
      <w:r>
        <w:br w:type="page"/>
      </w:r>
    </w:p>
    <w:p w14:paraId="7DC63E00" w14:textId="77777777" w:rsidR="00AB7F09" w:rsidRDefault="00000000">
      <w:pPr>
        <w:pStyle w:val="Heading1"/>
      </w:pPr>
      <w:r>
        <w:rPr>
          <w:color w:val="1F77B4"/>
        </w:rPr>
        <w:lastRenderedPageBreak/>
        <w:t>3. Assessment Workflows</w:t>
      </w:r>
    </w:p>
    <w:p w14:paraId="39457BB7" w14:textId="77777777" w:rsidR="00AB7F09" w:rsidRDefault="00000000">
      <w:r>
        <w:t>The application provides five specialized assessment workflows, each designed for specific risk assessment scenarios. This section provides detailed instructions for each workflow.</w:t>
      </w:r>
    </w:p>
    <w:p w14:paraId="39A7DCBE" w14:textId="77777777" w:rsidR="00AB7F09" w:rsidRDefault="00000000">
      <w:r>
        <w:br w:type="page"/>
      </w:r>
    </w:p>
    <w:p w14:paraId="77CC46E0" w14:textId="77777777" w:rsidR="00AB7F09" w:rsidRDefault="00000000">
      <w:pPr>
        <w:pStyle w:val="Heading2"/>
      </w:pPr>
      <w:r>
        <w:rPr>
          <w:color w:val="2C3E50"/>
        </w:rPr>
        <w:lastRenderedPageBreak/>
        <w:t>3.1 Batch Scenarios Assessment</w:t>
      </w:r>
    </w:p>
    <w:p w14:paraId="72C8081E" w14:textId="77777777" w:rsidR="00AB7F09" w:rsidRDefault="00000000">
      <w:r>
        <w:rPr>
          <w:b/>
        </w:rPr>
        <w:t>Overview:</w:t>
      </w:r>
    </w:p>
    <w:p w14:paraId="7EEC53C4" w14:textId="77777777" w:rsidR="00AB7F09" w:rsidRDefault="00AB7F09"/>
    <w:p w14:paraId="4B56838F" w14:textId="77777777" w:rsidR="00AB7F09" w:rsidRDefault="00000000">
      <w:r>
        <w:t>The Batch Scenarios workflow allows you to evaluate multiple pre-configured scenarios simultaneously using a "library approach" with three CSV input files. This is the most comprehensive workflow, suitable for complex risk assessments with multiple combinations of pathogens, sites, and exposure conditions.</w:t>
      </w:r>
    </w:p>
    <w:p w14:paraId="5101DA71" w14:textId="77777777" w:rsidR="00AB7F09" w:rsidRDefault="00AB7F09"/>
    <w:p w14:paraId="4F26048E" w14:textId="77777777" w:rsidR="00AB7F09" w:rsidRDefault="00000000">
      <w:r>
        <w:rPr>
          <w:b/>
        </w:rPr>
        <w:t>Use Cases:</w:t>
      </w:r>
    </w:p>
    <w:p w14:paraId="00899DD2" w14:textId="77777777" w:rsidR="00AB7F09" w:rsidRDefault="00000000">
      <w:pPr>
        <w:pStyle w:val="ListBullet"/>
      </w:pPr>
      <w:r>
        <w:t>Master risk assessment covering multiple locations and scenarios</w:t>
      </w:r>
    </w:p>
    <w:p w14:paraId="3A7839C9" w14:textId="77777777" w:rsidR="00AB7F09" w:rsidRDefault="00000000">
      <w:pPr>
        <w:pStyle w:val="ListBullet"/>
      </w:pPr>
      <w:r>
        <w:t>Comparing risks across different exposure routes (shellfish vs swimming)</w:t>
      </w:r>
    </w:p>
    <w:p w14:paraId="314DAC36" w14:textId="77777777" w:rsidR="00AB7F09" w:rsidRDefault="00000000">
      <w:pPr>
        <w:pStyle w:val="ListBullet"/>
      </w:pPr>
      <w:r>
        <w:t>Evaluating seasonal variations with different parameter sets</w:t>
      </w:r>
    </w:p>
    <w:p w14:paraId="0BD470E8" w14:textId="77777777" w:rsidR="00AB7F09" w:rsidRDefault="00000000">
      <w:pPr>
        <w:pStyle w:val="ListBullet"/>
      </w:pPr>
      <w:r>
        <w:t>Batch processing for annual reporting requirements</w:t>
      </w:r>
    </w:p>
    <w:p w14:paraId="6FFC2D39" w14:textId="77777777" w:rsidR="00AB7F09" w:rsidRDefault="00AB7F09"/>
    <w:p w14:paraId="385FE5B5" w14:textId="77777777" w:rsidR="00AB7F09" w:rsidRDefault="00000000">
      <w:r>
        <w:rPr>
          <w:b/>
        </w:rPr>
        <w:t>Input Files Required:</w:t>
      </w:r>
    </w:p>
    <w:p w14:paraId="51FC3049" w14:textId="77777777" w:rsidR="00AB7F09" w:rsidRDefault="00AB7F09"/>
    <w:p w14:paraId="52D55110" w14:textId="77777777" w:rsidR="00AB7F09" w:rsidRDefault="00000000">
      <w:pPr>
        <w:pStyle w:val="ListBullet"/>
      </w:pPr>
      <w:r>
        <w:rPr>
          <w:b/>
        </w:rPr>
        <w:t xml:space="preserve">pathogen_data.csv: </w:t>
      </w:r>
      <w:r>
        <w:t>Contains pathogen concentration data with columns for pathogen_id, name, concentration (mean, stdev, distribution type), and source information.</w:t>
      </w:r>
    </w:p>
    <w:p w14:paraId="5C93A5E8" w14:textId="77777777" w:rsidR="00AB7F09" w:rsidRDefault="00000000">
      <w:pPr>
        <w:pStyle w:val="ListBullet"/>
      </w:pPr>
      <w:r>
        <w:rPr>
          <w:b/>
        </w:rPr>
        <w:t xml:space="preserve">scenarios.csv: </w:t>
      </w:r>
      <w:r>
        <w:t>Defines scenario configurations including scenario_id, name, exposure_route, dilution_factor, treatment_lrv, exposure_frequency, exposure_volume, and population_size.</w:t>
      </w:r>
    </w:p>
    <w:p w14:paraId="27509FFB" w14:textId="77777777" w:rsidR="00AB7F09" w:rsidRDefault="00000000">
      <w:pPr>
        <w:pStyle w:val="ListBullet"/>
      </w:pPr>
      <w:r>
        <w:rPr>
          <w:b/>
        </w:rPr>
        <w:t xml:space="preserve">master_scenarios.csv: </w:t>
      </w:r>
      <w:r>
        <w:t>Links pathogens to scenarios with master_scenario_id, pathogen_id, and scenario_id columns.</w:t>
      </w:r>
    </w:p>
    <w:p w14:paraId="5B162CD5" w14:textId="77777777" w:rsidR="00AB7F09" w:rsidRDefault="00AB7F09"/>
    <w:p w14:paraId="7CC2E09C" w14:textId="77777777" w:rsidR="00AB7F09" w:rsidRDefault="00000000">
      <w:r>
        <w:rPr>
          <w:b/>
        </w:rPr>
        <w:t>Step-by-Step Procedure:</w:t>
      </w:r>
    </w:p>
    <w:p w14:paraId="5B2FBCD4" w14:textId="77777777" w:rsidR="00AB7F09" w:rsidRDefault="00000000">
      <w:pPr>
        <w:pStyle w:val="ListNumber"/>
      </w:pPr>
      <w:r>
        <w:t>Select "Batch Scenarios" from the Assessment Mode dropdown in the sidebar</w:t>
      </w:r>
    </w:p>
    <w:p w14:paraId="516BEA1B" w14:textId="77777777" w:rsidR="00AB7F09" w:rsidRDefault="00000000">
      <w:pPr>
        <w:pStyle w:val="ListNumber"/>
      </w:pPr>
      <w:r>
        <w:t>Choose one of two data input options:</w:t>
      </w:r>
    </w:p>
    <w:p w14:paraId="3400E686" w14:textId="77777777" w:rsidR="00AB7F09" w:rsidRDefault="00000000">
      <w:pPr>
        <w:pStyle w:val="ListBullet"/>
        <w:ind w:left="1080"/>
      </w:pPr>
      <w:r>
        <w:t>Check "Use example data" to load 15 pre-configured scenarios</w:t>
      </w:r>
    </w:p>
    <w:p w14:paraId="21987EEB" w14:textId="77777777" w:rsidR="00AB7F09" w:rsidRDefault="00000000">
      <w:pPr>
        <w:pStyle w:val="ListBullet"/>
        <w:ind w:left="1080"/>
      </w:pPr>
      <w:r>
        <w:t>Upload your own CSV files using the file upload widgets</w:t>
      </w:r>
    </w:p>
    <w:p w14:paraId="7249C7D9" w14:textId="77777777" w:rsidR="00AB7F09" w:rsidRDefault="00000000">
      <w:pPr>
        <w:pStyle w:val="ListNumber"/>
      </w:pPr>
      <w:r>
        <w:t>Review the data preview tables to verify correct data loading</w:t>
      </w:r>
    </w:p>
    <w:p w14:paraId="1384BECE" w14:textId="77777777" w:rsidR="00AB7F09" w:rsidRDefault="00000000">
      <w:pPr>
        <w:pStyle w:val="ListNumber"/>
      </w:pPr>
      <w:r>
        <w:t>Scroll down and click "Run Batch Assessment"</w:t>
      </w:r>
    </w:p>
    <w:p w14:paraId="669898C2" w14:textId="77777777" w:rsidR="00AB7F09" w:rsidRDefault="00000000">
      <w:pPr>
        <w:pStyle w:val="ListNumber"/>
      </w:pPr>
      <w:r>
        <w:t>Wait for Monte Carlo simulation to complete (10,000 iterations per scenario)</w:t>
      </w:r>
    </w:p>
    <w:p w14:paraId="072945F6" w14:textId="77777777" w:rsidR="00AB7F09" w:rsidRDefault="00000000">
      <w:pPr>
        <w:pStyle w:val="ListNumber"/>
      </w:pPr>
      <w:r>
        <w:lastRenderedPageBreak/>
        <w:t>Review results in the comprehensive summary table showing:</w:t>
      </w:r>
    </w:p>
    <w:p w14:paraId="556DAF08" w14:textId="77777777" w:rsidR="00AB7F09" w:rsidRDefault="00000000">
      <w:pPr>
        <w:pStyle w:val="ListBullet"/>
        <w:ind w:left="1080"/>
      </w:pPr>
      <w:r>
        <w:t>Mean dose and infection probability per scenario</w:t>
      </w:r>
    </w:p>
    <w:p w14:paraId="6BE09660" w14:textId="77777777" w:rsidR="00AB7F09" w:rsidRDefault="00000000">
      <w:pPr>
        <w:pStyle w:val="ListBullet"/>
        <w:ind w:left="1080"/>
      </w:pPr>
      <w:r>
        <w:t>Annual infection risk</w:t>
      </w:r>
    </w:p>
    <w:p w14:paraId="21F5E43A" w14:textId="77777777" w:rsidR="00AB7F09" w:rsidRDefault="00000000">
      <w:pPr>
        <w:pStyle w:val="ListBullet"/>
        <w:ind w:left="1080"/>
      </w:pPr>
      <w:r>
        <w:t>WHO guideline compliance status</w:t>
      </w:r>
    </w:p>
    <w:p w14:paraId="71414894" w14:textId="77777777" w:rsidR="00AB7F09" w:rsidRDefault="00000000">
      <w:pPr>
        <w:pStyle w:val="ListBullet"/>
        <w:ind w:left="1080"/>
      </w:pPr>
      <w:r>
        <w:t>95% confidence intervals</w:t>
      </w:r>
    </w:p>
    <w:p w14:paraId="708A48DA" w14:textId="77777777" w:rsidR="00AB7F09" w:rsidRDefault="00000000">
      <w:pPr>
        <w:pStyle w:val="ListNumber"/>
      </w:pPr>
      <w:r>
        <w:t>Download results as CSV or complete assessment package as ZIP</w:t>
      </w:r>
    </w:p>
    <w:p w14:paraId="0419D367" w14:textId="77777777" w:rsidR="00AB7F09" w:rsidRDefault="00000000">
      <w:r>
        <w:br w:type="page"/>
      </w:r>
    </w:p>
    <w:p w14:paraId="6DCFC1CD" w14:textId="77777777" w:rsidR="00AB7F09" w:rsidRDefault="00000000">
      <w:pPr>
        <w:pStyle w:val="Heading2"/>
      </w:pPr>
      <w:r>
        <w:rPr>
          <w:color w:val="2C3E50"/>
        </w:rPr>
        <w:lastRenderedPageBreak/>
        <w:t>3.2 Spatial Risk Assessment</w:t>
      </w:r>
    </w:p>
    <w:p w14:paraId="564AB5D4" w14:textId="77777777" w:rsidR="00AB7F09" w:rsidRDefault="00000000">
      <w:r>
        <w:rPr>
          <w:b/>
        </w:rPr>
        <w:t>Overview:</w:t>
      </w:r>
    </w:p>
    <w:p w14:paraId="0B2E76A3" w14:textId="77777777" w:rsidR="00AB7F09" w:rsidRDefault="00AB7F09"/>
    <w:p w14:paraId="1089FEEB" w14:textId="77777777" w:rsidR="00AB7F09" w:rsidRDefault="00000000">
      <w:r>
        <w:t>The Spatial Assessment workflow evaluates risk across multiple geographic sites with different dilution factors. This is particularly useful for mapping risk gradients near wastewater discharge points or comparing shellfish harvesting zones.</w:t>
      </w:r>
    </w:p>
    <w:p w14:paraId="19053D96" w14:textId="77777777" w:rsidR="00AB7F09" w:rsidRDefault="00AB7F09"/>
    <w:p w14:paraId="79187084" w14:textId="77777777" w:rsidR="00AB7F09" w:rsidRDefault="00000000">
      <w:r>
        <w:rPr>
          <w:b/>
        </w:rPr>
        <w:t>Use Cases:</w:t>
      </w:r>
    </w:p>
    <w:p w14:paraId="39A16DAB" w14:textId="77777777" w:rsidR="00AB7F09" w:rsidRDefault="00000000">
      <w:pPr>
        <w:pStyle w:val="ListBullet"/>
      </w:pPr>
      <w:r>
        <w:t>Shellfish harvesting area classification (approved, conditionally approved, restricted)</w:t>
      </w:r>
    </w:p>
    <w:p w14:paraId="00F8FA63" w14:textId="77777777" w:rsidR="00AB7F09" w:rsidRDefault="00000000">
      <w:pPr>
        <w:pStyle w:val="ListBullet"/>
      </w:pPr>
      <w:r>
        <w:t>Beach water quality assessment at multiple sampling locations</w:t>
      </w:r>
    </w:p>
    <w:p w14:paraId="6AAA6375" w14:textId="77777777" w:rsidR="00AB7F09" w:rsidRDefault="00000000">
      <w:pPr>
        <w:pStyle w:val="ListBullet"/>
      </w:pPr>
      <w:r>
        <w:t>Wastewater discharge impact assessment with distance from outfall</w:t>
      </w:r>
    </w:p>
    <w:p w14:paraId="25B661E3" w14:textId="77777777" w:rsidR="00AB7F09" w:rsidRDefault="00000000">
      <w:pPr>
        <w:pStyle w:val="ListBullet"/>
      </w:pPr>
      <w:r>
        <w:t>Comparing risk at upstream vs downstream locations</w:t>
      </w:r>
    </w:p>
    <w:p w14:paraId="60D6135C" w14:textId="77777777" w:rsidR="00AB7F09" w:rsidRDefault="00AB7F09"/>
    <w:p w14:paraId="0FB19EB8" w14:textId="77777777" w:rsidR="00AB7F09" w:rsidRDefault="00000000">
      <w:r>
        <w:rPr>
          <w:b/>
        </w:rPr>
        <w:t>Input Requirements:</w:t>
      </w:r>
    </w:p>
    <w:p w14:paraId="2C22BAB5" w14:textId="77777777" w:rsidR="00AB7F09" w:rsidRDefault="00AB7F09"/>
    <w:p w14:paraId="4B617EA1" w14:textId="77777777" w:rsidR="00AB7F09" w:rsidRDefault="00000000">
      <w:r>
        <w:t>Dilution data CSV with two columns: Site (location name) and Dilution_Factor (dimensionless). Example data includes 6 sites with dilution factors ranging from 100 (near-field) to 100,000 (far-field).</w:t>
      </w:r>
    </w:p>
    <w:p w14:paraId="7643CE43" w14:textId="77777777" w:rsidR="00AB7F09" w:rsidRDefault="00AB7F09"/>
    <w:p w14:paraId="224CD023" w14:textId="77777777" w:rsidR="00AB7F09" w:rsidRDefault="00000000">
      <w:r>
        <w:rPr>
          <w:b/>
        </w:rPr>
        <w:t>Step-by-Step Procedure:</w:t>
      </w:r>
    </w:p>
    <w:p w14:paraId="77D9827D" w14:textId="77777777" w:rsidR="00AB7F09" w:rsidRDefault="00000000">
      <w:pPr>
        <w:pStyle w:val="ListNumber"/>
      </w:pPr>
      <w:r>
        <w:t>Select "Spatial Assessment" from the Assessment Mode dropdown</w:t>
      </w:r>
    </w:p>
    <w:p w14:paraId="6E6FE2F4" w14:textId="77777777" w:rsidR="00AB7F09" w:rsidRDefault="00000000">
      <w:pPr>
        <w:pStyle w:val="ListNumber"/>
      </w:pPr>
      <w:r>
        <w:t>Configure parameters:</w:t>
      </w:r>
    </w:p>
    <w:p w14:paraId="55629A0F" w14:textId="77777777" w:rsidR="00AB7F09" w:rsidRDefault="00000000">
      <w:pPr>
        <w:pStyle w:val="ListBullet"/>
        <w:ind w:left="1080"/>
      </w:pPr>
      <w:r>
        <w:rPr>
          <w:b/>
        </w:rPr>
        <w:t xml:space="preserve">Pathogen: </w:t>
      </w:r>
      <w:r>
        <w:t>Select norovirus (Production Mode enforces this)</w:t>
      </w:r>
    </w:p>
    <w:p w14:paraId="42BD0F2F" w14:textId="77777777" w:rsidR="00AB7F09" w:rsidRDefault="00000000">
      <w:pPr>
        <w:pStyle w:val="ListBullet"/>
        <w:ind w:left="1080"/>
      </w:pPr>
      <w:r>
        <w:rPr>
          <w:b/>
        </w:rPr>
        <w:t xml:space="preserve">Exposure Route: </w:t>
      </w:r>
      <w:r>
        <w:t>Choose Shellfish Consumption or Primary Contact (Swimming)</w:t>
      </w:r>
    </w:p>
    <w:p w14:paraId="69FC60D4" w14:textId="77777777" w:rsidR="00AB7F09" w:rsidRDefault="00000000">
      <w:pPr>
        <w:pStyle w:val="ListBullet"/>
        <w:ind w:left="1080"/>
      </w:pPr>
      <w:r>
        <w:rPr>
          <w:b/>
        </w:rPr>
        <w:t xml:space="preserve">Pathogen Concentration: </w:t>
      </w:r>
      <w:r>
        <w:t>Enter mean concentration in organisms/L (e.g., 1e6 for raw wastewater)</w:t>
      </w:r>
    </w:p>
    <w:p w14:paraId="121B8E4B" w14:textId="77777777" w:rsidR="00AB7F09" w:rsidRDefault="00000000">
      <w:pPr>
        <w:pStyle w:val="ListBullet"/>
        <w:ind w:left="1080"/>
      </w:pPr>
      <w:r>
        <w:rPr>
          <w:b/>
        </w:rPr>
        <w:t xml:space="preserve">Treatment LRV: </w:t>
      </w:r>
      <w:r>
        <w:t>Log reduction value (0-6, typically 2-4 for secondary treatment)</w:t>
      </w:r>
    </w:p>
    <w:p w14:paraId="462E8E97" w14:textId="77777777" w:rsidR="00AB7F09" w:rsidRDefault="00000000">
      <w:pPr>
        <w:pStyle w:val="ListBullet"/>
        <w:ind w:left="1080"/>
      </w:pPr>
      <w:r>
        <w:rPr>
          <w:b/>
        </w:rPr>
        <w:t xml:space="preserve">Exposure Frequency: </w:t>
      </w:r>
      <w:r>
        <w:t>Events per year (e.g., 12 for monthly shellfish consumption)</w:t>
      </w:r>
    </w:p>
    <w:p w14:paraId="03210B4E" w14:textId="77777777" w:rsidR="00AB7F09" w:rsidRDefault="00000000">
      <w:pPr>
        <w:pStyle w:val="ListNumber"/>
      </w:pPr>
      <w:r>
        <w:t>Upload dilution data CSV or use example data (6 sites)</w:t>
      </w:r>
    </w:p>
    <w:p w14:paraId="25BB57A6" w14:textId="77777777" w:rsidR="00AB7F09" w:rsidRDefault="00000000">
      <w:pPr>
        <w:pStyle w:val="ListNumber"/>
      </w:pPr>
      <w:r>
        <w:t>Click "Run Spatial Assessment"</w:t>
      </w:r>
    </w:p>
    <w:p w14:paraId="1F1E4A82" w14:textId="77777777" w:rsidR="00AB7F09" w:rsidRDefault="00000000">
      <w:pPr>
        <w:pStyle w:val="ListNumber"/>
      </w:pPr>
      <w:r>
        <w:t>Review results:</w:t>
      </w:r>
    </w:p>
    <w:p w14:paraId="681D277A" w14:textId="77777777" w:rsidR="00AB7F09" w:rsidRDefault="00000000">
      <w:pPr>
        <w:pStyle w:val="ListBullet"/>
        <w:ind w:left="1080"/>
      </w:pPr>
      <w:r>
        <w:lastRenderedPageBreak/>
        <w:t>Site-by-site risk table with compliance status</w:t>
      </w:r>
    </w:p>
    <w:p w14:paraId="418073BF" w14:textId="77777777" w:rsidR="00AB7F09" w:rsidRDefault="00000000">
      <w:pPr>
        <w:pStyle w:val="ListBullet"/>
        <w:ind w:left="1080"/>
      </w:pPr>
      <w:r>
        <w:t>Risk gradient visualization showing spatial trends</w:t>
      </w:r>
    </w:p>
    <w:p w14:paraId="77E54CF6" w14:textId="77777777" w:rsidR="00AB7F09" w:rsidRDefault="00000000">
      <w:pPr>
        <w:pStyle w:val="ListBullet"/>
        <w:ind w:left="1080"/>
      </w:pPr>
      <w:r>
        <w:t>Recommended classification for each site</w:t>
      </w:r>
    </w:p>
    <w:p w14:paraId="32C66CC2" w14:textId="77777777" w:rsidR="00AB7F09" w:rsidRDefault="00000000">
      <w:pPr>
        <w:pStyle w:val="ListNumber"/>
      </w:pPr>
      <w:r>
        <w:t>Download results and visualizations</w:t>
      </w:r>
    </w:p>
    <w:p w14:paraId="01471DD4" w14:textId="77777777" w:rsidR="00AB7F09" w:rsidRDefault="00000000">
      <w:r>
        <w:br w:type="page"/>
      </w:r>
    </w:p>
    <w:p w14:paraId="20500F35" w14:textId="77777777" w:rsidR="00AB7F09" w:rsidRDefault="00000000">
      <w:pPr>
        <w:pStyle w:val="Heading2"/>
      </w:pPr>
      <w:r>
        <w:rPr>
          <w:color w:val="2C3E50"/>
        </w:rPr>
        <w:lastRenderedPageBreak/>
        <w:t>3.3 Temporal Risk Assessment</w:t>
      </w:r>
    </w:p>
    <w:p w14:paraId="3A6418C8" w14:textId="77777777" w:rsidR="00AB7F09" w:rsidRDefault="00000000">
      <w:r>
        <w:rPr>
          <w:b/>
        </w:rPr>
        <w:t>Overview:</w:t>
      </w:r>
    </w:p>
    <w:p w14:paraId="2D177C4C" w14:textId="77777777" w:rsidR="00AB7F09" w:rsidRDefault="00AB7F09"/>
    <w:p w14:paraId="79084446" w14:textId="77777777" w:rsidR="00AB7F09" w:rsidRDefault="00000000">
      <w:r>
        <w:t>The Temporal Assessment workflow analyzes risk trends over time using pathogen monitoring data. This is essential for understanding seasonal patterns, evaluating treatment performance over time, and identifying risk peaks.</w:t>
      </w:r>
    </w:p>
    <w:p w14:paraId="4D303B5F" w14:textId="77777777" w:rsidR="00AB7F09" w:rsidRDefault="00AB7F09"/>
    <w:p w14:paraId="4E6294C9" w14:textId="77777777" w:rsidR="00AB7F09" w:rsidRDefault="00000000">
      <w:r>
        <w:rPr>
          <w:b/>
        </w:rPr>
        <w:t>Use Cases:</w:t>
      </w:r>
    </w:p>
    <w:p w14:paraId="36F2C4BA" w14:textId="77777777" w:rsidR="00AB7F09" w:rsidRDefault="00000000">
      <w:pPr>
        <w:pStyle w:val="ListBullet"/>
      </w:pPr>
      <w:r>
        <w:t>Seasonal risk pattern analysis (summer vs winter)</w:t>
      </w:r>
    </w:p>
    <w:p w14:paraId="1A71E804" w14:textId="77777777" w:rsidR="00AB7F09" w:rsidRDefault="00000000">
      <w:pPr>
        <w:pStyle w:val="ListBullet"/>
      </w:pPr>
      <w:r>
        <w:t>Before/after treatment upgrade evaluation</w:t>
      </w:r>
    </w:p>
    <w:p w14:paraId="1EDEB021" w14:textId="77777777" w:rsidR="00AB7F09" w:rsidRDefault="00000000">
      <w:pPr>
        <w:pStyle w:val="ListBullet"/>
      </w:pPr>
      <w:r>
        <w:t>Long-term monitoring program assessment</w:t>
      </w:r>
    </w:p>
    <w:p w14:paraId="6017B130" w14:textId="77777777" w:rsidR="00AB7F09" w:rsidRDefault="00000000">
      <w:pPr>
        <w:pStyle w:val="ListBullet"/>
      </w:pPr>
      <w:r>
        <w:t>Identifying peak risk periods for management interventions</w:t>
      </w:r>
    </w:p>
    <w:p w14:paraId="07F5580E" w14:textId="77777777" w:rsidR="00AB7F09" w:rsidRDefault="00AB7F09"/>
    <w:p w14:paraId="6A3FCDDA" w14:textId="77777777" w:rsidR="00AB7F09" w:rsidRDefault="00000000">
      <w:r>
        <w:rPr>
          <w:b/>
        </w:rPr>
        <w:t>Input Requirements:</w:t>
      </w:r>
    </w:p>
    <w:p w14:paraId="2CC909F3" w14:textId="77777777" w:rsidR="00AB7F09" w:rsidRDefault="00AB7F09"/>
    <w:p w14:paraId="378F7C61" w14:textId="77777777" w:rsidR="00AB7F09" w:rsidRDefault="00000000">
      <w:r>
        <w:t>Temporal data CSV with two columns: Date (YYYY-MM-DD format) and Concentration (organisms/L). The application handles missing data and irregular sampling intervals.</w:t>
      </w:r>
    </w:p>
    <w:p w14:paraId="16A36B8F" w14:textId="77777777" w:rsidR="00AB7F09" w:rsidRDefault="00AB7F09"/>
    <w:p w14:paraId="16620A05" w14:textId="77777777" w:rsidR="00AB7F09" w:rsidRDefault="00000000">
      <w:r>
        <w:rPr>
          <w:b/>
        </w:rPr>
        <w:t>Step-by-Step Procedure:</w:t>
      </w:r>
    </w:p>
    <w:p w14:paraId="4A2716B7" w14:textId="77777777" w:rsidR="00AB7F09" w:rsidRDefault="00000000">
      <w:pPr>
        <w:pStyle w:val="ListNumber"/>
      </w:pPr>
      <w:r>
        <w:t>Select "Temporal Assessment" from dropdown</w:t>
      </w:r>
    </w:p>
    <w:p w14:paraId="589F4D76" w14:textId="77777777" w:rsidR="00AB7F09" w:rsidRDefault="00000000">
      <w:pPr>
        <w:pStyle w:val="ListNumber"/>
      </w:pPr>
      <w:r>
        <w:t>Configure pathogen and exposure route</w:t>
      </w:r>
    </w:p>
    <w:p w14:paraId="726B7FAE" w14:textId="77777777" w:rsidR="00AB7F09" w:rsidRDefault="00000000">
      <w:pPr>
        <w:pStyle w:val="ListNumber"/>
      </w:pPr>
      <w:r>
        <w:t>Upload temporal monitoring data CSV</w:t>
      </w:r>
    </w:p>
    <w:p w14:paraId="210E31EB" w14:textId="77777777" w:rsidR="00AB7F09" w:rsidRDefault="00000000">
      <w:pPr>
        <w:pStyle w:val="ListNumber"/>
      </w:pPr>
      <w:r>
        <w:t>Set assessment parameters (treatment LRV, dilution, exposure frequency)</w:t>
      </w:r>
    </w:p>
    <w:p w14:paraId="389DDA04" w14:textId="77777777" w:rsidR="00AB7F09" w:rsidRDefault="00000000">
      <w:pPr>
        <w:pStyle w:val="ListNumber"/>
      </w:pPr>
      <w:r>
        <w:t>Click "Run Temporal Assessment"</w:t>
      </w:r>
    </w:p>
    <w:p w14:paraId="1AC19689" w14:textId="77777777" w:rsidR="00AB7F09" w:rsidRDefault="00000000">
      <w:pPr>
        <w:pStyle w:val="ListNumber"/>
      </w:pPr>
      <w:r>
        <w:t>Review time-series visualization showing:</w:t>
      </w:r>
    </w:p>
    <w:p w14:paraId="0FB8B966" w14:textId="77777777" w:rsidR="00AB7F09" w:rsidRDefault="00000000">
      <w:pPr>
        <w:pStyle w:val="ListBullet"/>
        <w:ind w:left="1080"/>
      </w:pPr>
      <w:r>
        <w:t>Daily/monthly risk estimates over time</w:t>
      </w:r>
    </w:p>
    <w:p w14:paraId="3CAD374D" w14:textId="77777777" w:rsidR="00AB7F09" w:rsidRDefault="00000000">
      <w:pPr>
        <w:pStyle w:val="ListBullet"/>
        <w:ind w:left="1080"/>
      </w:pPr>
      <w:r>
        <w:t>WHO guideline reference line</w:t>
      </w:r>
    </w:p>
    <w:p w14:paraId="5C2F561E" w14:textId="77777777" w:rsidR="00AB7F09" w:rsidRDefault="00000000">
      <w:pPr>
        <w:pStyle w:val="ListBullet"/>
        <w:ind w:left="1080"/>
      </w:pPr>
      <w:r>
        <w:t>Trend analysis and seasonal patterns</w:t>
      </w:r>
    </w:p>
    <w:p w14:paraId="1F07B23D" w14:textId="77777777" w:rsidR="00AB7F09" w:rsidRDefault="00000000">
      <w:pPr>
        <w:pStyle w:val="ListNumber"/>
      </w:pPr>
      <w:r>
        <w:t>Examine summary statistics (mean, median, percentiles over time period)</w:t>
      </w:r>
    </w:p>
    <w:p w14:paraId="054D92E0" w14:textId="77777777" w:rsidR="00AB7F09" w:rsidRDefault="00000000">
      <w:pPr>
        <w:pStyle w:val="ListNumber"/>
      </w:pPr>
      <w:r>
        <w:t>Download results and plots</w:t>
      </w:r>
    </w:p>
    <w:p w14:paraId="0C083E25" w14:textId="77777777" w:rsidR="00AB7F09" w:rsidRDefault="00000000">
      <w:r>
        <w:br w:type="page"/>
      </w:r>
    </w:p>
    <w:p w14:paraId="3344CFB5" w14:textId="77777777" w:rsidR="00AB7F09" w:rsidRDefault="00000000">
      <w:pPr>
        <w:pStyle w:val="Heading2"/>
      </w:pPr>
      <w:r>
        <w:rPr>
          <w:color w:val="2C3E50"/>
        </w:rPr>
        <w:lastRenderedPageBreak/>
        <w:t>3.4 Treatment Comparison</w:t>
      </w:r>
    </w:p>
    <w:p w14:paraId="71E12A6B" w14:textId="77777777" w:rsidR="00AB7F09" w:rsidRDefault="00000000">
      <w:r>
        <w:rPr>
          <w:b/>
        </w:rPr>
        <w:t>Overview:</w:t>
      </w:r>
    </w:p>
    <w:p w14:paraId="662538A4" w14:textId="77777777" w:rsidR="00AB7F09" w:rsidRDefault="00AB7F09"/>
    <w:p w14:paraId="3CFAC977" w14:textId="77777777" w:rsidR="00AB7F09" w:rsidRDefault="00000000">
      <w:r>
        <w:t>The Treatment Comparison workflow enables side-by-side evaluation of multiple treatment technologies or log reduction values (LRVs). This supports decision-making for treatment upgrades or optimization.</w:t>
      </w:r>
    </w:p>
    <w:p w14:paraId="7C0FA48E" w14:textId="77777777" w:rsidR="00AB7F09" w:rsidRDefault="00AB7F09"/>
    <w:p w14:paraId="7F28E2FA" w14:textId="77777777" w:rsidR="00AB7F09" w:rsidRDefault="00000000">
      <w:r>
        <w:rPr>
          <w:b/>
        </w:rPr>
        <w:t>Use Cases:</w:t>
      </w:r>
    </w:p>
    <w:p w14:paraId="5E9899B6" w14:textId="77777777" w:rsidR="00AB7F09" w:rsidRDefault="00000000">
      <w:pPr>
        <w:pStyle w:val="ListBullet"/>
      </w:pPr>
      <w:r>
        <w:t>Comparing UV disinfection vs chlorination effectiveness</w:t>
      </w:r>
    </w:p>
    <w:p w14:paraId="1F4DD5ED" w14:textId="77777777" w:rsidR="00AB7F09" w:rsidRDefault="00000000">
      <w:pPr>
        <w:pStyle w:val="ListBullet"/>
      </w:pPr>
      <w:r>
        <w:t>Evaluating membrane filtration vs conventional treatment</w:t>
      </w:r>
    </w:p>
    <w:p w14:paraId="0814B3C7" w14:textId="77777777" w:rsidR="00AB7F09" w:rsidRDefault="00000000">
      <w:pPr>
        <w:pStyle w:val="ListBullet"/>
      </w:pPr>
      <w:r>
        <w:t>Assessing incremental risk reduction from treatment upgrades</w:t>
      </w:r>
    </w:p>
    <w:p w14:paraId="1D418222" w14:textId="77777777" w:rsidR="00AB7F09" w:rsidRDefault="00000000">
      <w:pPr>
        <w:pStyle w:val="ListBullet"/>
      </w:pPr>
      <w:r>
        <w:t>Cost-benefit analysis of different LRV targets</w:t>
      </w:r>
    </w:p>
    <w:p w14:paraId="752A0599" w14:textId="77777777" w:rsidR="00AB7F09" w:rsidRDefault="00AB7F09"/>
    <w:p w14:paraId="6825C813" w14:textId="77777777" w:rsidR="00AB7F09" w:rsidRDefault="00000000">
      <w:r>
        <w:rPr>
          <w:b/>
        </w:rPr>
        <w:t>Step-by-Step Procedure:</w:t>
      </w:r>
    </w:p>
    <w:p w14:paraId="0C7966BC" w14:textId="77777777" w:rsidR="00AB7F09" w:rsidRDefault="00000000">
      <w:pPr>
        <w:pStyle w:val="ListNumber"/>
      </w:pPr>
      <w:r>
        <w:t>Select "Treatment Comparison" from dropdown</w:t>
      </w:r>
    </w:p>
    <w:p w14:paraId="2866E801" w14:textId="77777777" w:rsidR="00AB7F09" w:rsidRDefault="00000000">
      <w:pPr>
        <w:pStyle w:val="ListNumber"/>
      </w:pPr>
      <w:r>
        <w:t>Configure base parameters (pathogen, exposure route)</w:t>
      </w:r>
    </w:p>
    <w:p w14:paraId="0EDF4090" w14:textId="77777777" w:rsidR="00AB7F09" w:rsidRDefault="00000000">
      <w:pPr>
        <w:pStyle w:val="ListNumber"/>
      </w:pPr>
      <w:r>
        <w:t>Define 2-4 treatment scenarios by specifying:</w:t>
      </w:r>
    </w:p>
    <w:p w14:paraId="25BC91C1" w14:textId="77777777" w:rsidR="00AB7F09" w:rsidRDefault="00000000">
      <w:pPr>
        <w:pStyle w:val="ListBullet"/>
        <w:ind w:left="1080"/>
      </w:pPr>
      <w:r>
        <w:t>Scenario Name (e.g., "Secondary Treatment", "Secondary + UV")</w:t>
      </w:r>
    </w:p>
    <w:p w14:paraId="4E3070DB" w14:textId="77777777" w:rsidR="00AB7F09" w:rsidRDefault="00000000">
      <w:pPr>
        <w:pStyle w:val="ListBullet"/>
        <w:ind w:left="1080"/>
      </w:pPr>
      <w:r>
        <w:t>Log Reduction Value (LRV) for each scenario</w:t>
      </w:r>
    </w:p>
    <w:p w14:paraId="33664FEF" w14:textId="77777777" w:rsidR="00AB7F09" w:rsidRDefault="00000000">
      <w:pPr>
        <w:pStyle w:val="ListNumber"/>
      </w:pPr>
      <w:r>
        <w:t>Set shared parameters (concentration, dilution, exposure frequency)</w:t>
      </w:r>
    </w:p>
    <w:p w14:paraId="77155D83" w14:textId="77777777" w:rsidR="00AB7F09" w:rsidRDefault="00000000">
      <w:pPr>
        <w:pStyle w:val="ListNumber"/>
      </w:pPr>
      <w:r>
        <w:t>Click "Run Treatment Comparison"</w:t>
      </w:r>
    </w:p>
    <w:p w14:paraId="09B154B1" w14:textId="77777777" w:rsidR="00AB7F09" w:rsidRDefault="00000000">
      <w:pPr>
        <w:pStyle w:val="ListNumber"/>
      </w:pPr>
      <w:r>
        <w:t>Review comparative results table showing:</w:t>
      </w:r>
    </w:p>
    <w:p w14:paraId="730AC591" w14:textId="77777777" w:rsidR="00AB7F09" w:rsidRDefault="00000000">
      <w:pPr>
        <w:pStyle w:val="ListBullet"/>
        <w:ind w:left="1080"/>
      </w:pPr>
      <w:r>
        <w:t>Risk estimates for each treatment scenario</w:t>
      </w:r>
    </w:p>
    <w:p w14:paraId="7F4A3F83" w14:textId="77777777" w:rsidR="00AB7F09" w:rsidRDefault="00000000">
      <w:pPr>
        <w:pStyle w:val="ListBullet"/>
        <w:ind w:left="1080"/>
      </w:pPr>
      <w:r>
        <w:t>Compliance status (pass/fail)</w:t>
      </w:r>
    </w:p>
    <w:p w14:paraId="5E737DE6" w14:textId="77777777" w:rsidR="00AB7F09" w:rsidRDefault="00000000">
      <w:pPr>
        <w:pStyle w:val="ListBullet"/>
        <w:ind w:left="1080"/>
      </w:pPr>
      <w:r>
        <w:t>Risk reduction percentages</w:t>
      </w:r>
    </w:p>
    <w:p w14:paraId="0FB1BD65" w14:textId="77777777" w:rsidR="00AB7F09" w:rsidRDefault="00000000">
      <w:pPr>
        <w:pStyle w:val="ListNumber"/>
      </w:pPr>
      <w:r>
        <w:t>Examine side-by-side bar chart comparison</w:t>
      </w:r>
    </w:p>
    <w:p w14:paraId="30BB8131" w14:textId="77777777" w:rsidR="00AB7F09" w:rsidRDefault="00000000">
      <w:pPr>
        <w:pStyle w:val="ListNumber"/>
      </w:pPr>
      <w:r>
        <w:t>Download results</w:t>
      </w:r>
    </w:p>
    <w:p w14:paraId="245802CE" w14:textId="77777777" w:rsidR="00AB7F09" w:rsidRDefault="00000000">
      <w:r>
        <w:br w:type="page"/>
      </w:r>
    </w:p>
    <w:p w14:paraId="5F704FAF" w14:textId="77777777" w:rsidR="00AB7F09" w:rsidRDefault="00000000">
      <w:pPr>
        <w:pStyle w:val="Heading2"/>
      </w:pPr>
      <w:r>
        <w:rPr>
          <w:color w:val="2C3E50"/>
        </w:rPr>
        <w:lastRenderedPageBreak/>
        <w:t>3.5 Multi-Pathogen Assessment</w:t>
      </w:r>
    </w:p>
    <w:p w14:paraId="72ADC4E9" w14:textId="77777777" w:rsidR="00AB7F09" w:rsidRDefault="00000000">
      <w:r>
        <w:rPr>
          <w:b/>
        </w:rPr>
        <w:t>Overview:</w:t>
      </w:r>
    </w:p>
    <w:p w14:paraId="0F6824C5" w14:textId="77777777" w:rsidR="00AB7F09" w:rsidRDefault="00AB7F09"/>
    <w:p w14:paraId="29575270" w14:textId="77777777" w:rsidR="00AB7F09" w:rsidRDefault="00000000">
      <w:r>
        <w:t>The Multi-Pathogen Assessment workflow evaluates multiple pathogens simultaneously to identify the dominant health risk driver. This is important because different pathogens have vastly different infectivity and dose-response characteristics.</w:t>
      </w:r>
    </w:p>
    <w:p w14:paraId="1602675C" w14:textId="77777777" w:rsidR="00AB7F09" w:rsidRDefault="00AB7F09"/>
    <w:p w14:paraId="7543F1A3" w14:textId="77777777" w:rsidR="00AB7F09" w:rsidRDefault="00000000">
      <w:r>
        <w:rPr>
          <w:b/>
          <w:color w:val="FF0000"/>
        </w:rPr>
        <w:t xml:space="preserve">IMPORTANT NOTE: </w:t>
      </w:r>
      <w:r>
        <w:t>In Production Mode, this workflow is restricted to norovirus only. To assess multiple pathogens, you must disable Production Mode and enable Research Mode. However, non-norovirus pathogens have NOT been validated and should only be used for exploratory purposes.</w:t>
      </w:r>
    </w:p>
    <w:p w14:paraId="4A99E36A" w14:textId="77777777" w:rsidR="00AB7F09" w:rsidRDefault="00AB7F09"/>
    <w:p w14:paraId="0CB63440" w14:textId="77777777" w:rsidR="00AB7F09" w:rsidRDefault="00000000">
      <w:r>
        <w:rPr>
          <w:b/>
        </w:rPr>
        <w:t>Step-by-Step Procedure:</w:t>
      </w:r>
    </w:p>
    <w:p w14:paraId="44FF2D74" w14:textId="77777777" w:rsidR="00AB7F09" w:rsidRDefault="00000000">
      <w:pPr>
        <w:pStyle w:val="ListNumber"/>
      </w:pPr>
      <w:r>
        <w:t>Select "Multi-Pathogen Assessment" from dropdown</w:t>
      </w:r>
    </w:p>
    <w:p w14:paraId="0C7F8972" w14:textId="77777777" w:rsidR="00AB7F09" w:rsidRDefault="00000000">
      <w:pPr>
        <w:pStyle w:val="ListNumber"/>
      </w:pPr>
      <w:r>
        <w:t>In Production Mode: Only norovirus will be available</w:t>
      </w:r>
    </w:p>
    <w:p w14:paraId="13C886C6" w14:textId="77777777" w:rsidR="00AB7F09" w:rsidRDefault="00000000">
      <w:pPr>
        <w:pStyle w:val="ListNumber"/>
      </w:pPr>
      <w:r>
        <w:t>In Research Mode: Select 2-6 pathogens from multi-select box</w:t>
      </w:r>
    </w:p>
    <w:p w14:paraId="0EE721CA" w14:textId="77777777" w:rsidR="00AB7F09" w:rsidRDefault="00000000">
      <w:pPr>
        <w:pStyle w:val="ListNumber"/>
      </w:pPr>
      <w:r>
        <w:t>Configure exposure route and parameters</w:t>
      </w:r>
    </w:p>
    <w:p w14:paraId="5407FD47" w14:textId="77777777" w:rsidR="00AB7F09" w:rsidRDefault="00000000">
      <w:pPr>
        <w:pStyle w:val="ListNumber"/>
      </w:pPr>
      <w:r>
        <w:t>Click "Run Multi-Pathogen Assessment"</w:t>
      </w:r>
    </w:p>
    <w:p w14:paraId="518C5DCA" w14:textId="77777777" w:rsidR="00AB7F09" w:rsidRDefault="00000000">
      <w:pPr>
        <w:pStyle w:val="ListNumber"/>
      </w:pPr>
      <w:r>
        <w:t>Review pathogen comparison table showing relative risks</w:t>
      </w:r>
    </w:p>
    <w:p w14:paraId="10F6F5C9" w14:textId="77777777" w:rsidR="00AB7F09" w:rsidRDefault="00000000">
      <w:pPr>
        <w:pStyle w:val="ListNumber"/>
      </w:pPr>
      <w:r>
        <w:t>Identify the dominant pathogen driving overall risk</w:t>
      </w:r>
    </w:p>
    <w:p w14:paraId="6D3FECF8" w14:textId="77777777" w:rsidR="00AB7F09" w:rsidRDefault="00000000">
      <w:r>
        <w:br w:type="page"/>
      </w:r>
    </w:p>
    <w:p w14:paraId="4872D4D6" w14:textId="77777777" w:rsidR="00AB7F09" w:rsidRDefault="00000000">
      <w:pPr>
        <w:pStyle w:val="Heading1"/>
      </w:pPr>
      <w:r>
        <w:rPr>
          <w:color w:val="1F77B4"/>
        </w:rPr>
        <w:lastRenderedPageBreak/>
        <w:t>4. Input Data Requirements</w:t>
      </w:r>
    </w:p>
    <w:p w14:paraId="785C0190" w14:textId="77777777" w:rsidR="00AB7F09" w:rsidRDefault="00000000">
      <w:pPr>
        <w:pStyle w:val="Heading2"/>
      </w:pPr>
      <w:r>
        <w:rPr>
          <w:color w:val="2C3E50"/>
        </w:rPr>
        <w:t>4.1 Pathogen Concentration Data</w:t>
      </w:r>
    </w:p>
    <w:p w14:paraId="7CB4D9C2" w14:textId="77777777" w:rsidR="00AB7F09" w:rsidRDefault="00000000">
      <w:r>
        <w:t>Pathogen concentration is the starting point for all QMRA calculations. Concentration should be measured or estimated at the contamination source (e.g., raw wastewater, secondary effluent) before dilution and further fate/transport processes.</w:t>
      </w:r>
    </w:p>
    <w:p w14:paraId="4112EFC5" w14:textId="77777777" w:rsidR="00AB7F09" w:rsidRDefault="00AB7F09"/>
    <w:p w14:paraId="0E8541FE" w14:textId="77777777" w:rsidR="00AB7F09" w:rsidRDefault="00000000">
      <w:r>
        <w:rPr>
          <w:b/>
        </w:rPr>
        <w:t>Typical Concentration Ranges for Norovirus:</w:t>
      </w:r>
    </w:p>
    <w:p w14:paraId="2941768E" w14:textId="77777777" w:rsidR="00AB7F09" w:rsidRDefault="00000000">
      <w:pPr>
        <w:pStyle w:val="ListBullet"/>
      </w:pPr>
      <w:r>
        <w:t>Raw wastewater: 10⁶ - 10⁷ gene copies/L</w:t>
      </w:r>
    </w:p>
    <w:p w14:paraId="4F6DF1CA" w14:textId="77777777" w:rsidR="00AB7F09" w:rsidRDefault="00000000">
      <w:pPr>
        <w:pStyle w:val="ListBullet"/>
      </w:pPr>
      <w:r>
        <w:t>Primary effluent: 10⁵ - 10⁶ gene copies/L</w:t>
      </w:r>
    </w:p>
    <w:p w14:paraId="47E1A1CF" w14:textId="77777777" w:rsidR="00AB7F09" w:rsidRDefault="00000000">
      <w:pPr>
        <w:pStyle w:val="ListBullet"/>
      </w:pPr>
      <w:r>
        <w:t>Secondary effluent (activated sludge): 10³ - 10⁴ gene copies/L</w:t>
      </w:r>
    </w:p>
    <w:p w14:paraId="36094A5B" w14:textId="77777777" w:rsidR="00AB7F09" w:rsidRDefault="00000000">
      <w:pPr>
        <w:pStyle w:val="ListBullet"/>
      </w:pPr>
      <w:r>
        <w:t>UV-disinfected effluent: 10² - 10³ gene copies/L</w:t>
      </w:r>
    </w:p>
    <w:p w14:paraId="1D765BD4" w14:textId="77777777" w:rsidR="00AB7F09" w:rsidRDefault="00AB7F09"/>
    <w:p w14:paraId="60AD9487" w14:textId="77777777" w:rsidR="00AB7F09" w:rsidRDefault="00000000">
      <w:r>
        <w:t>Note: These are gene copies, not infectious particles. A conversion factor (typically 1:100 to 1:1000) is often applied to estimate infectious virions from qPCR measurements.</w:t>
      </w:r>
    </w:p>
    <w:p w14:paraId="7E27E7F0" w14:textId="77777777" w:rsidR="00AB7F09" w:rsidRDefault="00000000">
      <w:pPr>
        <w:pStyle w:val="Heading2"/>
      </w:pPr>
      <w:r>
        <w:rPr>
          <w:color w:val="2C3E50"/>
        </w:rPr>
        <w:t>4.2 Dilution Factor Data</w:t>
      </w:r>
    </w:p>
    <w:p w14:paraId="5BF9EDC7" w14:textId="77777777" w:rsidR="00AB7F09" w:rsidRDefault="00000000">
      <w:r>
        <w:t>Dilution factor represents the volumetric dilution of wastewater in receiving waters. This can be estimated using:</w:t>
      </w:r>
    </w:p>
    <w:p w14:paraId="1E23D46B" w14:textId="77777777" w:rsidR="00AB7F09" w:rsidRDefault="00000000">
      <w:pPr>
        <w:pStyle w:val="ListBullet"/>
      </w:pPr>
      <w:r>
        <w:t>Wastewater discharge flow rate and receiving water flow rate</w:t>
      </w:r>
    </w:p>
    <w:p w14:paraId="5F98E0A4" w14:textId="77777777" w:rsidR="00AB7F09" w:rsidRDefault="00000000">
      <w:pPr>
        <w:pStyle w:val="ListBullet"/>
      </w:pPr>
      <w:r>
        <w:t>Hydrodynamic modeling (e.g., MIKE 3, Delft3D)</w:t>
      </w:r>
    </w:p>
    <w:p w14:paraId="06EED045" w14:textId="77777777" w:rsidR="00AB7F09" w:rsidRDefault="00000000">
      <w:pPr>
        <w:pStyle w:val="ListBullet"/>
      </w:pPr>
      <w:r>
        <w:t>Tracer studies or dye dilution experiments</w:t>
      </w:r>
    </w:p>
    <w:p w14:paraId="12B88EA2" w14:textId="77777777" w:rsidR="00AB7F09" w:rsidRDefault="00000000">
      <w:pPr>
        <w:pStyle w:val="ListBullet"/>
      </w:pPr>
      <w:r>
        <w:t>Conservative chemical ratios (e.g., salinity gradients)</w:t>
      </w:r>
    </w:p>
    <w:p w14:paraId="4D448CBB" w14:textId="77777777" w:rsidR="00AB7F09" w:rsidRDefault="00AB7F09"/>
    <w:p w14:paraId="59D7BE65" w14:textId="77777777" w:rsidR="00AB7F09" w:rsidRDefault="00000000">
      <w:r>
        <w:rPr>
          <w:b/>
        </w:rPr>
        <w:t>Example Dilution Factors:</w:t>
      </w:r>
    </w:p>
    <w:p w14:paraId="44B00813" w14:textId="77777777" w:rsidR="00AB7F09" w:rsidRDefault="00000000">
      <w:pPr>
        <w:pStyle w:val="ListBullet"/>
      </w:pPr>
      <w:r>
        <w:t>Near-field (&lt; 100m from outfall): 10-100</w:t>
      </w:r>
    </w:p>
    <w:p w14:paraId="3032A382" w14:textId="77777777" w:rsidR="00AB7F09" w:rsidRDefault="00000000">
      <w:pPr>
        <w:pStyle w:val="ListBullet"/>
      </w:pPr>
      <w:r>
        <w:t>Mid-field (100-500m): 100-1,000</w:t>
      </w:r>
    </w:p>
    <w:p w14:paraId="21B78D91" w14:textId="77777777" w:rsidR="00AB7F09" w:rsidRDefault="00000000">
      <w:pPr>
        <w:pStyle w:val="ListBullet"/>
      </w:pPr>
      <w:r>
        <w:t>Far-field (&gt; 500m): 1,000-100,000</w:t>
      </w:r>
    </w:p>
    <w:p w14:paraId="19BEB744" w14:textId="77777777" w:rsidR="00AB7F09" w:rsidRDefault="00000000">
      <w:pPr>
        <w:pStyle w:val="Heading2"/>
      </w:pPr>
      <w:r>
        <w:rPr>
          <w:color w:val="2C3E50"/>
        </w:rPr>
        <w:t>4.3 Temporal Monitoring Data</w:t>
      </w:r>
    </w:p>
    <w:p w14:paraId="44895909" w14:textId="77777777" w:rsidR="00AB7F09" w:rsidRDefault="00000000">
      <w:r>
        <w:t>For temporal assessments, provide time-series pathogen concentration measurements in CSV format:</w:t>
      </w:r>
    </w:p>
    <w:p w14:paraId="642983FC" w14:textId="77777777" w:rsidR="00AB7F09" w:rsidRDefault="00AB7F09"/>
    <w:p w14:paraId="27B952F5" w14:textId="77777777" w:rsidR="00AB7F09" w:rsidRDefault="00000000">
      <w:pPr>
        <w:spacing w:before="120" w:after="120"/>
        <w:ind w:left="720"/>
      </w:pPr>
      <w:r>
        <w:rPr>
          <w:rFonts w:ascii="Consolas" w:hAnsi="Consolas"/>
          <w:color w:val="000000"/>
          <w:sz w:val="20"/>
        </w:rPr>
        <w:t>Date,Concentration</w:t>
      </w:r>
      <w:r>
        <w:rPr>
          <w:rFonts w:ascii="Consolas" w:hAnsi="Consolas"/>
          <w:color w:val="000000"/>
          <w:sz w:val="20"/>
        </w:rPr>
        <w:br/>
        <w:t>2024-01-15,5000</w:t>
      </w:r>
      <w:r>
        <w:rPr>
          <w:rFonts w:ascii="Consolas" w:hAnsi="Consolas"/>
          <w:color w:val="000000"/>
          <w:sz w:val="20"/>
        </w:rPr>
        <w:br/>
      </w:r>
      <w:r>
        <w:rPr>
          <w:rFonts w:ascii="Consolas" w:hAnsi="Consolas"/>
          <w:color w:val="000000"/>
          <w:sz w:val="20"/>
        </w:rPr>
        <w:lastRenderedPageBreak/>
        <w:t>2024-02-12,8000</w:t>
      </w:r>
      <w:r>
        <w:rPr>
          <w:rFonts w:ascii="Consolas" w:hAnsi="Consolas"/>
          <w:color w:val="000000"/>
          <w:sz w:val="20"/>
        </w:rPr>
        <w:br/>
        <w:t>2024-03-10,3000</w:t>
      </w:r>
    </w:p>
    <w:p w14:paraId="0BB056E0" w14:textId="77777777" w:rsidR="00AB7F09" w:rsidRDefault="00AB7F09"/>
    <w:p w14:paraId="07018900" w14:textId="77777777" w:rsidR="00AB7F09" w:rsidRDefault="00000000">
      <w:r>
        <w:t>The application handles irregular sampling intervals and can interpolate missing data points. Minimum recommended: monthly sampling for one year to capture seasonal patterns.</w:t>
      </w:r>
    </w:p>
    <w:p w14:paraId="60F16C43" w14:textId="77777777" w:rsidR="00AB7F09" w:rsidRDefault="00000000">
      <w:pPr>
        <w:pStyle w:val="Heading2"/>
      </w:pPr>
      <w:r>
        <w:rPr>
          <w:color w:val="2C3E50"/>
        </w:rPr>
        <w:t>4.4 Data Formats and Templates</w:t>
      </w:r>
    </w:p>
    <w:p w14:paraId="28D32713" w14:textId="77777777" w:rsidR="00AB7F09" w:rsidRDefault="00000000">
      <w:r>
        <w:t>All CSV files should use comma delimiters with headers in the first row. The application provides example data files that can be used as templates:</w:t>
      </w:r>
    </w:p>
    <w:p w14:paraId="478ECA7C" w14:textId="77777777" w:rsidR="00AB7F09" w:rsidRDefault="00000000">
      <w:pPr>
        <w:pStyle w:val="ListBullet"/>
      </w:pPr>
      <w:r>
        <w:t>pathogen_data.csv - Example pathogen concentration data</w:t>
      </w:r>
    </w:p>
    <w:p w14:paraId="4BFAD4EE" w14:textId="77777777" w:rsidR="00AB7F09" w:rsidRDefault="00000000">
      <w:pPr>
        <w:pStyle w:val="ListBullet"/>
      </w:pPr>
      <w:r>
        <w:t>scenarios.csv - Example scenario configurations</w:t>
      </w:r>
    </w:p>
    <w:p w14:paraId="70C79F27" w14:textId="77777777" w:rsidR="00AB7F09" w:rsidRDefault="00000000">
      <w:pPr>
        <w:pStyle w:val="ListBullet"/>
      </w:pPr>
      <w:r>
        <w:t>dilution_example.csv - Example spatial dilution data</w:t>
      </w:r>
    </w:p>
    <w:p w14:paraId="35317C33" w14:textId="77777777" w:rsidR="00AB7F09" w:rsidRDefault="00000000">
      <w:pPr>
        <w:pStyle w:val="ListBullet"/>
      </w:pPr>
      <w:r>
        <w:t>temporal_example.csv - Example temporal monitoring data</w:t>
      </w:r>
    </w:p>
    <w:p w14:paraId="4676930F" w14:textId="77777777" w:rsidR="00AB7F09" w:rsidRDefault="00AB7F09"/>
    <w:p w14:paraId="4DF47AD1" w14:textId="77777777" w:rsidR="00AB7F09" w:rsidRDefault="00000000">
      <w:r>
        <w:t>These templates can be found in the Batch_Processing_App/example_data/ directory.</w:t>
      </w:r>
    </w:p>
    <w:p w14:paraId="371891FF" w14:textId="77777777" w:rsidR="00AB7F09" w:rsidRDefault="00000000">
      <w:r>
        <w:br w:type="page"/>
      </w:r>
    </w:p>
    <w:p w14:paraId="44A5B6F5" w14:textId="77777777" w:rsidR="00AB7F09" w:rsidRDefault="00000000">
      <w:pPr>
        <w:pStyle w:val="Heading1"/>
      </w:pPr>
      <w:r>
        <w:rPr>
          <w:color w:val="1F77B4"/>
        </w:rPr>
        <w:lastRenderedPageBreak/>
        <w:t>5. Understanding Results</w:t>
      </w:r>
    </w:p>
    <w:p w14:paraId="2468AE3F" w14:textId="77777777" w:rsidR="00AB7F09" w:rsidRDefault="00000000">
      <w:pPr>
        <w:pStyle w:val="Heading2"/>
      </w:pPr>
      <w:r>
        <w:rPr>
          <w:color w:val="2C3E50"/>
        </w:rPr>
        <w:t>5.1 Risk Metrics Explained</w:t>
      </w:r>
    </w:p>
    <w:p w14:paraId="5EF1672C" w14:textId="77777777" w:rsidR="00AB7F09" w:rsidRDefault="00000000">
      <w:r>
        <w:t>The application reports several key risk metrics for each assessment:</w:t>
      </w:r>
    </w:p>
    <w:p w14:paraId="6E0FFD57" w14:textId="77777777" w:rsidR="00AB7F09" w:rsidRDefault="00AB7F09"/>
    <w:p w14:paraId="7676E432" w14:textId="77777777" w:rsidR="00AB7F09" w:rsidRDefault="00000000">
      <w:pPr>
        <w:pStyle w:val="ListBullet"/>
      </w:pPr>
      <w:r>
        <w:rPr>
          <w:b/>
        </w:rPr>
        <w:t xml:space="preserve">Mean Dose (organisms per exposure): </w:t>
      </w:r>
      <w:r>
        <w:t>Average number of viable pathogen organisms ingested or inhaled during a single exposure event. Calculated as: (Concentration × Volume) / (Dilution × 10^LRV)</w:t>
      </w:r>
    </w:p>
    <w:p w14:paraId="4A1D3A17" w14:textId="77777777" w:rsidR="00AB7F09" w:rsidRDefault="00000000">
      <w:pPr>
        <w:pStyle w:val="ListBullet"/>
      </w:pPr>
      <w:r>
        <w:rPr>
          <w:b/>
        </w:rPr>
        <w:t xml:space="preserve">Infection Probability (per exposure): </w:t>
      </w:r>
      <w:r>
        <w:t>Probability of infection from a single exposure event, calculated using the dose-response model. Range: 0 to 1 (0% to 100%). For norovirus with Beta-Binomial model: P_inf = f(dose, α=0.04, β=0.055)</w:t>
      </w:r>
    </w:p>
    <w:p w14:paraId="5E4A5BCC" w14:textId="77777777" w:rsidR="00AB7F09" w:rsidRDefault="00000000">
      <w:pPr>
        <w:pStyle w:val="ListBullet"/>
      </w:pPr>
      <w:r>
        <w:rPr>
          <w:b/>
        </w:rPr>
        <w:t xml:space="preserve">Annual Infection Risk: </w:t>
      </w:r>
      <w:r>
        <w:t>Probability of at least one infection over a year of repeated exposures. Formula: 1 - (1 - P_inf)^n, where n = exposure frequency per year</w:t>
      </w:r>
    </w:p>
    <w:p w14:paraId="65B079F9" w14:textId="77777777" w:rsidR="00AB7F09" w:rsidRDefault="00000000">
      <w:pPr>
        <w:pStyle w:val="ListBullet"/>
      </w:pPr>
      <w:r>
        <w:rPr>
          <w:b/>
        </w:rPr>
        <w:t xml:space="preserve">Illness Probability: </w:t>
      </w:r>
      <w:r>
        <w:t>Probability of symptomatic illness given infection. Formula: P_illness = P_infection × P(ill|infected). For norovirus: P(ill|infected) = 0.60 (60% of infected become symptomatic)</w:t>
      </w:r>
    </w:p>
    <w:p w14:paraId="3E442FA1" w14:textId="77777777" w:rsidR="00AB7F09" w:rsidRDefault="00000000">
      <w:pPr>
        <w:pStyle w:val="ListBullet"/>
      </w:pPr>
      <w:r>
        <w:rPr>
          <w:b/>
        </w:rPr>
        <w:t xml:space="preserve">Annual Illness Risk: </w:t>
      </w:r>
      <w:r>
        <w:t>Probability of at least one illness episode per year. Calculated similarly to annual infection risk but using illness probability</w:t>
      </w:r>
    </w:p>
    <w:p w14:paraId="58E41C16" w14:textId="77777777" w:rsidR="00AB7F09" w:rsidRDefault="00AB7F09"/>
    <w:p w14:paraId="421667B6" w14:textId="77777777" w:rsidR="00AB7F09" w:rsidRDefault="00000000">
      <w:r>
        <w:rPr>
          <w:b/>
        </w:rPr>
        <w:t>Uncertainty Quantification:</w:t>
      </w:r>
    </w:p>
    <w:p w14:paraId="70958449" w14:textId="77777777" w:rsidR="00AB7F09" w:rsidRDefault="00AB7F09"/>
    <w:p w14:paraId="3300D630" w14:textId="77777777" w:rsidR="00AB7F09" w:rsidRDefault="00000000">
      <w:r>
        <w:t>All risk metrics include 95% confidence intervals representing uncertainty in:</w:t>
      </w:r>
    </w:p>
    <w:p w14:paraId="4225B80B" w14:textId="77777777" w:rsidR="00AB7F09" w:rsidRDefault="00000000">
      <w:pPr>
        <w:pStyle w:val="ListBullet"/>
      </w:pPr>
      <w:r>
        <w:t>Pathogen concentration variability</w:t>
      </w:r>
    </w:p>
    <w:p w14:paraId="3C125836" w14:textId="77777777" w:rsidR="00AB7F09" w:rsidRDefault="00000000">
      <w:pPr>
        <w:pStyle w:val="ListBullet"/>
      </w:pPr>
      <w:r>
        <w:t>Dilution factor uncertainty</w:t>
      </w:r>
    </w:p>
    <w:p w14:paraId="26CEDDC5" w14:textId="77777777" w:rsidR="00AB7F09" w:rsidRDefault="00000000">
      <w:pPr>
        <w:pStyle w:val="ListBullet"/>
      </w:pPr>
      <w:r>
        <w:t>Exposure volume and frequency distributions</w:t>
      </w:r>
    </w:p>
    <w:p w14:paraId="691E9359" w14:textId="77777777" w:rsidR="00AB7F09" w:rsidRDefault="00000000">
      <w:pPr>
        <w:pStyle w:val="ListBullet"/>
      </w:pPr>
      <w:r>
        <w:t>Dose-response model parameter uncertainty</w:t>
      </w:r>
    </w:p>
    <w:p w14:paraId="5507B3CB" w14:textId="77777777" w:rsidR="00AB7F09" w:rsidRDefault="00000000">
      <w:pPr>
        <w:pStyle w:val="Heading2"/>
      </w:pPr>
      <w:r>
        <w:rPr>
          <w:color w:val="2C3E50"/>
        </w:rPr>
        <w:t>5.2 Statistical Outputs</w:t>
      </w:r>
    </w:p>
    <w:p w14:paraId="23895341" w14:textId="77777777" w:rsidR="00AB7F09" w:rsidRDefault="00000000">
      <w:r>
        <w:t>For each risk metric, the application provides:</w:t>
      </w:r>
    </w:p>
    <w:p w14:paraId="664BBCA7" w14:textId="77777777" w:rsidR="00AB7F09" w:rsidRDefault="00000000">
      <w:pPr>
        <w:pStyle w:val="ListBullet"/>
      </w:pPr>
      <w:r>
        <w:rPr>
          <w:b/>
        </w:rPr>
        <w:t xml:space="preserve">Mean: </w:t>
      </w:r>
      <w:r>
        <w:t>Average value across 10,000 Monte Carlo iterations</w:t>
      </w:r>
    </w:p>
    <w:p w14:paraId="02913CEC" w14:textId="77777777" w:rsidR="00AB7F09" w:rsidRDefault="00000000">
      <w:pPr>
        <w:pStyle w:val="ListBullet"/>
      </w:pPr>
      <w:r>
        <w:rPr>
          <w:b/>
        </w:rPr>
        <w:t xml:space="preserve">Median (50th percentile): </w:t>
      </w:r>
      <w:r>
        <w:t>Middle value when sorted; less sensitive to outliers than mean</w:t>
      </w:r>
    </w:p>
    <w:p w14:paraId="18DACC94" w14:textId="77777777" w:rsidR="00AB7F09" w:rsidRDefault="00000000">
      <w:pPr>
        <w:pStyle w:val="ListBullet"/>
      </w:pPr>
      <w:r>
        <w:rPr>
          <w:b/>
        </w:rPr>
        <w:t xml:space="preserve">5th percentile: </w:t>
      </w:r>
      <w:r>
        <w:t>Lower bound representing best-case scenario</w:t>
      </w:r>
    </w:p>
    <w:p w14:paraId="1CE70F01" w14:textId="77777777" w:rsidR="00AB7F09" w:rsidRDefault="00000000">
      <w:pPr>
        <w:pStyle w:val="ListBullet"/>
      </w:pPr>
      <w:r>
        <w:rPr>
          <w:b/>
        </w:rPr>
        <w:t xml:space="preserve">95th percentile: </w:t>
      </w:r>
      <w:r>
        <w:t>Upper bound representing worst-case scenario (conservative estimate)</w:t>
      </w:r>
    </w:p>
    <w:p w14:paraId="67375D8C" w14:textId="77777777" w:rsidR="00AB7F09" w:rsidRDefault="00000000">
      <w:pPr>
        <w:pStyle w:val="ListBullet"/>
      </w:pPr>
      <w:r>
        <w:rPr>
          <w:b/>
        </w:rPr>
        <w:t xml:space="preserve">Standard deviation: </w:t>
      </w:r>
      <w:r>
        <w:t>Measure of variability/uncertainty</w:t>
      </w:r>
    </w:p>
    <w:p w14:paraId="520CA8F0" w14:textId="77777777" w:rsidR="00AB7F09" w:rsidRDefault="00000000">
      <w:pPr>
        <w:pStyle w:val="Heading2"/>
      </w:pPr>
      <w:r>
        <w:rPr>
          <w:color w:val="2C3E50"/>
        </w:rPr>
        <w:lastRenderedPageBreak/>
        <w:t>5.3 Visualizations</w:t>
      </w:r>
    </w:p>
    <w:p w14:paraId="4AB9DA4D" w14:textId="77777777" w:rsidR="00AB7F09" w:rsidRDefault="00000000">
      <w:r>
        <w:t>The application generates several types of visualizations:</w:t>
      </w:r>
    </w:p>
    <w:p w14:paraId="56F89104" w14:textId="77777777" w:rsidR="00AB7F09" w:rsidRDefault="00AB7F09"/>
    <w:p w14:paraId="18E02684" w14:textId="77777777" w:rsidR="00AB7F09" w:rsidRDefault="00000000">
      <w:pPr>
        <w:pStyle w:val="ListBullet"/>
      </w:pPr>
      <w:r>
        <w:rPr>
          <w:b/>
        </w:rPr>
        <w:t xml:space="preserve">Risk Overview Bar Charts: </w:t>
      </w:r>
      <w:r>
        <w:t>Compare mean annual infection risks across scenarios, sites, or time periods. Bars are color-coded: green (compliant), red (exceeds guideline)</w:t>
      </w:r>
    </w:p>
    <w:p w14:paraId="6A32442E" w14:textId="77777777" w:rsidR="00AB7F09" w:rsidRDefault="00000000">
      <w:pPr>
        <w:pStyle w:val="ListBullet"/>
      </w:pPr>
      <w:r>
        <w:rPr>
          <w:b/>
        </w:rPr>
        <w:t xml:space="preserve">Uncertainty Distribution Histograms: </w:t>
      </w:r>
      <w:r>
        <w:t>Show the full probability distribution of simulated outcomes (10,000 values). Useful for understanding risk variability and identifying tail risks</w:t>
      </w:r>
    </w:p>
    <w:p w14:paraId="256E9BB0" w14:textId="77777777" w:rsidR="00AB7F09" w:rsidRDefault="00000000">
      <w:pPr>
        <w:pStyle w:val="ListBullet"/>
      </w:pPr>
      <w:r>
        <w:rPr>
          <w:b/>
        </w:rPr>
        <w:t xml:space="preserve">Time Series Line Plots: </w:t>
      </w:r>
      <w:r>
        <w:t>Display temporal trends in risk with WHO guideline reference line (10⁻⁴). Includes confidence bands showing uncertainty over time</w:t>
      </w:r>
    </w:p>
    <w:p w14:paraId="1F5775E6" w14:textId="77777777" w:rsidR="00AB7F09" w:rsidRDefault="00000000">
      <w:pPr>
        <w:pStyle w:val="ListBullet"/>
      </w:pPr>
      <w:r>
        <w:rPr>
          <w:b/>
        </w:rPr>
        <w:t xml:space="preserve">Spatial Gradient Plots: </w:t>
      </w:r>
      <w:r>
        <w:t>Visualize how risk changes with distance from source (dilution factor). Helps identify safe zones and high-risk areas</w:t>
      </w:r>
    </w:p>
    <w:p w14:paraId="7952AC8D" w14:textId="77777777" w:rsidR="00AB7F09" w:rsidRDefault="00000000">
      <w:pPr>
        <w:pStyle w:val="Heading2"/>
      </w:pPr>
      <w:r>
        <w:rPr>
          <w:color w:val="2C3E50"/>
        </w:rPr>
        <w:t>5.4 WHO Guideline Compliance</w:t>
      </w:r>
    </w:p>
    <w:p w14:paraId="73B29FAC" w14:textId="77777777" w:rsidR="00AB7F09" w:rsidRDefault="00000000">
      <w:r>
        <w:t>The World Health Organization (WHO) recommends a health-based target of 10⁻⁴ (0.0001 or 1 in 10,000) annual infection risk for:</w:t>
      </w:r>
    </w:p>
    <w:p w14:paraId="26A46C77" w14:textId="77777777" w:rsidR="00AB7F09" w:rsidRDefault="00000000">
      <w:pPr>
        <w:pStyle w:val="ListBullet"/>
      </w:pPr>
      <w:r>
        <w:t>Drinking water (waterborne pathogen risk)</w:t>
      </w:r>
    </w:p>
    <w:p w14:paraId="0CE1E920" w14:textId="77777777" w:rsidR="00AB7F09" w:rsidRDefault="00000000">
      <w:pPr>
        <w:pStyle w:val="ListBullet"/>
      </w:pPr>
      <w:r>
        <w:t>Recreational water quality (swimming, surfing)</w:t>
      </w:r>
    </w:p>
    <w:p w14:paraId="51B92693" w14:textId="77777777" w:rsidR="00AB7F09" w:rsidRDefault="00000000">
      <w:pPr>
        <w:pStyle w:val="ListBullet"/>
      </w:pPr>
      <w:r>
        <w:t>Wastewater reuse applications</w:t>
      </w:r>
    </w:p>
    <w:p w14:paraId="4709A6D9" w14:textId="77777777" w:rsidR="00AB7F09" w:rsidRDefault="00AB7F09"/>
    <w:p w14:paraId="5852BDAE" w14:textId="77777777" w:rsidR="00AB7F09" w:rsidRDefault="00000000">
      <w:r>
        <w:rPr>
          <w:b/>
        </w:rPr>
        <w:t>Compliance Evaluation:</w:t>
      </w:r>
    </w:p>
    <w:p w14:paraId="794396CC" w14:textId="77777777" w:rsidR="00AB7F09" w:rsidRDefault="00AB7F09"/>
    <w:p w14:paraId="30FD011A" w14:textId="77777777" w:rsidR="00AB7F09" w:rsidRDefault="00000000">
      <w:r>
        <w:rPr>
          <w:b/>
          <w:color w:val="008000"/>
        </w:rPr>
        <w:t xml:space="preserve">PASS (Compliant): </w:t>
      </w:r>
      <w:r>
        <w:t>Annual infection risk &lt; 10⁻⁴</w:t>
      </w:r>
    </w:p>
    <w:p w14:paraId="752018FC" w14:textId="77777777" w:rsidR="00AB7F09" w:rsidRDefault="00000000">
      <w:r>
        <w:rPr>
          <w:b/>
          <w:color w:val="FF0000"/>
        </w:rPr>
        <w:t xml:space="preserve">FAIL (Exceeds Guideline): </w:t>
      </w:r>
      <w:r>
        <w:t>Annual infection risk ≥ 10⁻⁴</w:t>
      </w:r>
    </w:p>
    <w:p w14:paraId="6B6B73E1" w14:textId="77777777" w:rsidR="00AB7F09" w:rsidRDefault="00AB7F09"/>
    <w:p w14:paraId="14497427" w14:textId="77777777" w:rsidR="00AB7F09" w:rsidRDefault="00000000">
      <w:r>
        <w:rPr>
          <w:b/>
        </w:rPr>
        <w:t>Important Notes:</w:t>
      </w:r>
    </w:p>
    <w:p w14:paraId="60F9C7EB" w14:textId="77777777" w:rsidR="00AB7F09" w:rsidRDefault="00000000">
      <w:pPr>
        <w:pStyle w:val="ListBullet"/>
      </w:pPr>
      <w:r>
        <w:t>The 10⁻⁴ target is a guideline, not a regulatory standard in all jurisdictions</w:t>
      </w:r>
    </w:p>
    <w:p w14:paraId="697774B6" w14:textId="77777777" w:rsidR="00AB7F09" w:rsidRDefault="00000000">
      <w:pPr>
        <w:pStyle w:val="ListBullet"/>
      </w:pPr>
      <w:r>
        <w:t>Some countries/regions use different targets (e.g., 10⁻⁵ for stringent protection)</w:t>
      </w:r>
    </w:p>
    <w:p w14:paraId="26C54B00" w14:textId="77777777" w:rsidR="00AB7F09" w:rsidRDefault="00000000">
      <w:pPr>
        <w:pStyle w:val="ListBullet"/>
      </w:pPr>
      <w:r>
        <w:t>Compliance should be evaluated using mean or median risk, not worst-case (95th percentile)</w:t>
      </w:r>
    </w:p>
    <w:p w14:paraId="79DB1384" w14:textId="77777777" w:rsidR="00AB7F09" w:rsidRDefault="00000000">
      <w:pPr>
        <w:pStyle w:val="ListBullet"/>
      </w:pPr>
      <w:r>
        <w:t>Consult local health authorities for applicable standards</w:t>
      </w:r>
    </w:p>
    <w:p w14:paraId="6488AAF5" w14:textId="77777777" w:rsidR="00AB7F09" w:rsidRDefault="00000000">
      <w:r>
        <w:br w:type="page"/>
      </w:r>
    </w:p>
    <w:p w14:paraId="6A136A85" w14:textId="77777777" w:rsidR="00AB7F09" w:rsidRDefault="00000000">
      <w:pPr>
        <w:pStyle w:val="Heading1"/>
      </w:pPr>
      <w:r>
        <w:rPr>
          <w:color w:val="1F77B4"/>
        </w:rPr>
        <w:lastRenderedPageBreak/>
        <w:t>6. Technical Background</w:t>
      </w:r>
    </w:p>
    <w:p w14:paraId="05EA5147" w14:textId="77777777" w:rsidR="00AB7F09" w:rsidRDefault="00000000">
      <w:pPr>
        <w:pStyle w:val="Heading2"/>
      </w:pPr>
      <w:r>
        <w:rPr>
          <w:color w:val="2C3E50"/>
        </w:rPr>
        <w:t>6.1 QMRA Methodology</w:t>
      </w:r>
    </w:p>
    <w:p w14:paraId="093CC5EC" w14:textId="77777777" w:rsidR="00AB7F09" w:rsidRDefault="00000000">
      <w:r>
        <w:t>Quantitative Microbial Risk Assessment follows a structured four-step framework established by the National Research Council (1983) and refined by WHO (2016):</w:t>
      </w:r>
    </w:p>
    <w:p w14:paraId="7B8199E4" w14:textId="77777777" w:rsidR="00AB7F09" w:rsidRDefault="00AB7F09"/>
    <w:p w14:paraId="35F9B1A5" w14:textId="77777777" w:rsidR="00AB7F09" w:rsidRDefault="00000000">
      <w:r>
        <w:rPr>
          <w:b/>
        </w:rPr>
        <w:t>Step 1: Hazard Identification</w:t>
      </w:r>
    </w:p>
    <w:p w14:paraId="4720DD7C" w14:textId="77777777" w:rsidR="00AB7F09" w:rsidRDefault="00AB7F09"/>
    <w:p w14:paraId="52DDB005" w14:textId="77777777" w:rsidR="00AB7F09" w:rsidRDefault="00000000">
      <w:r>
        <w:t>Identify pathogens of concern based on occurrence data, environmental persistence, and infectivity. For wastewater-associated risks, key pathogens include norovirus (most infectious), Cryptosporidium, Campylobacter, and enteric viruses.</w:t>
      </w:r>
    </w:p>
    <w:p w14:paraId="1DB67EB8" w14:textId="77777777" w:rsidR="00AB7F09" w:rsidRDefault="00AB7F09"/>
    <w:p w14:paraId="7D281695" w14:textId="77777777" w:rsidR="00AB7F09" w:rsidRDefault="00000000">
      <w:r>
        <w:rPr>
          <w:b/>
        </w:rPr>
        <w:t>Step 2: Exposure Assessment</w:t>
      </w:r>
    </w:p>
    <w:p w14:paraId="05F745BF" w14:textId="77777777" w:rsidR="00AB7F09" w:rsidRDefault="00AB7F09"/>
    <w:p w14:paraId="7A3B6E59" w14:textId="77777777" w:rsidR="00AB7F09" w:rsidRDefault="00000000">
      <w:r>
        <w:t>Quantify the dose (number of organisms) ingested or inhaled per exposure event. This involves modeling:</w:t>
      </w:r>
    </w:p>
    <w:p w14:paraId="550554DA" w14:textId="77777777" w:rsidR="00AB7F09" w:rsidRDefault="00000000">
      <w:pPr>
        <w:pStyle w:val="ListBullet"/>
      </w:pPr>
      <w:r>
        <w:t>Pathogen concentration in source water (C, organisms/L)</w:t>
      </w:r>
    </w:p>
    <w:p w14:paraId="4895073C" w14:textId="77777777" w:rsidR="00AB7F09" w:rsidRDefault="00000000">
      <w:pPr>
        <w:pStyle w:val="ListBullet"/>
      </w:pPr>
      <w:r>
        <w:t>Treatment reduction (LRV, log₁₀ reduction)</w:t>
      </w:r>
    </w:p>
    <w:p w14:paraId="1843730C" w14:textId="77777777" w:rsidR="00AB7F09" w:rsidRDefault="00000000">
      <w:pPr>
        <w:pStyle w:val="ListBullet"/>
      </w:pPr>
      <w:r>
        <w:t>Environmental dilution (D, dimensionless)</w:t>
      </w:r>
    </w:p>
    <w:p w14:paraId="6EA15C90" w14:textId="77777777" w:rsidR="00AB7F09" w:rsidRDefault="00000000">
      <w:pPr>
        <w:pStyle w:val="ListBullet"/>
      </w:pPr>
      <w:r>
        <w:t>Exposure volume (V, L per event)</w:t>
      </w:r>
    </w:p>
    <w:p w14:paraId="3F68EBE9" w14:textId="77777777" w:rsidR="00AB7F09" w:rsidRDefault="00AB7F09"/>
    <w:p w14:paraId="372F1D31" w14:textId="77777777" w:rsidR="00AB7F09" w:rsidRDefault="00000000">
      <w:r>
        <w:t>Dose formula: Dose = (C × V) / (D × 10^LRV)</w:t>
      </w:r>
    </w:p>
    <w:p w14:paraId="257FA896" w14:textId="77777777" w:rsidR="00AB7F09" w:rsidRDefault="00AB7F09"/>
    <w:p w14:paraId="2D73366B" w14:textId="77777777" w:rsidR="00AB7F09" w:rsidRDefault="00000000">
      <w:r>
        <w:rPr>
          <w:b/>
        </w:rPr>
        <w:t>Step 3: Dose-Response Assessment</w:t>
      </w:r>
    </w:p>
    <w:p w14:paraId="37FB7BFE" w14:textId="77777777" w:rsidR="00AB7F09" w:rsidRDefault="00AB7F09"/>
    <w:p w14:paraId="45D07FF0" w14:textId="77777777" w:rsidR="00AB7F09" w:rsidRDefault="00000000">
      <w:r>
        <w:t>Apply mathematical models relating dose to infection probability. Models are derived from human feeding studies, outbreak data, or animal experiments with host-adjustment factors.</w:t>
      </w:r>
    </w:p>
    <w:p w14:paraId="6AC8EAA8" w14:textId="77777777" w:rsidR="00AB7F09" w:rsidRDefault="00AB7F09"/>
    <w:p w14:paraId="38DF3262" w14:textId="77777777" w:rsidR="00AB7F09" w:rsidRDefault="00000000">
      <w:r>
        <w:rPr>
          <w:b/>
        </w:rPr>
        <w:t>Step 4: Risk Characterization</w:t>
      </w:r>
    </w:p>
    <w:p w14:paraId="659C9D1C" w14:textId="77777777" w:rsidR="00AB7F09" w:rsidRDefault="00AB7F09"/>
    <w:p w14:paraId="44442E43" w14:textId="77777777" w:rsidR="00AB7F09" w:rsidRDefault="00000000">
      <w:r>
        <w:lastRenderedPageBreak/>
        <w:t>Calculate per-exposure and annual risks, accounting for repeated exposures and uncertainty. Compare results against health-based targets and guidelines.</w:t>
      </w:r>
    </w:p>
    <w:p w14:paraId="06AF9A2F" w14:textId="77777777" w:rsidR="00AB7F09" w:rsidRDefault="00000000">
      <w:pPr>
        <w:pStyle w:val="Heading2"/>
      </w:pPr>
      <w:r>
        <w:rPr>
          <w:color w:val="2C3E50"/>
        </w:rPr>
        <w:t>6.2 Dose-Response Models</w:t>
      </w:r>
    </w:p>
    <w:p w14:paraId="19BAA863" w14:textId="77777777" w:rsidR="00AB7F09" w:rsidRDefault="00000000">
      <w:r>
        <w:t>Dose-response models are mathematical functions describing the relationship between pathogen dose and probability of infection. The choice of model depends on:</w:t>
      </w:r>
    </w:p>
    <w:p w14:paraId="28DA90FE" w14:textId="77777777" w:rsidR="00AB7F09" w:rsidRDefault="00000000">
      <w:pPr>
        <w:pStyle w:val="ListBullet"/>
      </w:pPr>
      <w:r>
        <w:t>Pathogen characteristics (virus vs bacteria vs protozoa)</w:t>
      </w:r>
    </w:p>
    <w:p w14:paraId="63F92E7F" w14:textId="77777777" w:rsidR="00AB7F09" w:rsidRDefault="00000000">
      <w:pPr>
        <w:pStyle w:val="ListBullet"/>
      </w:pPr>
      <w:r>
        <w:t>Infectivity (highly infectious organisms require exact models)</w:t>
      </w:r>
    </w:p>
    <w:p w14:paraId="6979B040" w14:textId="77777777" w:rsidR="00AB7F09" w:rsidRDefault="00000000">
      <w:pPr>
        <w:pStyle w:val="ListBullet"/>
      </w:pPr>
      <w:r>
        <w:t>Available dose-response data (human studies, outbreak investigations)</w:t>
      </w:r>
    </w:p>
    <w:p w14:paraId="7C6B7996" w14:textId="77777777" w:rsidR="00AB7F09" w:rsidRDefault="00000000">
      <w:pPr>
        <w:pStyle w:val="ListBullet"/>
      </w:pPr>
      <w:r>
        <w:t>Mathematical validity conditions (approximations have constraints)</w:t>
      </w:r>
    </w:p>
    <w:p w14:paraId="422476BD" w14:textId="77777777" w:rsidR="00AB7F09" w:rsidRDefault="00AB7F09"/>
    <w:p w14:paraId="0BEC0542" w14:textId="77777777" w:rsidR="00AB7F09" w:rsidRDefault="00000000">
      <w:r>
        <w:rPr>
          <w:b/>
        </w:rPr>
        <w:t>Common Dose-Response Models:</w:t>
      </w:r>
    </w:p>
    <w:p w14:paraId="78926B39" w14:textId="77777777" w:rsidR="00AB7F09" w:rsidRDefault="00AB7F09"/>
    <w:p w14:paraId="24285708" w14:textId="77777777" w:rsidR="00AB7F09" w:rsidRDefault="00000000">
      <w:pPr>
        <w:pStyle w:val="ListBullet"/>
      </w:pPr>
      <w:r>
        <w:rPr>
          <w:b/>
        </w:rPr>
        <w:t xml:space="preserve">Exponential Model: </w:t>
      </w:r>
      <w:r>
        <w:t>P(inf) = 1 - exp(-r × dose). Simple single-parameter model assuming constant infection probability per organism. Used for highly infectious pathogens.</w:t>
      </w:r>
    </w:p>
    <w:p w14:paraId="3A9F81FB" w14:textId="77777777" w:rsidR="00AB7F09" w:rsidRDefault="00000000">
      <w:pPr>
        <w:pStyle w:val="ListBullet"/>
      </w:pPr>
      <w:r>
        <w:rPr>
          <w:b/>
        </w:rPr>
        <w:t xml:space="preserve">Beta-Poisson Model: </w:t>
      </w:r>
      <w:r>
        <w:t>P(inf) = 1 - (1 + dose/β)^(-α). Two-parameter model accounting for host variability. VALID only when β &gt;&gt; 1 (beta much greater than 1).</w:t>
      </w:r>
    </w:p>
    <w:p w14:paraId="144A5D3E" w14:textId="77777777" w:rsidR="00AB7F09" w:rsidRDefault="00000000">
      <w:pPr>
        <w:pStyle w:val="ListBullet"/>
      </w:pPr>
      <w:r>
        <w:rPr>
          <w:b/>
        </w:rPr>
        <w:t xml:space="preserve">Beta-Binomial Model (Exact): </w:t>
      </w:r>
      <w:r>
        <w:t>P(inf) = 1 - B(α, β+dose) / B(α, β). Exact conditional model for scenarios where individual doses are known. Required for highly infectious viruses when β &lt; 1.</w:t>
      </w:r>
    </w:p>
    <w:p w14:paraId="03E7CBF3" w14:textId="77777777" w:rsidR="00AB7F09" w:rsidRDefault="00000000">
      <w:pPr>
        <w:pStyle w:val="Heading2"/>
      </w:pPr>
      <w:r>
        <w:rPr>
          <w:color w:val="2C3E50"/>
        </w:rPr>
        <w:t>6.3 Beta-Binomial Model (Norovirus)</w:t>
      </w:r>
    </w:p>
    <w:p w14:paraId="6E87D422" w14:textId="77777777" w:rsidR="00AB7F09" w:rsidRDefault="00000000">
      <w:r>
        <w:rPr>
          <w:b/>
          <w:color w:val="FF0000"/>
          <w:sz w:val="24"/>
        </w:rPr>
        <w:t>THE CRITICAL DISTINCTION FOR NOROVIRUS</w:t>
      </w:r>
    </w:p>
    <w:p w14:paraId="6BE218A8" w14:textId="77777777" w:rsidR="00AB7F09" w:rsidRDefault="00AB7F09"/>
    <w:p w14:paraId="5BD8CC0E" w14:textId="77777777" w:rsidR="00AB7F09" w:rsidRDefault="00000000">
      <w:r>
        <w:t>This application uses the EXACT Beta-Binomial dose-response model for norovirus, which is the mathematically correct formulation. This is NOT the same as the Beta-Poisson approximation.</w:t>
      </w:r>
    </w:p>
    <w:p w14:paraId="27192C00" w14:textId="77777777" w:rsidR="00AB7F09" w:rsidRDefault="00AB7F09"/>
    <w:p w14:paraId="0BB9B998" w14:textId="77777777" w:rsidR="00AB7F09" w:rsidRDefault="00000000">
      <w:r>
        <w:rPr>
          <w:b/>
        </w:rPr>
        <w:t>Beta-Binomial Formula (Used by This Application):</w:t>
      </w:r>
    </w:p>
    <w:p w14:paraId="6F11BB88" w14:textId="77777777" w:rsidR="00AB7F09" w:rsidRDefault="00AB7F09"/>
    <w:p w14:paraId="16543CE8" w14:textId="77777777" w:rsidR="00AB7F09" w:rsidRDefault="00000000">
      <w:pPr>
        <w:spacing w:before="120" w:after="120"/>
        <w:ind w:left="720"/>
      </w:pPr>
      <w:r>
        <w:rPr>
          <w:rFonts w:ascii="Consolas" w:hAnsi="Consolas"/>
          <w:color w:val="000000"/>
          <w:sz w:val="20"/>
        </w:rPr>
        <w:t>P(infection) = 1 - exp[</w:t>
      </w:r>
      <w:r>
        <w:rPr>
          <w:rFonts w:ascii="Consolas" w:hAnsi="Consolas"/>
          <w:color w:val="000000"/>
          <w:sz w:val="20"/>
        </w:rPr>
        <w:br/>
        <w:t xml:space="preserve">    ln Γ(β + dose) + </w:t>
      </w:r>
      <w:r>
        <w:rPr>
          <w:rFonts w:ascii="Consolas" w:hAnsi="Consolas"/>
          <w:color w:val="000000"/>
          <w:sz w:val="20"/>
        </w:rPr>
        <w:br/>
        <w:t xml:space="preserve">    ln Γ(α + β) - </w:t>
      </w:r>
      <w:r>
        <w:rPr>
          <w:rFonts w:ascii="Consolas" w:hAnsi="Consolas"/>
          <w:color w:val="000000"/>
          <w:sz w:val="20"/>
        </w:rPr>
        <w:br/>
        <w:t xml:space="preserve">    ln Γ(α + β + dose) - </w:t>
      </w:r>
      <w:r>
        <w:rPr>
          <w:rFonts w:ascii="Consolas" w:hAnsi="Consolas"/>
          <w:color w:val="000000"/>
          <w:sz w:val="20"/>
        </w:rPr>
        <w:br/>
        <w:t xml:space="preserve">    ln Γ(β)</w:t>
      </w:r>
      <w:r>
        <w:rPr>
          <w:rFonts w:ascii="Consolas" w:hAnsi="Consolas"/>
          <w:color w:val="000000"/>
          <w:sz w:val="20"/>
        </w:rPr>
        <w:br/>
        <w:t>]</w:t>
      </w:r>
    </w:p>
    <w:p w14:paraId="38B1445B" w14:textId="77777777" w:rsidR="00AB7F09" w:rsidRDefault="00AB7F09"/>
    <w:p w14:paraId="03983A1E" w14:textId="77777777" w:rsidR="00AB7F09" w:rsidRDefault="00000000">
      <w:r>
        <w:rPr>
          <w:b/>
        </w:rPr>
        <w:t>Parameters (Teunis et al. 2008):</w:t>
      </w:r>
    </w:p>
    <w:p w14:paraId="01FA4953" w14:textId="77777777" w:rsidR="00AB7F09" w:rsidRDefault="00000000">
      <w:pPr>
        <w:pStyle w:val="ListBullet"/>
      </w:pPr>
      <w:r>
        <w:t>α (alpha) = 0.04</w:t>
      </w:r>
    </w:p>
    <w:p w14:paraId="79DBA002" w14:textId="77777777" w:rsidR="00AB7F09" w:rsidRDefault="00000000">
      <w:pPr>
        <w:pStyle w:val="ListBullet"/>
      </w:pPr>
      <w:r>
        <w:t>β (beta) = 0.055</w:t>
      </w:r>
    </w:p>
    <w:p w14:paraId="79966908" w14:textId="77777777" w:rsidR="00AB7F09" w:rsidRDefault="00000000">
      <w:pPr>
        <w:pStyle w:val="ListBullet"/>
      </w:pPr>
      <w:r>
        <w:t>Source: "Norwalk virus: How infectious is it?" J. Med. Virol. 80:1468-1476</w:t>
      </w:r>
    </w:p>
    <w:p w14:paraId="1A4855DD" w14:textId="77777777" w:rsidR="00AB7F09" w:rsidRDefault="00AB7F09"/>
    <w:p w14:paraId="6412BFCC" w14:textId="77777777" w:rsidR="00AB7F09" w:rsidRDefault="00000000">
      <w:r>
        <w:rPr>
          <w:b/>
          <w:color w:val="FF0000"/>
        </w:rPr>
        <w:t>Why Beta-Poisson is INVALID for Norovirus:</w:t>
      </w:r>
    </w:p>
    <w:p w14:paraId="3E54DE02" w14:textId="77777777" w:rsidR="00AB7F09" w:rsidRDefault="00AB7F09"/>
    <w:p w14:paraId="58D5D7F4" w14:textId="77777777" w:rsidR="00AB7F09" w:rsidRDefault="00000000">
      <w:r>
        <w:t>The Beta-Poisson approximation requires β &gt;&gt; 1 (beta much greater than 1) to be mathematically valid. For norovirus, β = 0.055 &lt;&lt; 1, making this approximation inappropriate.</w:t>
      </w:r>
    </w:p>
    <w:p w14:paraId="1ECA94B1" w14:textId="77777777" w:rsidR="00AB7F09" w:rsidRDefault="00AB7F09"/>
    <w:p w14:paraId="5CB7171A" w14:textId="77777777" w:rsidR="00AB7F09" w:rsidRDefault="00000000">
      <w:r>
        <w:rPr>
          <w:b/>
          <w:color w:val="FF0000"/>
        </w:rPr>
        <w:t>Consequences of Using Beta-Poisson (Incorrect):</w:t>
      </w:r>
    </w:p>
    <w:p w14:paraId="76FE2140" w14:textId="77777777" w:rsidR="00AB7F09" w:rsidRDefault="00000000">
      <w:pPr>
        <w:pStyle w:val="ListBullet"/>
      </w:pPr>
      <w:r>
        <w:t>Underestimates risk by 2-4× at low doses (1-100 virions)</w:t>
      </w:r>
    </w:p>
    <w:p w14:paraId="0E4E882B" w14:textId="77777777" w:rsidR="00AB7F09" w:rsidRDefault="00000000">
      <w:pPr>
        <w:pStyle w:val="ListBullet"/>
      </w:pPr>
      <w:r>
        <w:t>Produces scientifically indefensible results</w:t>
      </w:r>
    </w:p>
    <w:p w14:paraId="75CA8D18" w14:textId="77777777" w:rsidR="00AB7F09" w:rsidRDefault="00000000">
      <w:pPr>
        <w:pStyle w:val="ListBullet"/>
      </w:pPr>
      <w:r>
        <w:t>Does not match reference calculations (David Wood, NIWA)</w:t>
      </w:r>
    </w:p>
    <w:p w14:paraId="7693C9C0" w14:textId="77777777" w:rsidR="00AB7F09" w:rsidRDefault="00AB7F09"/>
    <w:p w14:paraId="1EAFCAA8" w14:textId="77777777" w:rsidR="00AB7F09" w:rsidRDefault="00000000">
      <w:r>
        <w:rPr>
          <w:b/>
        </w:rPr>
        <w:t>Example Comparison (1 virion dose):</w:t>
      </w:r>
    </w:p>
    <w:p w14:paraId="58FE44E7" w14:textId="77777777" w:rsidR="00AB7F09" w:rsidRDefault="00AB7F09"/>
    <w:p w14:paraId="2DA642C3" w14:textId="77777777" w:rsidR="00AB7F09" w:rsidRDefault="00000000">
      <w:pPr>
        <w:pStyle w:val="ListBullet"/>
      </w:pPr>
      <w:r>
        <w:rPr>
          <w:b/>
          <w:color w:val="008000"/>
        </w:rPr>
        <w:t xml:space="preserve">Beta-Binomial (CORRECT): </w:t>
      </w:r>
      <w:r>
        <w:t>42.1% infection probability</w:t>
      </w:r>
    </w:p>
    <w:p w14:paraId="5E5BFB72" w14:textId="77777777" w:rsidR="00AB7F09" w:rsidRDefault="00000000">
      <w:pPr>
        <w:pStyle w:val="ListBullet"/>
      </w:pPr>
      <w:r>
        <w:rPr>
          <w:b/>
          <w:color w:val="FF0000"/>
        </w:rPr>
        <w:t xml:space="preserve">Beta-Poisson (WRONG): </w:t>
      </w:r>
      <w:r>
        <w:t>11.1% infection probability (3.8× underestimation)</w:t>
      </w:r>
    </w:p>
    <w:p w14:paraId="09CA1EA2" w14:textId="77777777" w:rsidR="00AB7F09" w:rsidRDefault="00AB7F09"/>
    <w:p w14:paraId="2A05D4A4" w14:textId="77777777" w:rsidR="00AB7F09" w:rsidRDefault="00000000">
      <w:r>
        <w:rPr>
          <w:b/>
        </w:rPr>
        <w:t>Validation:</w:t>
      </w:r>
    </w:p>
    <w:p w14:paraId="3CBB5C5D" w14:textId="77777777" w:rsidR="00AB7F09" w:rsidRDefault="00AB7F09"/>
    <w:p w14:paraId="7AD32BE1" w14:textId="77777777" w:rsidR="00AB7F09" w:rsidRDefault="00000000">
      <w:r>
        <w:t>This application's Beta-Binomial implementation has been validated against reference Excel spreadsheets (David Wood, NIWA) and produces exact agreement for all test doses.</w:t>
      </w:r>
    </w:p>
    <w:p w14:paraId="12475D9D" w14:textId="77777777" w:rsidR="00AB7F09" w:rsidRDefault="00000000">
      <w:pPr>
        <w:pStyle w:val="Heading2"/>
      </w:pPr>
      <w:r>
        <w:rPr>
          <w:color w:val="2C3E50"/>
        </w:rPr>
        <w:t>6.4 Monte Carlo Simulation</w:t>
      </w:r>
    </w:p>
    <w:p w14:paraId="56DF01B6" w14:textId="77777777" w:rsidR="00AB7F09" w:rsidRDefault="00000000">
      <w:r>
        <w:t>The application uses Monte Carlo simulation to quantify uncertainty in risk estimates. This involves:</w:t>
      </w:r>
    </w:p>
    <w:p w14:paraId="44518D5E" w14:textId="77777777" w:rsidR="00AB7F09" w:rsidRDefault="00AB7F09"/>
    <w:p w14:paraId="07A9185B" w14:textId="77777777" w:rsidR="00AB7F09" w:rsidRDefault="00000000">
      <w:pPr>
        <w:pStyle w:val="ListNumber"/>
      </w:pPr>
      <w:r>
        <w:lastRenderedPageBreak/>
        <w:t>Defining probability distributions for uncertain input parameters</w:t>
      </w:r>
    </w:p>
    <w:p w14:paraId="7D18204A" w14:textId="77777777" w:rsidR="00AB7F09" w:rsidRDefault="00000000">
      <w:pPr>
        <w:pStyle w:val="ListNumber"/>
      </w:pPr>
      <w:r>
        <w:t>Randomly sampling from these distributions for each iteration</w:t>
      </w:r>
    </w:p>
    <w:p w14:paraId="219BB0CB" w14:textId="77777777" w:rsidR="00AB7F09" w:rsidRDefault="00000000">
      <w:pPr>
        <w:pStyle w:val="ListNumber"/>
      </w:pPr>
      <w:r>
        <w:t>Calculating risk for each sampled parameter set</w:t>
      </w:r>
    </w:p>
    <w:p w14:paraId="6CDA239A" w14:textId="77777777" w:rsidR="00AB7F09" w:rsidRDefault="00000000">
      <w:pPr>
        <w:pStyle w:val="ListNumber"/>
      </w:pPr>
      <w:r>
        <w:t>Repeating 10,000 times to build output distribution</w:t>
      </w:r>
    </w:p>
    <w:p w14:paraId="0794AC35" w14:textId="77777777" w:rsidR="00AB7F09" w:rsidRDefault="00000000">
      <w:pPr>
        <w:pStyle w:val="ListNumber"/>
      </w:pPr>
      <w:r>
        <w:t>Summarizing results with mean, median, percentiles</w:t>
      </w:r>
    </w:p>
    <w:p w14:paraId="6D9F1809" w14:textId="77777777" w:rsidR="00AB7F09" w:rsidRDefault="00AB7F09"/>
    <w:p w14:paraId="0B6A069C" w14:textId="77777777" w:rsidR="00AB7F09" w:rsidRDefault="00000000">
      <w:r>
        <w:rPr>
          <w:b/>
        </w:rPr>
        <w:t>Sources of Uncertainty Addressed:</w:t>
      </w:r>
    </w:p>
    <w:p w14:paraId="7D8C5387" w14:textId="77777777" w:rsidR="00AB7F09" w:rsidRDefault="00000000">
      <w:pPr>
        <w:pStyle w:val="ListBullet"/>
      </w:pPr>
      <w:r>
        <w:t>Pathogen concentration variability (log-normal distribution)</w:t>
      </w:r>
    </w:p>
    <w:p w14:paraId="0B6D5F7A" w14:textId="77777777" w:rsidR="00AB7F09" w:rsidRDefault="00000000">
      <w:pPr>
        <w:pStyle w:val="ListBullet"/>
      </w:pPr>
      <w:r>
        <w:t>Dilution factor uncertainty (log-normal or uniform distribution)</w:t>
      </w:r>
    </w:p>
    <w:p w14:paraId="7DF4817D" w14:textId="77777777" w:rsidR="00AB7F09" w:rsidRDefault="00000000">
      <w:pPr>
        <w:pStyle w:val="ListBullet"/>
      </w:pPr>
      <w:r>
        <w:t>Exposure volume and frequency (triangular or log-normal)</w:t>
      </w:r>
    </w:p>
    <w:p w14:paraId="2818A521" w14:textId="77777777" w:rsidR="00AB7F09" w:rsidRDefault="00000000">
      <w:pPr>
        <w:pStyle w:val="ListBullet"/>
      </w:pPr>
      <w:r>
        <w:t>Treatment performance variation (normal or log-normal for LRV)</w:t>
      </w:r>
    </w:p>
    <w:p w14:paraId="54839B42" w14:textId="77777777" w:rsidR="00AB7F09" w:rsidRDefault="00AB7F09"/>
    <w:p w14:paraId="57E81CA0" w14:textId="77777777" w:rsidR="00AB7F09" w:rsidRDefault="00000000">
      <w:r>
        <w:t>Monte Carlo simulation provides a complete picture of risk uncertainty, enabling decision-makers to understand both typical risks (mean/median) and worst-case scenarios (95th percentile).</w:t>
      </w:r>
    </w:p>
    <w:p w14:paraId="7E9F044E" w14:textId="77777777" w:rsidR="00AB7F09" w:rsidRDefault="00000000">
      <w:r>
        <w:br w:type="page"/>
      </w:r>
    </w:p>
    <w:p w14:paraId="357530E7" w14:textId="77777777" w:rsidR="00AB7F09" w:rsidRDefault="00000000">
      <w:pPr>
        <w:pStyle w:val="Heading1"/>
      </w:pPr>
      <w:r>
        <w:rPr>
          <w:color w:val="1F77B4"/>
        </w:rPr>
        <w:lastRenderedPageBreak/>
        <w:t>7. Troubleshooting and Support</w:t>
      </w:r>
    </w:p>
    <w:p w14:paraId="6BE1DE77" w14:textId="77777777" w:rsidR="00AB7F09" w:rsidRDefault="00000000">
      <w:r>
        <w:rPr>
          <w:b/>
        </w:rPr>
        <w:t>Common Issues and Solutions:</w:t>
      </w:r>
    </w:p>
    <w:p w14:paraId="53205F2F" w14:textId="77777777" w:rsidR="00AB7F09" w:rsidRDefault="00AB7F09"/>
    <w:p w14:paraId="1BF073E7" w14:textId="77777777" w:rsidR="00AB7F09" w:rsidRDefault="00000000">
      <w:pPr>
        <w:pStyle w:val="ListBullet"/>
      </w:pPr>
      <w:r>
        <w:rPr>
          <w:b/>
        </w:rPr>
        <w:t xml:space="preserve">Application won't start: </w:t>
      </w:r>
      <w:r>
        <w:t>Verify Python and Streamlit are installed correctly. Check firewall settings aren't blocking port 8501.</w:t>
      </w:r>
    </w:p>
    <w:p w14:paraId="729B38FC" w14:textId="77777777" w:rsidR="00AB7F09" w:rsidRDefault="00000000">
      <w:pPr>
        <w:pStyle w:val="ListBullet"/>
      </w:pPr>
      <w:r>
        <w:rPr>
          <w:b/>
        </w:rPr>
        <w:t xml:space="preserve">File upload fails: </w:t>
      </w:r>
      <w:r>
        <w:t>Ensure CSV files use comma delimiters and have correct column headers. Check for special characters in data.</w:t>
      </w:r>
    </w:p>
    <w:p w14:paraId="47E6141B" w14:textId="77777777" w:rsidR="00AB7F09" w:rsidRDefault="00000000">
      <w:pPr>
        <w:pStyle w:val="ListBullet"/>
      </w:pPr>
      <w:r>
        <w:rPr>
          <w:b/>
        </w:rPr>
        <w:t xml:space="preserve">Assessment runs slowly: </w:t>
      </w:r>
      <w:r>
        <w:t>Monte Carlo with 10,000 iterations is computationally intensive. Reduce iteration count for testing (not recommended for final results).</w:t>
      </w:r>
    </w:p>
    <w:p w14:paraId="609E33B0" w14:textId="77777777" w:rsidR="00AB7F09" w:rsidRDefault="00000000">
      <w:pPr>
        <w:pStyle w:val="ListBullet"/>
      </w:pPr>
      <w:r>
        <w:rPr>
          <w:b/>
        </w:rPr>
        <w:t xml:space="preserve">Results seem unrealistic: </w:t>
      </w:r>
      <w:r>
        <w:t>Verify input parameters (concentration, dilution, LRV) are in correct units and reasonable ranges.</w:t>
      </w:r>
    </w:p>
    <w:p w14:paraId="3031C5A6" w14:textId="77777777" w:rsidR="00AB7F09" w:rsidRDefault="00000000">
      <w:pPr>
        <w:pStyle w:val="ListBullet"/>
      </w:pPr>
      <w:r>
        <w:rPr>
          <w:b/>
        </w:rPr>
        <w:t xml:space="preserve">Plots not displaying: </w:t>
      </w:r>
      <w:r>
        <w:t>Update web browser to latest version. Clear browser cache. Try different browser.</w:t>
      </w:r>
    </w:p>
    <w:p w14:paraId="00783B90" w14:textId="77777777" w:rsidR="00AB7F09" w:rsidRDefault="00AB7F09"/>
    <w:p w14:paraId="1F91B704" w14:textId="77777777" w:rsidR="00AB7F09" w:rsidRDefault="00000000">
      <w:r>
        <w:rPr>
          <w:b/>
        </w:rPr>
        <w:t>For Additional Support:</w:t>
      </w:r>
    </w:p>
    <w:p w14:paraId="3426D4AB" w14:textId="77777777" w:rsidR="00AB7F09" w:rsidRDefault="00AB7F09"/>
    <w:p w14:paraId="50B97CA6" w14:textId="77777777" w:rsidR="00AB7F09" w:rsidRDefault="00000000">
      <w:r>
        <w:rPr>
          <w:b/>
        </w:rPr>
        <w:t>NIWA - National Institute of Water &amp; Atmospheric Research</w:t>
      </w:r>
      <w:r>
        <w:rPr>
          <w:b/>
        </w:rPr>
        <w:br/>
      </w:r>
      <w:r>
        <w:t>Hamilton, New Zealand</w:t>
      </w:r>
      <w:r>
        <w:br/>
        <w:t>Website: www.niwa.co.nz</w:t>
      </w:r>
      <w:r>
        <w:br/>
        <w:t>Email: info@niwa.co.nz</w:t>
      </w:r>
    </w:p>
    <w:p w14:paraId="76EFCA4D" w14:textId="77777777" w:rsidR="00AB7F09" w:rsidRDefault="00000000">
      <w:r>
        <w:br w:type="page"/>
      </w:r>
    </w:p>
    <w:p w14:paraId="6830D3F9" w14:textId="77777777" w:rsidR="00AB7F09" w:rsidRDefault="00000000">
      <w:pPr>
        <w:pStyle w:val="Heading1"/>
      </w:pPr>
      <w:r>
        <w:rPr>
          <w:color w:val="1F77B4"/>
        </w:rPr>
        <w:lastRenderedPageBreak/>
        <w:t>8. References</w:t>
      </w:r>
    </w:p>
    <w:p w14:paraId="3440D5CB" w14:textId="77777777" w:rsidR="00AB7F09" w:rsidRDefault="00000000">
      <w:pPr>
        <w:spacing w:after="120"/>
        <w:ind w:hanging="360"/>
      </w:pPr>
      <w:r>
        <w:t>1. Teunis, P.F.M., Moe, C.L., Liu, P., Miller, S.E., Lindesmith, L., Baric, R.S., Le Pendu, J., &amp; Calderon, R.L. (2008). Norwalk virus: How infectious is it? Journal of Medical Virology, 80(8), 1468-1476. https://doi.org/10.1002/jmv.21237</w:t>
      </w:r>
    </w:p>
    <w:p w14:paraId="36569A86" w14:textId="77777777" w:rsidR="00AB7F09" w:rsidRDefault="00000000">
      <w:pPr>
        <w:spacing w:after="120"/>
        <w:ind w:hanging="360"/>
      </w:pPr>
      <w:r>
        <w:t>2. McBride, G.B. (2017). Bell Island Wastewater Treatment Plant Discharge QMRA. NIWA Client Report No: 2017350HN. Prepared for Wellington Water Limited.</w:t>
      </w:r>
    </w:p>
    <w:p w14:paraId="3372CEFD" w14:textId="77777777" w:rsidR="00AB7F09" w:rsidRDefault="00000000">
      <w:pPr>
        <w:spacing w:after="120"/>
        <w:ind w:hanging="360"/>
      </w:pPr>
      <w:r>
        <w:t>3. World Health Organization (2016). Quantitative Microbial Risk Assessment: Application for Water Safety Management. Geneva: WHO Press. ISBN: 978-92-4-156537-0</w:t>
      </w:r>
    </w:p>
    <w:p w14:paraId="567B7E40" w14:textId="77777777" w:rsidR="00AB7F09" w:rsidRDefault="00000000">
      <w:pPr>
        <w:spacing w:after="120"/>
        <w:ind w:hanging="360"/>
      </w:pPr>
      <w:r>
        <w:t>4. Haas, C.N., Rose, J.B., &amp; Gerba, C.P. (2014). Quantitative Microbial Risk Assessment (2nd ed.). John Wiley &amp; Sons, Inc. ISBN: 978-1-118-14529-6</w:t>
      </w:r>
    </w:p>
    <w:p w14:paraId="5AA73BE2" w14:textId="77777777" w:rsidR="00AB7F09" w:rsidRDefault="00000000">
      <w:pPr>
        <w:spacing w:after="120"/>
        <w:ind w:hanging="360"/>
      </w:pPr>
      <w:r>
        <w:t>5. National Research Council (1983). Risk Assessment in the Federal Government: Managing the Process. Washington, DC: The National Academies Press. https://doi.org/10.17226/366</w:t>
      </w:r>
    </w:p>
    <w:p w14:paraId="5CB136C0" w14:textId="77777777" w:rsidR="00AB7F09" w:rsidRDefault="00000000">
      <w:pPr>
        <w:spacing w:after="120"/>
        <w:ind w:hanging="360"/>
      </w:pPr>
      <w:r>
        <w:t>6. Haas, C.N. (2002). Conditional dose-response relationships for microorganisms: Development and application. Risk Analysis, 22(3), 455-463.</w:t>
      </w:r>
    </w:p>
    <w:p w14:paraId="158E41F0" w14:textId="77777777" w:rsidR="00AB7F09" w:rsidRDefault="00000000">
      <w:pPr>
        <w:spacing w:after="120"/>
        <w:ind w:hanging="360"/>
      </w:pPr>
      <w:r>
        <w:t>7. Van Abel, N., Schoen, M.E., Kissel, J.C., &amp; Meschke, J.S. (2017). Comparison of risk predicted by multiple norovirus dose-response models and implications for quantitative microbial risk assessment. Risk Analysis, 37(2), 245-264.</w:t>
      </w:r>
    </w:p>
    <w:p w14:paraId="0D845408" w14:textId="77777777" w:rsidR="00AB7F09" w:rsidRDefault="00000000">
      <w:pPr>
        <w:spacing w:after="120"/>
        <w:ind w:hanging="360"/>
      </w:pPr>
      <w:r>
        <w:t>8. WHO (2003). Guidelines for Safe Recreational Water Environments, Volume 1: Coastal and Fresh Waters. World Health Organization, Geneva.</w:t>
      </w:r>
    </w:p>
    <w:p w14:paraId="28986118" w14:textId="77777777" w:rsidR="00AB7F09" w:rsidRDefault="00000000">
      <w:pPr>
        <w:spacing w:after="120"/>
        <w:ind w:hanging="360"/>
      </w:pPr>
      <w:r>
        <w:t>9. WHO (2011). Guidelines for Drinking-water Quality (4th ed.). World Health Organization, Geneva.</w:t>
      </w:r>
    </w:p>
    <w:p w14:paraId="78D1934F" w14:textId="77777777" w:rsidR="00AB7F09" w:rsidRDefault="00000000">
      <w:pPr>
        <w:spacing w:after="120"/>
        <w:ind w:hanging="360"/>
      </w:pPr>
      <w:r>
        <w:t>10. Teunis, P.F.M., Havelaar, A.H., &amp; Medema, G.J. (1996). Assessment of the risk of infection by Cryptosporidium or Giardia in drinking water from a surface water source. Water Research, 30(6), 1333-1346.</w:t>
      </w:r>
    </w:p>
    <w:p w14:paraId="1B0D2361" w14:textId="77777777" w:rsidR="00AB7F09" w:rsidRDefault="00000000">
      <w:r>
        <w:br w:type="page"/>
      </w:r>
    </w:p>
    <w:p w14:paraId="62130672" w14:textId="77777777" w:rsidR="00AB7F09" w:rsidRDefault="00AB7F09"/>
    <w:p w14:paraId="0EEB24D3" w14:textId="77777777" w:rsidR="00AB7F09" w:rsidRDefault="00AB7F09"/>
    <w:p w14:paraId="6DF06B39" w14:textId="77777777" w:rsidR="00AB7F09" w:rsidRDefault="00AB7F09"/>
    <w:p w14:paraId="3B4E48DE" w14:textId="77777777" w:rsidR="00AB7F09" w:rsidRDefault="00000000">
      <w:pPr>
        <w:jc w:val="center"/>
      </w:pPr>
      <w:r>
        <w:rPr>
          <w:b/>
          <w:color w:val="969696"/>
          <w:sz w:val="28"/>
        </w:rPr>
        <w:t>END OF USER GUIDE</w:t>
      </w:r>
    </w:p>
    <w:p w14:paraId="454E3A80" w14:textId="77777777" w:rsidR="00AB7F09" w:rsidRDefault="00AB7F09"/>
    <w:p w14:paraId="65270FC6" w14:textId="77777777" w:rsidR="00AB7F09" w:rsidRDefault="00AB7F09"/>
    <w:p w14:paraId="2694FF84" w14:textId="77777777" w:rsidR="00AB7F09" w:rsidRDefault="00000000">
      <w:pPr>
        <w:jc w:val="center"/>
      </w:pPr>
      <w:r>
        <w:rPr>
          <w:i/>
          <w:color w:val="808080"/>
          <w:sz w:val="20"/>
        </w:rPr>
        <w:t>For the latest version of this document and application updates,</w:t>
      </w:r>
      <w:r>
        <w:rPr>
          <w:i/>
          <w:color w:val="808080"/>
          <w:sz w:val="20"/>
        </w:rPr>
        <w:br/>
        <w:t>contact NIWA or visit the project repository.</w:t>
      </w:r>
    </w:p>
    <w:sectPr w:rsidR="00AB7F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237753">
    <w:abstractNumId w:val="8"/>
  </w:num>
  <w:num w:numId="2" w16cid:durableId="2025399880">
    <w:abstractNumId w:val="6"/>
  </w:num>
  <w:num w:numId="3" w16cid:durableId="2048065619">
    <w:abstractNumId w:val="5"/>
  </w:num>
  <w:num w:numId="4" w16cid:durableId="1268585374">
    <w:abstractNumId w:val="4"/>
  </w:num>
  <w:num w:numId="5" w16cid:durableId="808284829">
    <w:abstractNumId w:val="7"/>
  </w:num>
  <w:num w:numId="6" w16cid:durableId="1775399377">
    <w:abstractNumId w:val="3"/>
  </w:num>
  <w:num w:numId="7" w16cid:durableId="1567258170">
    <w:abstractNumId w:val="2"/>
  </w:num>
  <w:num w:numId="8" w16cid:durableId="1117599866">
    <w:abstractNumId w:val="1"/>
  </w:num>
  <w:num w:numId="9" w16cid:durableId="210340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530"/>
    <w:rsid w:val="0029639D"/>
    <w:rsid w:val="00326F90"/>
    <w:rsid w:val="007177ED"/>
    <w:rsid w:val="00AA1D8D"/>
    <w:rsid w:val="00AB7F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30"/>
  <w15:docId w15:val="{55497D48-D709-40F1-9D19-14E4311E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4146</Words>
  <Characters>22224</Characters>
  <Application>Microsoft Office Word</Application>
  <DocSecurity>0</DocSecurity>
  <Lines>634</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Moghaddam</cp:lastModifiedBy>
  <cp:revision>2</cp:revision>
  <dcterms:created xsi:type="dcterms:W3CDTF">2013-12-23T23:15:00Z</dcterms:created>
  <dcterms:modified xsi:type="dcterms:W3CDTF">2025-11-17T00:47:00Z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34b54647-a250-4601-bb79-040c7aea0855</vt:lpwstr>
  </property>
</Properties>
</file>