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45F90" w14:textId="77777777" w:rsidR="002E7987" w:rsidRDefault="003049FF">
      <w:pPr>
        <w:jc w:val="center"/>
      </w:pPr>
      <w:r>
        <w:rPr>
          <w:b/>
          <w:color w:val="1F77B4"/>
          <w:sz w:val="56"/>
        </w:rPr>
        <w:t>QMRA Batch Processing Web Application</w:t>
      </w:r>
    </w:p>
    <w:p w14:paraId="7B12C517" w14:textId="77777777" w:rsidR="002E7987" w:rsidRDefault="003049FF">
      <w:pPr>
        <w:jc w:val="center"/>
      </w:pPr>
      <w:r>
        <w:rPr>
          <w:color w:val="646464"/>
          <w:sz w:val="32"/>
        </w:rPr>
        <w:t>Professional Overview</w:t>
      </w:r>
    </w:p>
    <w:p w14:paraId="1A2002E3" w14:textId="77777777" w:rsidR="002E7987" w:rsidRDefault="002E7987"/>
    <w:p w14:paraId="591B77EF" w14:textId="77777777" w:rsidR="002E7987" w:rsidRDefault="003049FF">
      <w:pPr>
        <w:jc w:val="center"/>
      </w:pPr>
      <w:r>
        <w:rPr>
          <w:color w:val="808080"/>
          <w:sz w:val="20"/>
        </w:rPr>
        <w:t>Version 1.2.0 | November 2025</w:t>
      </w:r>
      <w:r>
        <w:rPr>
          <w:color w:val="808080"/>
          <w:sz w:val="20"/>
        </w:rPr>
        <w:br/>
        <w:t>NIWA Earth Sciences New Zealand</w:t>
      </w:r>
    </w:p>
    <w:p w14:paraId="0DD4F1E1" w14:textId="77777777" w:rsidR="002E7987" w:rsidRDefault="003049FF">
      <w:r>
        <w:br w:type="page"/>
      </w:r>
    </w:p>
    <w:p w14:paraId="3D50075A" w14:textId="77777777" w:rsidR="002E7987" w:rsidRDefault="003049FF">
      <w:pPr>
        <w:pStyle w:val="Heading1"/>
      </w:pPr>
      <w:r>
        <w:rPr>
          <w:color w:val="1F77B4"/>
        </w:rPr>
        <w:lastRenderedPageBreak/>
        <w:t>Executive Summary</w:t>
      </w:r>
    </w:p>
    <w:p w14:paraId="4236CD87" w14:textId="77777777" w:rsidR="002E7987" w:rsidRDefault="003049FF">
      <w:r>
        <w:t>The QMRA Batch Processing Web Application is a standalone tool for quantitative microbial risk assessment (QMRA). It evaluates health risks from pathogenic contamination in water using Monte Carlo simulation, providing evidence-based risk estimates for decision-making.</w:t>
      </w:r>
    </w:p>
    <w:p w14:paraId="4B7798F9" w14:textId="77777777" w:rsidR="002E7987" w:rsidRDefault="003049FF">
      <w:r>
        <w:t>Key capabilities include multi-site analysis, temporal risk trends, treatment comparisons, and exposure-specific modeling for shellfish and swimming scenarios, with full uncertainty quantification.</w:t>
      </w:r>
    </w:p>
    <w:p w14:paraId="463455A2" w14:textId="77777777" w:rsidR="002E7987" w:rsidRDefault="003049FF">
      <w:r>
        <w:br w:type="page"/>
      </w:r>
    </w:p>
    <w:p w14:paraId="60C60523" w14:textId="77777777" w:rsidR="002E7987" w:rsidRDefault="003049FF">
      <w:pPr>
        <w:pStyle w:val="Heading1"/>
      </w:pPr>
      <w:r>
        <w:rPr>
          <w:color w:val="1F77B4"/>
        </w:rPr>
        <w:lastRenderedPageBreak/>
        <w:t>1. What is QMRA?</w:t>
      </w:r>
    </w:p>
    <w:p w14:paraId="27BFEF07" w14:textId="77777777" w:rsidR="002E7987" w:rsidRDefault="003049FF">
      <w:pPr>
        <w:pStyle w:val="Heading2"/>
      </w:pPr>
      <w:r>
        <w:rPr>
          <w:color w:val="2C3E50"/>
        </w:rPr>
        <w:t>Definition</w:t>
      </w:r>
    </w:p>
    <w:p w14:paraId="094194D2" w14:textId="77777777" w:rsidR="002E7987" w:rsidRDefault="003049FF">
      <w:r>
        <w:t>Quantitative Microbial Risk Assessment (QMRA) is a scientific framework for estimating the probability of infection or illness from exposure to pathogenic microorganisms (bacteria, viruses, protozoa) in water or food.</w:t>
      </w:r>
    </w:p>
    <w:p w14:paraId="33F6F563" w14:textId="77777777" w:rsidR="002E7987" w:rsidRDefault="003049FF">
      <w:pPr>
        <w:pStyle w:val="Heading2"/>
      </w:pPr>
      <w:r>
        <w:rPr>
          <w:color w:val="2C3E50"/>
        </w:rPr>
        <w:t>Core Concept</w:t>
      </w:r>
    </w:p>
    <w:p w14:paraId="24309A2D" w14:textId="77777777" w:rsidR="002E7987" w:rsidRDefault="003049FF">
      <w:r>
        <w:t>QMRA combines four key components:</w:t>
      </w:r>
    </w:p>
    <w:p w14:paraId="77978790" w14:textId="77777777" w:rsidR="002E7987" w:rsidRDefault="003049FF">
      <w:pPr>
        <w:pStyle w:val="ListBullet"/>
      </w:pPr>
      <w:r>
        <w:t>Pathogen concentration in source water</w:t>
      </w:r>
    </w:p>
    <w:p w14:paraId="0B3889A4" w14:textId="77777777" w:rsidR="002E7987" w:rsidRDefault="003049FF">
      <w:pPr>
        <w:pStyle w:val="ListBullet"/>
      </w:pPr>
      <w:r>
        <w:t>Treatment effectiveness (log reduction)</w:t>
      </w:r>
    </w:p>
    <w:p w14:paraId="13050277" w14:textId="77777777" w:rsidR="002E7987" w:rsidRDefault="003049FF">
      <w:pPr>
        <w:pStyle w:val="ListBullet"/>
      </w:pPr>
      <w:r>
        <w:t>Environmental dilution or bioaccumulation</w:t>
      </w:r>
    </w:p>
    <w:p w14:paraId="423C5750" w14:textId="77777777" w:rsidR="002E7987" w:rsidRDefault="003049FF">
      <w:pPr>
        <w:pStyle w:val="ListBullet"/>
      </w:pPr>
      <w:r>
        <w:t>Dose-response relationship (dose to infection/illness)</w:t>
      </w:r>
    </w:p>
    <w:p w14:paraId="1FEE67DD" w14:textId="77777777" w:rsidR="002E7987" w:rsidRDefault="003049FF">
      <w:pPr>
        <w:pStyle w:val="Heading2"/>
      </w:pPr>
      <w:r>
        <w:rPr>
          <w:color w:val="2C3E50"/>
        </w:rPr>
        <w:t>Risk Calculation</w:t>
      </w:r>
    </w:p>
    <w:p w14:paraId="18134DEC" w14:textId="77777777" w:rsidR="002E7987" w:rsidRDefault="003049FF">
      <w:r>
        <w:t>QMRA produces annual infection and illness probabilities per person, which support compliance decisions against WHO guidelines (acceptable risk &lt; 1 in 10,000 annually).</w:t>
      </w:r>
    </w:p>
    <w:p w14:paraId="37A118E6" w14:textId="77777777" w:rsidR="002E7987" w:rsidRDefault="003049FF">
      <w:pPr>
        <w:pStyle w:val="Heading2"/>
      </w:pPr>
      <w:r>
        <w:rPr>
          <w:color w:val="2C3E50"/>
        </w:rPr>
        <w:t>Why QMRA Matters</w:t>
      </w:r>
    </w:p>
    <w:p w14:paraId="3A44F1F1" w14:textId="77777777" w:rsidR="002E7987" w:rsidRDefault="003049FF">
      <w:r>
        <w:t>Traditional methods rely on indicator organisms or single-point assessments. QMRA accounts for scientific uncertainty and variability, enabling risk-based water safety management decisions.</w:t>
      </w:r>
    </w:p>
    <w:p w14:paraId="020281D9" w14:textId="77777777" w:rsidR="002E7987" w:rsidRDefault="003049FF">
      <w:r>
        <w:br w:type="page"/>
      </w:r>
    </w:p>
    <w:p w14:paraId="353C0666" w14:textId="77777777" w:rsidR="002E7987" w:rsidRDefault="003049FF">
      <w:pPr>
        <w:pStyle w:val="Heading1"/>
      </w:pPr>
      <w:r>
        <w:rPr>
          <w:color w:val="1F77B4"/>
        </w:rPr>
        <w:lastRenderedPageBreak/>
        <w:t>2. Application Overview</w:t>
      </w:r>
    </w:p>
    <w:p w14:paraId="5ACE431C" w14:textId="77777777" w:rsidR="002E7987" w:rsidRDefault="003049FF">
      <w:pPr>
        <w:pStyle w:val="Heading2"/>
      </w:pPr>
      <w:r>
        <w:rPr>
          <w:color w:val="2C3E50"/>
        </w:rPr>
        <w:t>Purpose</w:t>
      </w:r>
    </w:p>
    <w:p w14:paraId="35F161AA" w14:textId="77777777" w:rsidR="002E7987" w:rsidRDefault="003049FF">
      <w:r>
        <w:t>This web-based application enables users to run multiple QMRA scenarios simultaneously, visualize results, and generate professional reports—without requiring specialized programming knowledge.</w:t>
      </w:r>
    </w:p>
    <w:p w14:paraId="083C7E18" w14:textId="77777777" w:rsidR="002E7987" w:rsidRDefault="003049FF">
      <w:pPr>
        <w:pStyle w:val="Heading2"/>
      </w:pPr>
      <w:r>
        <w:rPr>
          <w:color w:val="2C3E50"/>
        </w:rPr>
        <w:t>Target Users</w:t>
      </w:r>
    </w:p>
    <w:p w14:paraId="13BE0F33" w14:textId="77777777" w:rsidR="002E7987" w:rsidRDefault="003049FF">
      <w:pPr>
        <w:pStyle w:val="ListBullet"/>
      </w:pPr>
      <w:r>
        <w:t>Water utility managers</w:t>
      </w:r>
    </w:p>
    <w:p w14:paraId="7D59DF01" w14:textId="77777777" w:rsidR="002E7987" w:rsidRDefault="003049FF">
      <w:pPr>
        <w:pStyle w:val="ListBullet"/>
      </w:pPr>
      <w:r>
        <w:t>Environmental health professionals</w:t>
      </w:r>
    </w:p>
    <w:p w14:paraId="7BCD3480" w14:textId="77777777" w:rsidR="002E7987" w:rsidRDefault="003049FF">
      <w:pPr>
        <w:pStyle w:val="ListBullet"/>
      </w:pPr>
      <w:r>
        <w:t>Regulatory compliance officers</w:t>
      </w:r>
    </w:p>
    <w:p w14:paraId="0A641E8B" w14:textId="77777777" w:rsidR="002E7987" w:rsidRDefault="003049FF">
      <w:pPr>
        <w:pStyle w:val="ListBullet"/>
      </w:pPr>
      <w:r>
        <w:t>Public health researchers</w:t>
      </w:r>
    </w:p>
    <w:p w14:paraId="3DF480B4" w14:textId="77777777" w:rsidR="002E7987" w:rsidRDefault="003049FF">
      <w:pPr>
        <w:pStyle w:val="ListBullet"/>
      </w:pPr>
      <w:r>
        <w:t>Wastewater treatment engineers</w:t>
      </w:r>
    </w:p>
    <w:p w14:paraId="67FA5ACC" w14:textId="77777777" w:rsidR="002E7987" w:rsidRDefault="003049FF">
      <w:pPr>
        <w:pStyle w:val="Heading2"/>
      </w:pPr>
      <w:r>
        <w:rPr>
          <w:color w:val="2C3E50"/>
        </w:rPr>
        <w:t>Five Assessment Modes</w:t>
      </w:r>
    </w:p>
    <w:p w14:paraId="0A7A230C" w14:textId="77777777" w:rsidR="002E7987" w:rsidRDefault="003049FF">
      <w:pPr>
        <w:pStyle w:val="ListBullet"/>
      </w:pPr>
      <w:r>
        <w:rPr>
          <w:b/>
        </w:rPr>
        <w:t xml:space="preserve">Batch Scenarios: </w:t>
      </w:r>
      <w:r>
        <w:t>Run 15+ pre-configured scenarios to evaluate multiple conditions</w:t>
      </w:r>
    </w:p>
    <w:p w14:paraId="0A9F3C29" w14:textId="77777777" w:rsidR="002E7987" w:rsidRDefault="003049FF">
      <w:pPr>
        <w:pStyle w:val="ListBullet"/>
      </w:pPr>
      <w:r>
        <w:rPr>
          <w:b/>
        </w:rPr>
        <w:t xml:space="preserve">Spatial Assessment: </w:t>
      </w:r>
      <w:r>
        <w:t>Map risk across multiple sites with different dilution factors</w:t>
      </w:r>
    </w:p>
    <w:p w14:paraId="19D3983C" w14:textId="77777777" w:rsidR="002E7987" w:rsidRDefault="003049FF">
      <w:pPr>
        <w:pStyle w:val="ListBullet"/>
      </w:pPr>
      <w:r>
        <w:rPr>
          <w:b/>
        </w:rPr>
        <w:t xml:space="preserve">Temporal Assessment: </w:t>
      </w:r>
      <w:r>
        <w:t>Analyze seasonal or time-series risk trends from monitoring data</w:t>
      </w:r>
    </w:p>
    <w:p w14:paraId="6583F722" w14:textId="77777777" w:rsidR="002E7987" w:rsidRDefault="003049FF">
      <w:pPr>
        <w:pStyle w:val="ListBullet"/>
      </w:pPr>
      <w:r>
        <w:rPr>
          <w:b/>
        </w:rPr>
        <w:t xml:space="preserve">Treatment Comparison: </w:t>
      </w:r>
      <w:r>
        <w:t>Compare multiple treatment technologies and their effectiveness</w:t>
      </w:r>
    </w:p>
    <w:p w14:paraId="12ACBC2E" w14:textId="77777777" w:rsidR="002E7987" w:rsidRDefault="003049FF">
      <w:pPr>
        <w:pStyle w:val="ListBullet"/>
      </w:pPr>
      <w:r>
        <w:rPr>
          <w:b/>
        </w:rPr>
        <w:t xml:space="preserve">Multi-Pathogen Assessment: </w:t>
      </w:r>
      <w:r>
        <w:t>Simultaneously evaluate 2–6 pathogens to identify dominant risks</w:t>
      </w:r>
    </w:p>
    <w:p w14:paraId="07BBE89C" w14:textId="77777777" w:rsidR="002E7987" w:rsidRDefault="003049FF">
      <w:r>
        <w:br w:type="page"/>
      </w:r>
    </w:p>
    <w:p w14:paraId="4ED76F7B" w14:textId="77777777" w:rsidR="002E7987" w:rsidRDefault="003049FF">
      <w:pPr>
        <w:pStyle w:val="Heading1"/>
      </w:pPr>
      <w:r>
        <w:rPr>
          <w:color w:val="1F77B4"/>
        </w:rPr>
        <w:lastRenderedPageBreak/>
        <w:t>3. How It Works</w:t>
      </w:r>
    </w:p>
    <w:p w14:paraId="39DC8E1C" w14:textId="77777777" w:rsidR="002E7987" w:rsidRDefault="003049FF">
      <w:pPr>
        <w:pStyle w:val="Heading2"/>
      </w:pPr>
      <w:r>
        <w:rPr>
          <w:color w:val="2C3E50"/>
        </w:rPr>
        <w:t>Step-by-Step Process</w:t>
      </w:r>
    </w:p>
    <w:p w14:paraId="5D44AC80" w14:textId="77777777" w:rsidR="002E7987" w:rsidRDefault="003049FF">
      <w:pPr>
        <w:pStyle w:val="ListNumber"/>
      </w:pPr>
      <w:r>
        <w:rPr>
          <w:b/>
        </w:rPr>
        <w:t xml:space="preserve">Input Data: </w:t>
      </w:r>
      <w:r>
        <w:t>Upload pathogen concentrations, dilution factors, and scenario parameters (or use examples)</w:t>
      </w:r>
    </w:p>
    <w:p w14:paraId="2E9A8CA8" w14:textId="77777777" w:rsidR="002E7987" w:rsidRDefault="003049FF">
      <w:pPr>
        <w:pStyle w:val="ListNumber"/>
      </w:pPr>
      <w:r>
        <w:rPr>
          <w:b/>
        </w:rPr>
        <w:t xml:space="preserve">Configure Parameters: </w:t>
      </w:r>
      <w:r>
        <w:t>Select exposure routes, treatment LRV, population, and exposure frequency</w:t>
      </w:r>
    </w:p>
    <w:p w14:paraId="7A12E0EB" w14:textId="77777777" w:rsidR="002E7987" w:rsidRDefault="003049FF">
      <w:pPr>
        <w:pStyle w:val="ListNumber"/>
      </w:pPr>
      <w:r>
        <w:rPr>
          <w:b/>
        </w:rPr>
        <w:t xml:space="preserve">Monte Carlo Simulation: </w:t>
      </w:r>
      <w:r>
        <w:t>Run 10,000 iterations sampling from distributions for all uncertainties</w:t>
      </w:r>
    </w:p>
    <w:p w14:paraId="414B9A0C" w14:textId="77777777" w:rsidR="002E7987" w:rsidRDefault="003049FF">
      <w:pPr>
        <w:pStyle w:val="ListNumber"/>
      </w:pPr>
      <w:r>
        <w:rPr>
          <w:b/>
        </w:rPr>
        <w:t xml:space="preserve">Risk Calculation: </w:t>
      </w:r>
      <w:r>
        <w:t>Calculate per-exposure and annual infection/illness risks</w:t>
      </w:r>
    </w:p>
    <w:p w14:paraId="0C618FCF" w14:textId="77777777" w:rsidR="002E7987" w:rsidRDefault="003049FF">
      <w:pPr>
        <w:pStyle w:val="ListNumber"/>
      </w:pPr>
      <w:r>
        <w:rPr>
          <w:b/>
        </w:rPr>
        <w:t xml:space="preserve">Results &amp; Visualization: </w:t>
      </w:r>
      <w:r>
        <w:t>View interactive charts, summary statistics, and compliance status</w:t>
      </w:r>
    </w:p>
    <w:p w14:paraId="15D6BCB0" w14:textId="77777777" w:rsidR="002E7987" w:rsidRDefault="003049FF">
      <w:pPr>
        <w:pStyle w:val="ListNumber"/>
      </w:pPr>
      <w:r>
        <w:rPr>
          <w:b/>
        </w:rPr>
        <w:t xml:space="preserve">Download: </w:t>
      </w:r>
      <w:r>
        <w:t>Export results as CSV, PDF, or complete ZIP package</w:t>
      </w:r>
    </w:p>
    <w:p w14:paraId="6A116029" w14:textId="77777777" w:rsidR="002E7987" w:rsidRDefault="003049FF">
      <w:pPr>
        <w:pStyle w:val="Heading2"/>
      </w:pPr>
      <w:r>
        <w:rPr>
          <w:color w:val="2C3E50"/>
        </w:rPr>
        <w:t>Exposure Routes (v1.2.0)</w:t>
      </w:r>
    </w:p>
    <w:p w14:paraId="37A2F5E3" w14:textId="77777777" w:rsidR="002E7987" w:rsidRDefault="003049FF">
      <w:pPr>
        <w:pStyle w:val="ListBullet"/>
      </w:pPr>
      <w:r>
        <w:rPr>
          <w:b/>
        </w:rPr>
        <w:t xml:space="preserve">Shellfish Consumption: </w:t>
      </w:r>
    </w:p>
    <w:p w14:paraId="01BFDC03" w14:textId="77777777" w:rsidR="002E7987" w:rsidRDefault="003049FF">
      <w:pPr>
        <w:pStyle w:val="ListBullet2"/>
      </w:pPr>
      <w:r>
        <w:t>Meal size: 5–800 grams (truncated log-logistic distribution)</w:t>
      </w:r>
    </w:p>
    <w:p w14:paraId="38680AB3" w14:textId="77777777" w:rsidR="002E7987" w:rsidRDefault="003049FF">
      <w:pPr>
        <w:pStyle w:val="ListBullet2"/>
      </w:pPr>
      <w:r>
        <w:t>Bioaccumulation Factor: 1–100× (shellfish concentrate pathogens)</w:t>
      </w:r>
    </w:p>
    <w:p w14:paraId="0A6F43EF" w14:textId="77777777" w:rsidR="002E7987" w:rsidRDefault="003049FF">
      <w:pPr>
        <w:pStyle w:val="ListBullet2"/>
      </w:pPr>
      <w:r>
        <w:t>Total exposure: meal size × BAF</w:t>
      </w:r>
    </w:p>
    <w:p w14:paraId="698DD634" w14:textId="77777777" w:rsidR="002E7987" w:rsidRDefault="003049FF">
      <w:pPr>
        <w:pStyle w:val="ListBullet"/>
      </w:pPr>
      <w:r>
        <w:rPr>
          <w:b/>
        </w:rPr>
        <w:t xml:space="preserve">Swimming/Primary Contact: </w:t>
      </w:r>
    </w:p>
    <w:p w14:paraId="015F7371" w14:textId="77777777" w:rsidR="002E7987" w:rsidRDefault="003049FF">
      <w:pPr>
        <w:pStyle w:val="ListBullet2"/>
      </w:pPr>
      <w:r>
        <w:t>Water ingestion rate: 5–200 mL/hour (truncated lognormal)</w:t>
      </w:r>
    </w:p>
    <w:p w14:paraId="45DC74C4" w14:textId="77777777" w:rsidR="002E7987" w:rsidRDefault="003049FF">
      <w:pPr>
        <w:pStyle w:val="ListBullet2"/>
      </w:pPr>
      <w:r>
        <w:t>Duration: 0.2–4 hours (triangular distribution)</w:t>
      </w:r>
    </w:p>
    <w:p w14:paraId="35785E51" w14:textId="77777777" w:rsidR="002E7987" w:rsidRDefault="003049FF">
      <w:pPr>
        <w:pStyle w:val="ListBullet2"/>
      </w:pPr>
      <w:r>
        <w:t>Total exposure: ingestion rate × duration</w:t>
      </w:r>
    </w:p>
    <w:p w14:paraId="65C729EE" w14:textId="77777777" w:rsidR="002E7987" w:rsidRDefault="003049FF">
      <w:pPr>
        <w:pStyle w:val="ListBullet"/>
      </w:pPr>
      <w:r>
        <w:rPr>
          <w:b/>
        </w:rPr>
        <w:t xml:space="preserve">Contaminated Water (Generic): </w:t>
      </w:r>
    </w:p>
    <w:p w14:paraId="24A08DDE" w14:textId="77777777" w:rsidR="002E7987" w:rsidRDefault="003049FF">
      <w:pPr>
        <w:pStyle w:val="ListBullet2"/>
      </w:pPr>
      <w:r>
        <w:t>Fixed volume or range-based exposure</w:t>
      </w:r>
    </w:p>
    <w:p w14:paraId="3E6F4189" w14:textId="77777777" w:rsidR="002E7987" w:rsidRDefault="003049FF">
      <w:pPr>
        <w:pStyle w:val="ListBullet2"/>
      </w:pPr>
      <w:r>
        <w:t>Customizable via Method Harmonisation Factor</w:t>
      </w:r>
    </w:p>
    <w:p w14:paraId="4D31EDF9" w14:textId="77777777" w:rsidR="002E7987" w:rsidRDefault="003049FF">
      <w:r>
        <w:br w:type="page"/>
      </w:r>
    </w:p>
    <w:p w14:paraId="0F83550F" w14:textId="77777777" w:rsidR="002E7987" w:rsidRDefault="003049FF">
      <w:pPr>
        <w:pStyle w:val="Heading1"/>
      </w:pPr>
      <w:r>
        <w:rPr>
          <w:color w:val="1F77B4"/>
        </w:rPr>
        <w:lastRenderedPageBreak/>
        <w:t>4. Results Generated</w:t>
      </w:r>
    </w:p>
    <w:p w14:paraId="3C62CDA2" w14:textId="77777777" w:rsidR="002E7987" w:rsidRDefault="003049FF">
      <w:pPr>
        <w:pStyle w:val="Heading2"/>
      </w:pPr>
      <w:r>
        <w:rPr>
          <w:color w:val="2C3E50"/>
        </w:rPr>
        <w:t>Per-Scenario Output</w:t>
      </w:r>
    </w:p>
    <w:p w14:paraId="357787A2" w14:textId="77777777" w:rsidR="002E7987" w:rsidRDefault="003049FF">
      <w:pPr>
        <w:pStyle w:val="ListBullet"/>
      </w:pPr>
      <w:r>
        <w:t>Infection Risk (median, 5th, 95th percentile)</w:t>
      </w:r>
    </w:p>
    <w:p w14:paraId="459B2C24" w14:textId="77777777" w:rsidR="002E7987" w:rsidRDefault="003049FF">
      <w:pPr>
        <w:pStyle w:val="ListBullet"/>
      </w:pPr>
      <w:r>
        <w:t>Illness Risk (accounting for symptom development)</w:t>
      </w:r>
    </w:p>
    <w:p w14:paraId="6CF93632" w14:textId="77777777" w:rsidR="002E7987" w:rsidRDefault="003049FF">
      <w:pPr>
        <w:pStyle w:val="ListBullet"/>
      </w:pPr>
      <w:r>
        <w:t>Annual Risk (per person, accounting for exposure frequency)</w:t>
      </w:r>
    </w:p>
    <w:p w14:paraId="2FA10331" w14:textId="77777777" w:rsidR="002E7987" w:rsidRDefault="003049FF">
      <w:pPr>
        <w:pStyle w:val="ListBullet"/>
      </w:pPr>
      <w:r>
        <w:t>Population Impact (expected illness cases per year)</w:t>
      </w:r>
    </w:p>
    <w:p w14:paraId="4F043F59" w14:textId="77777777" w:rsidR="002E7987" w:rsidRDefault="003049FF">
      <w:pPr>
        <w:pStyle w:val="ListBullet"/>
      </w:pPr>
      <w:r>
        <w:t>WHO Compliance Status (COMPLIANT if &lt; 1e-4; NON-COMPLIANT if &gt;= 1e-4)</w:t>
      </w:r>
    </w:p>
    <w:p w14:paraId="70FF1D49" w14:textId="77777777" w:rsidR="002E7987" w:rsidRDefault="003049FF">
      <w:pPr>
        <w:pStyle w:val="ListBullet"/>
      </w:pPr>
      <w:r>
        <w:t>Uncertainty Bounds (confidence intervals)</w:t>
      </w:r>
    </w:p>
    <w:p w14:paraId="06135F33" w14:textId="77777777" w:rsidR="002E7987" w:rsidRDefault="003049FF">
      <w:pPr>
        <w:pStyle w:val="Heading2"/>
      </w:pPr>
      <w:r>
        <w:rPr>
          <w:color w:val="2C3E50"/>
        </w:rPr>
        <w:t>Visualizations</w:t>
      </w:r>
    </w:p>
    <w:p w14:paraId="3037EDBD" w14:textId="77777777" w:rsidR="002E7987" w:rsidRDefault="003049FF">
      <w:pPr>
        <w:pStyle w:val="ListBullet"/>
      </w:pPr>
      <w:r>
        <w:t>Risk Overview (horizontal bar chart by scenario)</w:t>
      </w:r>
    </w:p>
    <w:p w14:paraId="6CA826B4" w14:textId="77777777" w:rsidR="002E7987" w:rsidRDefault="003049FF">
      <w:pPr>
        <w:pStyle w:val="ListBullet"/>
      </w:pPr>
      <w:r>
        <w:t>Compliance Distribution (pie chart: COMPLIANT vs. NON-COMPLIANT)</w:t>
      </w:r>
    </w:p>
    <w:p w14:paraId="09E1A654" w14:textId="77777777" w:rsidR="002E7987" w:rsidRDefault="003049FF">
      <w:pPr>
        <w:pStyle w:val="ListBullet"/>
      </w:pPr>
      <w:r>
        <w:t>Risk Distribution (histogram of per-exposure probabilities)</w:t>
      </w:r>
    </w:p>
    <w:p w14:paraId="30B69D63" w14:textId="77777777" w:rsidR="002E7987" w:rsidRDefault="003049FF">
      <w:pPr>
        <w:pStyle w:val="ListBullet"/>
      </w:pPr>
      <w:r>
        <w:t>Population Impact (case counts per year)</w:t>
      </w:r>
    </w:p>
    <w:p w14:paraId="68C0B3A2" w14:textId="77777777" w:rsidR="002E7987" w:rsidRDefault="003049FF">
      <w:pPr>
        <w:pStyle w:val="Heading2"/>
      </w:pPr>
      <w:r>
        <w:rPr>
          <w:color w:val="2C3E50"/>
        </w:rPr>
        <w:t>Download Formats</w:t>
      </w:r>
    </w:p>
    <w:p w14:paraId="43B8316E" w14:textId="77777777" w:rsidR="002E7987" w:rsidRDefault="003049FF">
      <w:pPr>
        <w:pStyle w:val="ListBullet"/>
      </w:pPr>
      <w:r>
        <w:t>Complete results CSV (all scenarios)</w:t>
      </w:r>
    </w:p>
    <w:p w14:paraId="0C4D322A" w14:textId="77777777" w:rsidR="002E7987" w:rsidRDefault="003049FF">
      <w:pPr>
        <w:pStyle w:val="ListBullet"/>
      </w:pPr>
      <w:r>
        <w:t>Individual scenario details (CSV/Excel)</w:t>
      </w:r>
    </w:p>
    <w:p w14:paraId="088A29A3" w14:textId="77777777" w:rsidR="002E7987" w:rsidRDefault="003049FF">
      <w:pPr>
        <w:pStyle w:val="ListBullet"/>
      </w:pPr>
      <w:r>
        <w:t>High-resolution plots (PNG, 300 DPI)</w:t>
      </w:r>
    </w:p>
    <w:p w14:paraId="376C046B" w14:textId="77777777" w:rsidR="002E7987" w:rsidRDefault="003049FF">
      <w:pPr>
        <w:pStyle w:val="ListBullet"/>
      </w:pPr>
      <w:r>
        <w:t>Professional PDF report (with charts and tables)</w:t>
      </w:r>
    </w:p>
    <w:p w14:paraId="45F24B2C" w14:textId="77777777" w:rsidR="002E7987" w:rsidRDefault="003049FF">
      <w:pPr>
        <w:pStyle w:val="ListBullet"/>
      </w:pPr>
      <w:r>
        <w:t>Complete package (ZIP with all outputs)</w:t>
      </w:r>
    </w:p>
    <w:p w14:paraId="7B3AA9B4" w14:textId="77777777" w:rsidR="002E7987" w:rsidRDefault="003049FF">
      <w:r>
        <w:br w:type="page"/>
      </w:r>
    </w:p>
    <w:p w14:paraId="148D4C9D" w14:textId="77777777" w:rsidR="002E7987" w:rsidRDefault="003049FF">
      <w:pPr>
        <w:pStyle w:val="Heading1"/>
      </w:pPr>
      <w:r>
        <w:rPr>
          <w:color w:val="1F77B4"/>
        </w:rPr>
        <w:lastRenderedPageBreak/>
        <w:t>5. Technical Features</w:t>
      </w:r>
    </w:p>
    <w:p w14:paraId="0BC0DE02" w14:textId="77777777" w:rsidR="002E7987" w:rsidRDefault="003049FF">
      <w:pPr>
        <w:pStyle w:val="Heading2"/>
      </w:pPr>
      <w:r>
        <w:rPr>
          <w:color w:val="2C3E50"/>
        </w:rPr>
        <w:t>Pathogens Supported</w:t>
      </w:r>
    </w:p>
    <w:p w14:paraId="0111A455" w14:textId="77777777" w:rsidR="002E7987" w:rsidRDefault="003049FF">
      <w:pPr>
        <w:pStyle w:val="ListBullet"/>
      </w:pPr>
      <w:r>
        <w:t>Norovirus (Virus): P(ill|inf)=0.60</w:t>
      </w:r>
    </w:p>
    <w:p w14:paraId="1CDA0DCC" w14:textId="77777777" w:rsidR="002E7987" w:rsidRDefault="003049FF">
      <w:pPr>
        <w:pStyle w:val="ListBullet"/>
      </w:pPr>
      <w:r>
        <w:t>Campylobacter jejuni (Bacteria): P(ill|inf)=0.80</w:t>
      </w:r>
    </w:p>
    <w:p w14:paraId="7450186F" w14:textId="77777777" w:rsidR="002E7987" w:rsidRDefault="003049FF">
      <w:pPr>
        <w:pStyle w:val="ListBullet"/>
      </w:pPr>
      <w:r>
        <w:t>Cryptosporidium parvum (Protozoa): P(ill|inf)=1.00</w:t>
      </w:r>
    </w:p>
    <w:p w14:paraId="3FC6510C" w14:textId="77777777" w:rsidR="002E7987" w:rsidRDefault="003049FF">
      <w:pPr>
        <w:pStyle w:val="ListBullet"/>
      </w:pPr>
      <w:r>
        <w:t>E. coli O157:H7 (Bacteria): P(ill|inf)=0.90</w:t>
      </w:r>
    </w:p>
    <w:p w14:paraId="36201F30" w14:textId="77777777" w:rsidR="002E7987" w:rsidRDefault="003049FF">
      <w:pPr>
        <w:pStyle w:val="ListBullet"/>
      </w:pPr>
      <w:r>
        <w:t>Salmonella spp. (Bacteria): P(ill|inf)=0.75</w:t>
      </w:r>
    </w:p>
    <w:p w14:paraId="09594883" w14:textId="77777777" w:rsidR="002E7987" w:rsidRDefault="003049FF">
      <w:pPr>
        <w:pStyle w:val="ListBullet"/>
      </w:pPr>
      <w:r>
        <w:t>Rotavirus (Virus): P(ill|inf)=0.65</w:t>
      </w:r>
    </w:p>
    <w:p w14:paraId="413F756C" w14:textId="77777777" w:rsidR="002E7987" w:rsidRDefault="003049FF">
      <w:pPr>
        <w:pStyle w:val="Heading2"/>
      </w:pPr>
      <w:r>
        <w:rPr>
          <w:color w:val="2C3E50"/>
        </w:rPr>
        <w:t>Dose-Response Models</w:t>
      </w:r>
    </w:p>
    <w:p w14:paraId="3A88940A" w14:textId="77777777" w:rsidR="002E7987" w:rsidRDefault="003049FF">
      <w:pPr>
        <w:pStyle w:val="ListBullet"/>
      </w:pPr>
      <w:r>
        <w:t>Beta-Poisson model (Norovirus, Rotavirus)</w:t>
      </w:r>
    </w:p>
    <w:p w14:paraId="24A41B60" w14:textId="77777777" w:rsidR="002E7987" w:rsidRDefault="003049FF">
      <w:pPr>
        <w:pStyle w:val="ListBullet"/>
      </w:pPr>
      <w:r>
        <w:t>Exponential model (Campylobacter, Cryptosporidium, E. coli)</w:t>
      </w:r>
    </w:p>
    <w:p w14:paraId="46BB0040" w14:textId="77777777" w:rsidR="002E7987" w:rsidRDefault="003049FF">
      <w:pPr>
        <w:pStyle w:val="ListBullet"/>
      </w:pPr>
      <w:r>
        <w:t>Alternative models available for comparison</w:t>
      </w:r>
    </w:p>
    <w:p w14:paraId="0F0570F1" w14:textId="77777777" w:rsidR="002E7987" w:rsidRDefault="003049FF">
      <w:pPr>
        <w:pStyle w:val="Heading2"/>
      </w:pPr>
      <w:r>
        <w:rPr>
          <w:color w:val="2C3E50"/>
        </w:rPr>
        <w:t>Uncertainty Quantification</w:t>
      </w:r>
    </w:p>
    <w:p w14:paraId="5ECA9149" w14:textId="77777777" w:rsidR="002E7987" w:rsidRDefault="003049FF">
      <w:r>
        <w:t>All results include 5th, 50th (median), and 95th percentiles to represent optimistic, most-likely, and conservative scenarios. Uncertainties in concentration, treatment effectiveness, dilution, and exposure volumes are automatically propagated.</w:t>
      </w:r>
    </w:p>
    <w:p w14:paraId="1C347F27" w14:textId="77777777" w:rsidR="002E7987" w:rsidRDefault="003049FF">
      <w:r>
        <w:br w:type="page"/>
      </w:r>
    </w:p>
    <w:p w14:paraId="24FEC8A5" w14:textId="5052E3C2" w:rsidR="002E7987" w:rsidRDefault="003049FF">
      <w:pPr>
        <w:pStyle w:val="Heading1"/>
      </w:pPr>
      <w:r>
        <w:rPr>
          <w:color w:val="1F77B4"/>
        </w:rPr>
        <w:lastRenderedPageBreak/>
        <w:t>w</w:t>
      </w:r>
      <w:r>
        <w:rPr>
          <w:color w:val="1F77B4"/>
        </w:rPr>
        <w:t>6. Key Innovations (v1.2.0)</w:t>
      </w:r>
    </w:p>
    <w:p w14:paraId="5D6434BC" w14:textId="77777777" w:rsidR="002E7987" w:rsidRDefault="003049FF">
      <w:pPr>
        <w:pStyle w:val="ListBullet"/>
      </w:pPr>
      <w:r>
        <w:rPr>
          <w:b/>
        </w:rPr>
        <w:t xml:space="preserve">Exposure-Specific Modeling: </w:t>
      </w:r>
      <w:r>
        <w:t>Route-specific distributions for shellfish meal size, BAF, swim rate, and duration</w:t>
      </w:r>
    </w:p>
    <w:p w14:paraId="6848057C" w14:textId="77777777" w:rsidR="002E7987" w:rsidRDefault="003049FF">
      <w:pPr>
        <w:pStyle w:val="ListBullet"/>
      </w:pPr>
      <w:r>
        <w:rPr>
          <w:b/>
        </w:rPr>
        <w:t xml:space="preserve">Infection-to-Illness Conversion: </w:t>
      </w:r>
      <w:r>
        <w:t>Separate modeling of infection vs. clinical illness with WHO-based parameters</w:t>
      </w:r>
    </w:p>
    <w:p w14:paraId="2E07432F" w14:textId="77777777" w:rsidR="002E7987" w:rsidRDefault="003049FF">
      <w:pPr>
        <w:pStyle w:val="ListBullet"/>
      </w:pPr>
      <w:r>
        <w:rPr>
          <w:b/>
        </w:rPr>
        <w:t xml:space="preserve">Method Harmonisation Factor: </w:t>
      </w:r>
      <w:r>
        <w:t>Account for differences in measurement methods (water vs. shellfish sampling)</w:t>
      </w:r>
    </w:p>
    <w:p w14:paraId="67A93372" w14:textId="77777777" w:rsidR="002E7987" w:rsidRDefault="003049FF">
      <w:pPr>
        <w:pStyle w:val="ListBullet"/>
      </w:pPr>
      <w:r>
        <w:rPr>
          <w:b/>
        </w:rPr>
        <w:t xml:space="preserve">Truncated Log-Logistic Distribution: </w:t>
      </w:r>
      <w:r>
        <w:t>Realistic right-skewed distribution for shellfish meal sizes</w:t>
      </w:r>
    </w:p>
    <w:p w14:paraId="6127804B" w14:textId="77777777" w:rsidR="002E7987" w:rsidRDefault="003049FF">
      <w:pPr>
        <w:pStyle w:val="ListBullet"/>
      </w:pPr>
      <w:r>
        <w:rPr>
          <w:b/>
        </w:rPr>
        <w:t xml:space="preserve">Population Susceptibility: </w:t>
      </w:r>
      <w:r>
        <w:t>Age and population-specific factors affecting illness rates</w:t>
      </w:r>
    </w:p>
    <w:p w14:paraId="43719BF5" w14:textId="77777777" w:rsidR="002E7987" w:rsidRDefault="003049FF">
      <w:pPr>
        <w:pStyle w:val="ListBullet"/>
      </w:pPr>
      <w:r>
        <w:rPr>
          <w:b/>
        </w:rPr>
        <w:t xml:space="preserve">Population Case Estimates: </w:t>
      </w:r>
      <w:r>
        <w:t>Expected annual illness cases for public health planning</w:t>
      </w:r>
    </w:p>
    <w:p w14:paraId="7878D041" w14:textId="77777777" w:rsidR="002E7987" w:rsidRDefault="003049FF">
      <w:r>
        <w:br w:type="page"/>
      </w:r>
    </w:p>
    <w:p w14:paraId="4DDA4E0A" w14:textId="77777777" w:rsidR="002E7987" w:rsidRDefault="003049FF">
      <w:pPr>
        <w:pStyle w:val="Heading1"/>
      </w:pPr>
      <w:r>
        <w:rPr>
          <w:color w:val="1F77B4"/>
        </w:rPr>
        <w:lastRenderedPageBreak/>
        <w:t>7. Getting Started</w:t>
      </w:r>
    </w:p>
    <w:p w14:paraId="4AF0BC5C" w14:textId="77777777" w:rsidR="002E7987" w:rsidRDefault="003049FF">
      <w:pPr>
        <w:pStyle w:val="Heading2"/>
      </w:pPr>
      <w:r>
        <w:rPr>
          <w:color w:val="2C3E50"/>
        </w:rPr>
        <w:t>System Requirements</w:t>
      </w:r>
    </w:p>
    <w:p w14:paraId="1076F063" w14:textId="77777777" w:rsidR="002E7987" w:rsidRDefault="003049FF">
      <w:pPr>
        <w:pStyle w:val="ListBullet"/>
      </w:pPr>
      <w:r>
        <w:t>Windows, Mac, or Linux</w:t>
      </w:r>
    </w:p>
    <w:p w14:paraId="3DF0CD12" w14:textId="77777777" w:rsidR="002E7987" w:rsidRDefault="003049FF">
      <w:pPr>
        <w:pStyle w:val="ListBullet"/>
      </w:pPr>
      <w:r>
        <w:t>Python 3.8+</w:t>
      </w:r>
    </w:p>
    <w:p w14:paraId="59F813D7" w14:textId="77777777" w:rsidR="002E7987" w:rsidRDefault="003049FF">
      <w:pPr>
        <w:pStyle w:val="ListBullet"/>
      </w:pPr>
      <w:r>
        <w:t>Web browser (Chrome, Firefox, Safari, Edge)</w:t>
      </w:r>
    </w:p>
    <w:p w14:paraId="1D1DF2F4" w14:textId="77777777" w:rsidR="002E7987" w:rsidRDefault="003049FF">
      <w:pPr>
        <w:pStyle w:val="ListBullet"/>
      </w:pPr>
      <w:r>
        <w:t>~200 MB disk space</w:t>
      </w:r>
    </w:p>
    <w:p w14:paraId="20FE37EF" w14:textId="77777777" w:rsidR="002E7987" w:rsidRDefault="003049FF">
      <w:pPr>
        <w:pStyle w:val="Heading2"/>
      </w:pPr>
      <w:r>
        <w:rPr>
          <w:color w:val="2C3E50"/>
        </w:rPr>
        <w:t>Quick Start</w:t>
      </w:r>
    </w:p>
    <w:p w14:paraId="53B495A1" w14:textId="77777777" w:rsidR="002E7987" w:rsidRDefault="003049FF">
      <w:pPr>
        <w:pStyle w:val="ListNumber"/>
      </w:pPr>
      <w:r>
        <w:t>Install dependencies: pip install -r requirements.txt</w:t>
      </w:r>
    </w:p>
    <w:p w14:paraId="51DD181B" w14:textId="77777777" w:rsidR="002E7987" w:rsidRDefault="003049FF">
      <w:pPr>
        <w:pStyle w:val="ListNumber"/>
      </w:pPr>
      <w:r>
        <w:t>Launch application: streamlit run web_app.py</w:t>
      </w:r>
    </w:p>
    <w:p w14:paraId="29F29CC0" w14:textId="77777777" w:rsidR="002E7987" w:rsidRDefault="003049FF">
      <w:pPr>
        <w:pStyle w:val="ListNumber"/>
      </w:pPr>
      <w:r>
        <w:t>Select assessment mode from sidebar</w:t>
      </w:r>
    </w:p>
    <w:p w14:paraId="5B743C87" w14:textId="77777777" w:rsidR="002E7987" w:rsidRDefault="003049FF">
      <w:pPr>
        <w:pStyle w:val="ListNumber"/>
      </w:pPr>
      <w:r>
        <w:t>Use example data or upload your own</w:t>
      </w:r>
    </w:p>
    <w:p w14:paraId="1542EB86" w14:textId="77777777" w:rsidR="002E7987" w:rsidRDefault="003049FF">
      <w:pPr>
        <w:pStyle w:val="ListNumber"/>
      </w:pPr>
      <w:r>
        <w:t>Click "Run Assessment" and wait for results</w:t>
      </w:r>
    </w:p>
    <w:p w14:paraId="43523D69" w14:textId="77777777" w:rsidR="002E7987" w:rsidRDefault="003049FF">
      <w:pPr>
        <w:pStyle w:val="ListNumber"/>
      </w:pPr>
      <w:r>
        <w:t>Download results in preferred format</w:t>
      </w:r>
    </w:p>
    <w:p w14:paraId="450AB4CB" w14:textId="77777777" w:rsidR="002E7987" w:rsidRDefault="003049FF">
      <w:r>
        <w:br w:type="page"/>
      </w:r>
    </w:p>
    <w:p w14:paraId="46C6ACCF" w14:textId="77777777" w:rsidR="002E7987" w:rsidRDefault="003049FF">
      <w:pPr>
        <w:pStyle w:val="Heading1"/>
      </w:pPr>
      <w:r>
        <w:rPr>
          <w:color w:val="1F77B4"/>
        </w:rPr>
        <w:lastRenderedPageBreak/>
        <w:t>8. Support &amp; References</w:t>
      </w:r>
    </w:p>
    <w:p w14:paraId="4EE04B9A" w14:textId="77777777" w:rsidR="002E7987" w:rsidRDefault="003049FF">
      <w:pPr>
        <w:pStyle w:val="Heading2"/>
      </w:pPr>
      <w:r>
        <w:rPr>
          <w:color w:val="2C3E50"/>
        </w:rPr>
        <w:t>Primary References</w:t>
      </w:r>
    </w:p>
    <w:p w14:paraId="0DC13AF3" w14:textId="77777777" w:rsidR="002E7987" w:rsidRDefault="003049FF">
      <w:pPr>
        <w:pStyle w:val="ListBullet"/>
      </w:pPr>
      <w:r>
        <w:t>WHO (2016). Quantitative Microbial Risk Assessment: Application for Water Safety Management</w:t>
      </w:r>
    </w:p>
    <w:p w14:paraId="48FF3440" w14:textId="77777777" w:rsidR="002E7987" w:rsidRDefault="003049FF">
      <w:pPr>
        <w:pStyle w:val="ListBullet"/>
      </w:pPr>
      <w:r>
        <w:t>Haas et al. (2014). Quantitative Microbial Risk Assessment, 2nd Edition</w:t>
      </w:r>
    </w:p>
    <w:p w14:paraId="01844908" w14:textId="77777777" w:rsidR="002E7987" w:rsidRDefault="003049FF">
      <w:pPr>
        <w:pStyle w:val="ListBullet"/>
      </w:pPr>
      <w:r>
        <w:t>U.S. EPA (2019). Method for Assessing Public Health Risk from Waterborne Pathogens</w:t>
      </w:r>
    </w:p>
    <w:p w14:paraId="4AF259D9" w14:textId="77777777" w:rsidR="002E7987" w:rsidRDefault="003049FF">
      <w:pPr>
        <w:pStyle w:val="ListBullet"/>
      </w:pPr>
      <w:r>
        <w:t>Wood et al. (2023). From_David R Package – Exposure-Specific QMRA Methods</w:t>
      </w:r>
    </w:p>
    <w:p w14:paraId="4E6DBE89" w14:textId="77777777" w:rsidR="002E7987" w:rsidRDefault="003049FF">
      <w:pPr>
        <w:pStyle w:val="Heading2"/>
      </w:pPr>
      <w:r>
        <w:rPr>
          <w:color w:val="2C3E50"/>
        </w:rPr>
        <w:t>Documentation</w:t>
      </w:r>
    </w:p>
    <w:p w14:paraId="633377DE" w14:textId="77777777" w:rsidR="002E7987" w:rsidRDefault="003049FF">
      <w:pPr>
        <w:pStyle w:val="ListBullet"/>
      </w:pPr>
      <w:r>
        <w:t>DISTRIBUTION_PARAMETERS_GUIDE.md – Detailed parameter specifications</w:t>
      </w:r>
    </w:p>
    <w:p w14:paraId="488A6148" w14:textId="77777777" w:rsidR="002E7987" w:rsidRDefault="003049FF">
      <w:pPr>
        <w:pStyle w:val="ListBullet"/>
      </w:pPr>
      <w:r>
        <w:t>BATCH_PROCESSING_INPUTS_GUIDE.md – Input file format reference</w:t>
      </w:r>
    </w:p>
    <w:p w14:paraId="7FC2D4A1" w14:textId="77777777" w:rsidR="002E7987" w:rsidRDefault="003049FF">
      <w:pPr>
        <w:pStyle w:val="ListBullet"/>
      </w:pPr>
      <w:r>
        <w:t>README.md – Complete feature documentation</w:t>
      </w:r>
    </w:p>
    <w:p w14:paraId="70641DA5" w14:textId="77777777" w:rsidR="002E7987" w:rsidRDefault="003049FF">
      <w:pPr>
        <w:pStyle w:val="ListBullet"/>
      </w:pPr>
      <w:r>
        <w:t>Example files in input_data/ directory</w:t>
      </w:r>
    </w:p>
    <w:p w14:paraId="4BD23834" w14:textId="77777777" w:rsidR="002E7987" w:rsidRDefault="003049FF">
      <w:pPr>
        <w:pStyle w:val="Heading2"/>
      </w:pPr>
      <w:r>
        <w:rPr>
          <w:color w:val="2C3E50"/>
        </w:rPr>
        <w:t>Contact</w:t>
      </w:r>
    </w:p>
    <w:p w14:paraId="5AC30712" w14:textId="77777777" w:rsidR="002E7987" w:rsidRDefault="003049FF">
      <w:r>
        <w:t>NIWA Earth Sciences New Zealand</w:t>
      </w:r>
    </w:p>
    <w:p w14:paraId="06F311C3" w14:textId="77777777" w:rsidR="002E7987" w:rsidRDefault="003049FF">
      <w:r>
        <w:t>For technical support, review example scenarios and documentation files.</w:t>
      </w:r>
    </w:p>
    <w:p w14:paraId="35FD1F9C" w14:textId="77777777" w:rsidR="002E7987" w:rsidRDefault="003049FF">
      <w:r>
        <w:br w:type="page"/>
      </w:r>
    </w:p>
    <w:p w14:paraId="4AB27F3C" w14:textId="77777777" w:rsidR="002E7987" w:rsidRDefault="003049FF">
      <w:pPr>
        <w:pStyle w:val="Heading1"/>
      </w:pPr>
      <w:r>
        <w:rPr>
          <w:color w:val="1F77B4"/>
        </w:rPr>
        <w:lastRenderedPageBreak/>
        <w:t>Appendix: Application Screenshots</w:t>
      </w:r>
    </w:p>
    <w:p w14:paraId="3CC7F94A" w14:textId="77777777" w:rsidR="002E7987" w:rsidRDefault="003049FF">
      <w:r>
        <w:t>This appendix contains 6 screenshots from the QMRA Batch Processing Web Application, demonstrating key interface pages and features.</w:t>
      </w:r>
    </w:p>
    <w:p w14:paraId="5EB35337" w14:textId="77777777" w:rsidR="002E7987" w:rsidRDefault="003049FF">
      <w:r>
        <w:br w:type="page"/>
      </w:r>
    </w:p>
    <w:p w14:paraId="208C3BD3" w14:textId="77777777" w:rsidR="002E7987" w:rsidRDefault="003049FF">
      <w:pPr>
        <w:pStyle w:val="Heading2"/>
      </w:pPr>
      <w:r>
        <w:rPr>
          <w:color w:val="2C3E50"/>
        </w:rPr>
        <w:lastRenderedPageBreak/>
        <w:t>1. Home Page</w:t>
      </w:r>
    </w:p>
    <w:p w14:paraId="3EDFD522" w14:textId="77777777" w:rsidR="002E7987" w:rsidRDefault="003049FF">
      <w:r>
        <w:t>Main application interface with sidebar navigation</w:t>
      </w:r>
    </w:p>
    <w:p w14:paraId="2C005E22" w14:textId="77777777" w:rsidR="002E7987" w:rsidRDefault="002E7987"/>
    <w:p w14:paraId="2527FD98" w14:textId="77777777" w:rsidR="002E7987" w:rsidRDefault="003049FF">
      <w:pPr>
        <w:jc w:val="center"/>
      </w:pPr>
      <w:r>
        <w:rPr>
          <w:noProof/>
        </w:rPr>
        <w:drawing>
          <wp:inline distT="0" distB="0" distL="0" distR="0" wp14:anchorId="5767A6E6" wp14:editId="3E7AB9C5">
            <wp:extent cx="5486400" cy="19983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home_page_20251105_10363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6F63" w14:textId="77777777" w:rsidR="002E7987" w:rsidRDefault="003049FF">
      <w:pPr>
        <w:jc w:val="center"/>
      </w:pPr>
      <w:r>
        <w:rPr>
          <w:i/>
          <w:color w:val="646464"/>
          <w:sz w:val="20"/>
        </w:rPr>
        <w:t>Figure 1: Home Page</w:t>
      </w:r>
    </w:p>
    <w:p w14:paraId="3215E12A" w14:textId="77777777" w:rsidR="002E7987" w:rsidRDefault="002E7987"/>
    <w:p w14:paraId="0C6BC494" w14:textId="77777777" w:rsidR="002E7987" w:rsidRDefault="003049FF">
      <w:pPr>
        <w:pStyle w:val="Heading2"/>
      </w:pPr>
      <w:r>
        <w:rPr>
          <w:color w:val="2C3E50"/>
        </w:rPr>
        <w:t>2. Batch Scenarios</w:t>
      </w:r>
    </w:p>
    <w:p w14:paraId="1D611DB6" w14:textId="77777777" w:rsidR="002E7987" w:rsidRDefault="003049FF">
      <w:r>
        <w:t>Batch processing with 15 pre-configured scenarios</w:t>
      </w:r>
    </w:p>
    <w:p w14:paraId="31BD8E95" w14:textId="77777777" w:rsidR="002E7987" w:rsidRDefault="002E7987"/>
    <w:p w14:paraId="5013BE33" w14:textId="77777777" w:rsidR="002E7987" w:rsidRDefault="003049FF">
      <w:pPr>
        <w:jc w:val="center"/>
      </w:pPr>
      <w:r>
        <w:rPr>
          <w:noProof/>
        </w:rPr>
        <w:drawing>
          <wp:inline distT="0" distB="0" distL="0" distR="0" wp14:anchorId="053589D8" wp14:editId="71F5DDAF">
            <wp:extent cx="5486400" cy="19983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home_page_20251105_10363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7CBA" w14:textId="77777777" w:rsidR="002E7987" w:rsidRDefault="003049FF">
      <w:pPr>
        <w:jc w:val="center"/>
      </w:pPr>
      <w:r>
        <w:rPr>
          <w:i/>
          <w:color w:val="646464"/>
          <w:sz w:val="20"/>
        </w:rPr>
        <w:t>Figure 2: Batch Scenarios</w:t>
      </w:r>
    </w:p>
    <w:p w14:paraId="2FE1A903" w14:textId="77777777" w:rsidR="002E7987" w:rsidRDefault="002E7987"/>
    <w:p w14:paraId="7F1DAFD4" w14:textId="77777777" w:rsidR="002E7987" w:rsidRDefault="003049FF">
      <w:pPr>
        <w:pStyle w:val="Heading2"/>
      </w:pPr>
      <w:r>
        <w:rPr>
          <w:color w:val="2C3E50"/>
        </w:rPr>
        <w:t>3. Spatial Assessment</w:t>
      </w:r>
    </w:p>
    <w:p w14:paraId="30EF4CC1" w14:textId="77777777" w:rsidR="002E7987" w:rsidRDefault="003049FF">
      <w:r>
        <w:t>Multi-site risk assessment with dilution factors</w:t>
      </w:r>
    </w:p>
    <w:p w14:paraId="676061F3" w14:textId="77777777" w:rsidR="002E7987" w:rsidRDefault="002E7987"/>
    <w:p w14:paraId="779A9F4F" w14:textId="77777777" w:rsidR="002E7987" w:rsidRDefault="003049FF">
      <w:pPr>
        <w:jc w:val="center"/>
      </w:pPr>
      <w:r>
        <w:rPr>
          <w:noProof/>
        </w:rPr>
        <w:lastRenderedPageBreak/>
        <w:drawing>
          <wp:inline distT="0" distB="0" distL="0" distR="0" wp14:anchorId="004687F3" wp14:editId="2CDA350B">
            <wp:extent cx="5486400" cy="19983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home_page_20251105_10363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9975" w14:textId="77777777" w:rsidR="002E7987" w:rsidRDefault="003049FF">
      <w:pPr>
        <w:jc w:val="center"/>
      </w:pPr>
      <w:r>
        <w:rPr>
          <w:i/>
          <w:color w:val="646464"/>
          <w:sz w:val="20"/>
        </w:rPr>
        <w:t>Figure 3: Spatial Assessment</w:t>
      </w:r>
    </w:p>
    <w:p w14:paraId="53B1C571" w14:textId="77777777" w:rsidR="002E7987" w:rsidRDefault="002E7987"/>
    <w:p w14:paraId="65F052C6" w14:textId="77777777" w:rsidR="002E7987" w:rsidRDefault="003049FF">
      <w:pPr>
        <w:pStyle w:val="Heading2"/>
      </w:pPr>
      <w:r>
        <w:rPr>
          <w:color w:val="2C3E50"/>
        </w:rPr>
        <w:t>4. Temporal Assessment</w:t>
      </w:r>
    </w:p>
    <w:p w14:paraId="4FA454CA" w14:textId="77777777" w:rsidR="002E7987" w:rsidRDefault="003049FF">
      <w:r>
        <w:t>Time-series risk analysis from monitoring data</w:t>
      </w:r>
    </w:p>
    <w:p w14:paraId="6E55A192" w14:textId="77777777" w:rsidR="002E7987" w:rsidRDefault="002E7987"/>
    <w:p w14:paraId="66245639" w14:textId="77777777" w:rsidR="002E7987" w:rsidRDefault="003049FF">
      <w:pPr>
        <w:jc w:val="center"/>
      </w:pPr>
      <w:r>
        <w:rPr>
          <w:noProof/>
        </w:rPr>
        <w:drawing>
          <wp:inline distT="0" distB="0" distL="0" distR="0" wp14:anchorId="4A31B094" wp14:editId="6F4FEDDD">
            <wp:extent cx="5486400" cy="19983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home_page_20251105_10363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B009" w14:textId="77777777" w:rsidR="002E7987" w:rsidRDefault="003049FF">
      <w:pPr>
        <w:jc w:val="center"/>
      </w:pPr>
      <w:r>
        <w:rPr>
          <w:i/>
          <w:color w:val="646464"/>
          <w:sz w:val="20"/>
        </w:rPr>
        <w:t>Figure 4: Temporal Assessment</w:t>
      </w:r>
    </w:p>
    <w:p w14:paraId="50CA0F40" w14:textId="77777777" w:rsidR="002E7987" w:rsidRDefault="002E7987"/>
    <w:p w14:paraId="72B7FD1D" w14:textId="77777777" w:rsidR="002E7987" w:rsidRDefault="003049FF">
      <w:pPr>
        <w:pStyle w:val="Heading2"/>
      </w:pPr>
      <w:r>
        <w:rPr>
          <w:color w:val="2C3E50"/>
        </w:rPr>
        <w:t>5. Treatment Comparison</w:t>
      </w:r>
    </w:p>
    <w:p w14:paraId="17762CD6" w14:textId="77777777" w:rsidR="002E7987" w:rsidRDefault="003049FF">
      <w:r>
        <w:t>Compare multiple treatment technologies</w:t>
      </w:r>
    </w:p>
    <w:p w14:paraId="2BA2C56A" w14:textId="77777777" w:rsidR="002E7987" w:rsidRDefault="002E7987"/>
    <w:p w14:paraId="1E7C4BC7" w14:textId="77777777" w:rsidR="002E7987" w:rsidRDefault="003049FF">
      <w:pPr>
        <w:jc w:val="center"/>
      </w:pPr>
      <w:r>
        <w:rPr>
          <w:noProof/>
        </w:rPr>
        <w:lastRenderedPageBreak/>
        <w:drawing>
          <wp:inline distT="0" distB="0" distL="0" distR="0" wp14:anchorId="686517CA" wp14:editId="094E9ECA">
            <wp:extent cx="5486400" cy="19983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home_page_20251105_10363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C3B9" w14:textId="77777777" w:rsidR="002E7987" w:rsidRDefault="003049FF">
      <w:pPr>
        <w:jc w:val="center"/>
      </w:pPr>
      <w:r>
        <w:rPr>
          <w:i/>
          <w:color w:val="646464"/>
          <w:sz w:val="20"/>
        </w:rPr>
        <w:t>Figure 5: Treatment Comparison</w:t>
      </w:r>
    </w:p>
    <w:p w14:paraId="71284D0C" w14:textId="77777777" w:rsidR="002E7987" w:rsidRDefault="002E7987"/>
    <w:p w14:paraId="3220B215" w14:textId="77777777" w:rsidR="002E7987" w:rsidRDefault="003049FF">
      <w:pPr>
        <w:pStyle w:val="Heading2"/>
      </w:pPr>
      <w:r>
        <w:rPr>
          <w:color w:val="2C3E50"/>
        </w:rPr>
        <w:t>6. Multi Pathogen</w:t>
      </w:r>
    </w:p>
    <w:p w14:paraId="2B5C98B0" w14:textId="77777777" w:rsidR="002E7987" w:rsidRDefault="003049FF">
      <w:r>
        <w:t>Evaluate multiple pathogens simultaneously</w:t>
      </w:r>
    </w:p>
    <w:p w14:paraId="1A5A4F3D" w14:textId="77777777" w:rsidR="002E7987" w:rsidRDefault="002E7987"/>
    <w:p w14:paraId="159E8C96" w14:textId="77777777" w:rsidR="002E7987" w:rsidRDefault="003049FF">
      <w:pPr>
        <w:jc w:val="center"/>
      </w:pPr>
      <w:r>
        <w:rPr>
          <w:noProof/>
        </w:rPr>
        <w:drawing>
          <wp:inline distT="0" distB="0" distL="0" distR="0" wp14:anchorId="282E6F45" wp14:editId="186F7346">
            <wp:extent cx="5486400" cy="199838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home_page_20251105_10363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1D85" w14:textId="77777777" w:rsidR="002E7987" w:rsidRDefault="003049FF">
      <w:pPr>
        <w:jc w:val="center"/>
      </w:pPr>
      <w:r>
        <w:rPr>
          <w:i/>
          <w:color w:val="646464"/>
          <w:sz w:val="20"/>
        </w:rPr>
        <w:t>Figure 6: Multi Pathogen</w:t>
      </w:r>
    </w:p>
    <w:p w14:paraId="2D6D7F03" w14:textId="77777777" w:rsidR="002E7987" w:rsidRDefault="002E7987"/>
    <w:sectPr w:rsidR="002E79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9260545">
    <w:abstractNumId w:val="8"/>
  </w:num>
  <w:num w:numId="2" w16cid:durableId="760874328">
    <w:abstractNumId w:val="6"/>
  </w:num>
  <w:num w:numId="3" w16cid:durableId="1876846848">
    <w:abstractNumId w:val="5"/>
  </w:num>
  <w:num w:numId="4" w16cid:durableId="843789322">
    <w:abstractNumId w:val="4"/>
  </w:num>
  <w:num w:numId="5" w16cid:durableId="956714434">
    <w:abstractNumId w:val="7"/>
  </w:num>
  <w:num w:numId="6" w16cid:durableId="186216342">
    <w:abstractNumId w:val="3"/>
  </w:num>
  <w:num w:numId="7" w16cid:durableId="1297489109">
    <w:abstractNumId w:val="2"/>
  </w:num>
  <w:num w:numId="8" w16cid:durableId="335961032">
    <w:abstractNumId w:val="1"/>
  </w:num>
  <w:num w:numId="9" w16cid:durableId="721516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0AC"/>
    <w:rsid w:val="0015074B"/>
    <w:rsid w:val="0029639D"/>
    <w:rsid w:val="002E7987"/>
    <w:rsid w:val="003049FF"/>
    <w:rsid w:val="00326F90"/>
    <w:rsid w:val="00AA1D8D"/>
    <w:rsid w:val="00AD2AC3"/>
    <w:rsid w:val="00B47730"/>
    <w:rsid w:val="00BD08E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F61EB4AB-6F63-4D73-B015-BE5FF7EDA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14</Pages>
  <Words>906</Words>
  <Characters>6516</Characters>
  <Application>Microsoft Office Word</Application>
  <DocSecurity>0</DocSecurity>
  <Lines>197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Reza Moghaddam</cp:lastModifiedBy>
  <cp:revision>3</cp:revision>
  <dcterms:created xsi:type="dcterms:W3CDTF">2013-12-23T23:15:00Z</dcterms:created>
  <dcterms:modified xsi:type="dcterms:W3CDTF">2025-11-05T03:26:00Z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222f9dbf-899b-4c31-bc3a-0cebb555ff46</vt:lpwstr>
  </property>
</Properties>
</file>