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3366"/>
          <w:sz w:val="72"/>
        </w:rPr>
        <w:t>QMRA TOOLKIT</w:t>
        <w:br/>
      </w:r>
    </w:p>
    <w:p>
      <w:pPr>
        <w:jc w:val="center"/>
      </w:pPr>
      <w:r>
        <w:rPr>
          <w:color w:val="006699"/>
          <w:sz w:val="48"/>
        </w:rPr>
        <w:t>Professional Technical Demonstration Guide</w:t>
        <w:br/>
      </w:r>
    </w:p>
    <w:p>
      <w:r>
        <w:br/>
        <w:br/>
      </w:r>
    </w:p>
    <w:p>
      <w:pPr>
        <w:jc w:val="center"/>
      </w:pPr>
      <w:r>
        <w:rPr>
          <w:color w:val="646464"/>
          <w:sz w:val="24"/>
        </w:rPr>
        <w:t>Step-by-Step Guide | Professional Diagrams | Comprehensive Tables</w:t>
        <w:br/>
        <w:t>Real-World Scenarios | Regulatory Compliance | Best Practices</w:t>
      </w:r>
    </w:p>
    <w:p>
      <w:r>
        <w:br/>
        <w:br/>
        <w:br/>
      </w:r>
    </w:p>
    <w:p>
      <w:pPr>
        <w:jc w:val="center"/>
      </w:pPr>
      <w:r>
        <w:rPr>
          <w:b/>
          <w:color w:val="006699"/>
          <w:sz w:val="32"/>
        </w:rPr>
        <w:t>[NIWA EARTH SCIENCES]</w:t>
      </w:r>
    </w:p>
    <w:p>
      <w:r>
        <w:br/>
        <w:br/>
        <w:br/>
        <w:br/>
      </w:r>
    </w:p>
    <w:p>
      <w:pPr>
        <w:jc w:val="center"/>
      </w:pPr>
      <w:r>
        <w:rPr>
          <w:color w:val="404040"/>
          <w:sz w:val="22"/>
        </w:rPr>
        <w:t>Quantitative Microbial Risk Assessment Toolkit</w:t>
        <w:br/>
      </w:r>
      <w:r>
        <w:rPr>
          <w:color w:val="404040"/>
          <w:sz w:val="22"/>
        </w:rPr>
        <w:t>Comprehensive Web Application &amp; Desktop GUI Demonstration</w:t>
        <w:br/>
      </w:r>
      <w:r>
        <w:rPr>
          <w:color w:val="404040"/>
          <w:sz w:val="22"/>
        </w:rPr>
        <w:br/>
      </w:r>
      <w:r>
        <w:rPr>
          <w:color w:val="404040"/>
          <w:sz w:val="22"/>
        </w:rPr>
        <w:t>Version 2.0</w:t>
        <w:br/>
      </w:r>
      <w:r>
        <w:rPr>
          <w:color w:val="404040"/>
          <w:sz w:val="22"/>
        </w:rPr>
        <w:t>October 2025</w:t>
        <w:br/>
      </w:r>
      <w:r>
        <w:rPr>
          <w:color w:val="404040"/>
          <w:sz w:val="22"/>
        </w:rPr>
        <w:br/>
      </w:r>
      <w:r>
        <w:rPr>
          <w:color w:val="404040"/>
          <w:sz w:val="22"/>
        </w:rPr>
        <w:t>NIWA Earth Sciences New Zealand</w:t>
        <w:br/>
      </w:r>
      <w:r>
        <w:rPr>
          <w:color w:val="404040"/>
          <w:sz w:val="22"/>
        </w:rPr>
        <w:t>Environmental Health &amp; Water Quality Division</w:t>
        <w:br/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comprehensive technical demonstration guide provides detailed instructions for using the NIWA QMRA Toolkit, a state-of-the-art quantitative microbial risk assessment platform. The toolkit integrates peer-reviewed dose-response models, Monte Carlo simulation, hydrodynamic dilution modeling, and treatment train analysis to deliver professional-grade risk assessments for water quality management.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002060"/>
          </w:tcPr>
          <w:p>
            <w:r>
              <w:rPr>
                <w:b/>
                <w:color w:val="FFFFFF"/>
                <w:sz w:val="22"/>
              </w:rPr>
              <w:t>Capability</w:t>
            </w:r>
          </w:p>
        </w:tc>
        <w:tc>
          <w:tcPr>
            <w:tcW w:type="dxa" w:w="4680"/>
            <w:shd w:fill="002060"/>
          </w:tcPr>
          <w:p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Multi-Pathogen Assessment</w:t>
            </w:r>
          </w:p>
        </w:tc>
        <w:tc>
          <w:tcPr>
            <w:tcW w:type="dxa" w:w="4680"/>
          </w:tcPr>
          <w:p>
            <w:r>
              <w:t>6 pathogens with peer-reviewed dose-response models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Monte Carlo Simulation</w:t>
            </w:r>
          </w:p>
        </w:tc>
        <w:tc>
          <w:tcPr>
            <w:tcW w:type="dxa" w:w="4680"/>
          </w:tcPr>
          <w:p>
            <w:r>
              <w:t>Up to 100,000 iterations for uncertainty quantification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Treatment Modeling</w:t>
            </w:r>
          </w:p>
        </w:tc>
        <w:tc>
          <w:tcPr>
            <w:tcW w:type="dxa" w:w="4680"/>
          </w:tcPr>
          <w:p>
            <w:r>
              <w:t>Multi-barrier treatment train analysis with LRV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Dilution Integration</w:t>
            </w:r>
          </w:p>
        </w:tc>
        <w:tc>
          <w:tcPr>
            <w:tcW w:type="dxa" w:w="4680"/>
          </w:tcPr>
          <w:p>
            <w:r>
              <w:t>Hydrodynamic model results integration (ROMS/Delft3D)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Multiple Interfaces</w:t>
            </w:r>
          </w:p>
        </w:tc>
        <w:tc>
          <w:tcPr>
            <w:tcW w:type="dxa" w:w="4680"/>
          </w:tcPr>
          <w:p>
            <w:r>
              <w:t>Web app, Desktop GUI, Python API, Command-line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Professional Reports</w:t>
            </w:r>
          </w:p>
        </w:tc>
        <w:tc>
          <w:tcPr>
            <w:tcW w:type="dxa" w:w="4680"/>
          </w:tcPr>
          <w:p>
            <w:r>
              <w:t>Automated PDF/Word report generation for regulatory submissions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Table 1: Key Capabilities of QMRA Toolkit</w:t>
      </w:r>
    </w:p>
    <w:p>
      <w:r>
        <w:br w:type="page"/>
      </w:r>
    </w:p>
    <w:p>
      <w:pPr>
        <w:pStyle w:val="Heading1"/>
      </w:pPr>
      <w:r>
        <w:t>System Architecture</w:t>
      </w:r>
    </w:p>
    <w:p>
      <w:r>
        <w:t>The QMRA Toolkit follows a modular architecture design, enabling flexibility, maintainability, and extensibility. The system is organized into distinct layers, each with specific responsibilities.</w:t>
      </w:r>
    </w:p>
    <w:p/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0070C0"/>
          </w:tcPr>
          <w:p>
            <w:r>
              <w:rPr>
                <w:b/>
                <w:color w:val="FFFFFF"/>
              </w:rPr>
              <w:t>Layer</w:t>
            </w:r>
          </w:p>
        </w:tc>
        <w:tc>
          <w:tcPr>
            <w:tcW w:type="dxa" w:w="3120"/>
            <w:shd w:fill="0070C0"/>
          </w:tcPr>
          <w:p>
            <w:r>
              <w:rPr>
                <w:b/>
                <w:color w:val="FFFFFF"/>
              </w:rPr>
              <w:t>Components</w:t>
            </w:r>
          </w:p>
        </w:tc>
        <w:tc>
          <w:tcPr>
            <w:tcW w:type="dxa" w:w="3120"/>
            <w:shd w:fill="0070C0"/>
          </w:tcPr>
          <w:p>
            <w:r>
              <w:rPr>
                <w:b/>
                <w:color w:val="FFFFFF"/>
              </w:rPr>
              <w:t>Responsibilities</w:t>
            </w:r>
          </w:p>
        </w:tc>
      </w:tr>
      <w:tr>
        <w:tc>
          <w:tcPr>
            <w:tcW w:type="dxa" w:w="3120"/>
            <w:shd w:fill="E7E6E6"/>
          </w:tcPr>
          <w:p>
            <w:r>
              <w:rPr>
                <w:b/>
              </w:rPr>
              <w:t>Presentation Layer</w:t>
            </w:r>
          </w:p>
        </w:tc>
        <w:tc>
          <w:tcPr>
            <w:tcW w:type="dxa" w:w="3120"/>
          </w:tcPr>
          <w:p>
            <w:r>
              <w:t>Web App (Streamlit)</w:t>
              <w:br/>
              <w:t>Desktop GUI (Tkinter)</w:t>
              <w:br/>
              <w:t>CLI</w:t>
            </w:r>
          </w:p>
        </w:tc>
        <w:tc>
          <w:tcPr>
            <w:tcW w:type="dxa" w:w="3120"/>
          </w:tcPr>
          <w:p>
            <w:r>
              <w:t>User interface, input validation, visualization</w:t>
            </w:r>
          </w:p>
        </w:tc>
      </w:tr>
      <w:tr>
        <w:tc>
          <w:tcPr>
            <w:tcW w:type="dxa" w:w="3120"/>
            <w:shd w:fill="E7E6E6"/>
          </w:tcPr>
          <w:p>
            <w:r>
              <w:rPr>
                <w:b/>
              </w:rPr>
              <w:t>Application Layer</w:t>
            </w:r>
          </w:p>
        </w:tc>
        <w:tc>
          <w:tcPr>
            <w:tcW w:type="dxa" w:w="3120"/>
          </w:tcPr>
          <w:p>
            <w:r>
              <w:t>Risk Characterization</w:t>
              <w:br/>
              <w:t>QMRA Integration</w:t>
              <w:br/>
              <w:t>Report Generator</w:t>
            </w:r>
          </w:p>
        </w:tc>
        <w:tc>
          <w:tcPr>
            <w:tcW w:type="dxa" w:w="3120"/>
          </w:tcPr>
          <w:p>
            <w:r>
              <w:t>Workflow orchestration, business logic, report generation</w:t>
            </w:r>
          </w:p>
        </w:tc>
      </w:tr>
      <w:tr>
        <w:tc>
          <w:tcPr>
            <w:tcW w:type="dxa" w:w="3120"/>
            <w:shd w:fill="E7E6E6"/>
          </w:tcPr>
          <w:p>
            <w:r>
              <w:rPr>
                <w:b/>
              </w:rPr>
              <w:t>Domain Layer</w:t>
            </w:r>
          </w:p>
        </w:tc>
        <w:tc>
          <w:tcPr>
            <w:tcW w:type="dxa" w:w="3120"/>
          </w:tcPr>
          <w:p>
            <w:r>
              <w:t>Dose-Response Models</w:t>
              <w:br/>
              <w:t>Exposure Assessment</w:t>
              <w:br/>
              <w:t>Monte Carlo Engine</w:t>
            </w:r>
          </w:p>
        </w:tc>
        <w:tc>
          <w:tcPr>
            <w:tcW w:type="dxa" w:w="3120"/>
          </w:tcPr>
          <w:p>
            <w:r>
              <w:t>Core risk calculations, uncertainty analysis</w:t>
            </w:r>
          </w:p>
        </w:tc>
      </w:tr>
      <w:tr>
        <w:tc>
          <w:tcPr>
            <w:tcW w:type="dxa" w:w="3120"/>
            <w:shd w:fill="E7E6E6"/>
          </w:tcPr>
          <w:p>
            <w:r>
              <w:rPr>
                <w:b/>
              </w:rPr>
              <w:t>Data Layer</w:t>
            </w:r>
          </w:p>
        </w:tc>
        <w:tc>
          <w:tcPr>
            <w:tcW w:type="dxa" w:w="3120"/>
          </w:tcPr>
          <w:p>
            <w:r>
              <w:t>Pathogen Database</w:t>
              <w:br/>
              <w:t>Dilution Model</w:t>
              <w:br/>
              <w:t>Treatment Barriers</w:t>
            </w:r>
          </w:p>
        </w:tc>
        <w:tc>
          <w:tcPr>
            <w:tcW w:type="dxa" w:w="3120"/>
          </w:tcPr>
          <w:p>
            <w:r>
              <w:t>Data management, parameter storage, model configurations</w:t>
            </w:r>
          </w:p>
        </w:tc>
      </w:tr>
      <w:tr>
        <w:tc>
          <w:tcPr>
            <w:tcW w:type="dxa" w:w="3120"/>
            <w:shd w:fill="E7E6E6"/>
          </w:tcPr>
          <w:p>
            <w:r>
              <w:rPr>
                <w:b/>
              </w:rPr>
              <w:t>Infrastructure Layer</w:t>
            </w:r>
          </w:p>
        </w:tc>
        <w:tc>
          <w:tcPr>
            <w:tcW w:type="dxa" w:w="3120"/>
          </w:tcPr>
          <w:p>
            <w:r>
              <w:t>File I/O</w:t>
              <w:br/>
              <w:t>Validation</w:t>
              <w:br/>
              <w:t>Error Handling</w:t>
            </w:r>
          </w:p>
        </w:tc>
        <w:tc>
          <w:tcPr>
            <w:tcW w:type="dxa" w:w="3120"/>
          </w:tcPr>
          <w:p>
            <w:r>
              <w:t>System services, logging, exception management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Figure 1: QMRA Toolkit System Architecture - Layered Design</w:t>
      </w:r>
    </w:p>
    <w:p/>
    <w:p>
      <w:pPr>
        <w:pStyle w:val="Heading2"/>
      </w:pPr>
      <w:r>
        <w:t>Data Flow Workflow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70AD47"/>
          </w:tcPr>
          <w:p>
            <w:r>
              <w:rPr>
                <w:b/>
                <w:color w:val="FFFFFF"/>
              </w:rPr>
              <w:t>Step</w:t>
            </w:r>
          </w:p>
        </w:tc>
        <w:tc>
          <w:tcPr>
            <w:tcW w:type="dxa" w:w="3120"/>
            <w:shd w:fill="70AD47"/>
          </w:tcPr>
          <w:p>
            <w:r>
              <w:rPr>
                <w:b/>
                <w:color w:val="FFFFFF"/>
              </w:rPr>
              <w:t>Process</w:t>
            </w:r>
          </w:p>
        </w:tc>
        <w:tc>
          <w:tcPr>
            <w:tcW w:type="dxa" w:w="3120"/>
            <w:shd w:fill="70AD47"/>
          </w:tcPr>
          <w:p>
            <w:r>
              <w:rPr>
                <w:b/>
                <w:color w:val="FFFFFF"/>
              </w:rPr>
              <w:t>Output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type="dxa" w:w="3120"/>
          </w:tcPr>
          <w:p>
            <w:r>
              <w:t>Load Pathogen Data</w:t>
            </w:r>
          </w:p>
        </w:tc>
        <w:tc>
          <w:tcPr>
            <w:tcW w:type="dxa" w:w="3120"/>
          </w:tcPr>
          <w:p>
            <w:r>
              <w:t>Concentration statistics (mean, P95, distribution)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type="dxa" w:w="3120"/>
          </w:tcPr>
          <w:p>
            <w:r>
              <w:t>Apply Treatment Train</w:t>
            </w:r>
          </w:p>
        </w:tc>
        <w:tc>
          <w:tcPr>
            <w:tcW w:type="dxa" w:w="3120"/>
          </w:tcPr>
          <w:p>
            <w:r>
              <w:t>Post-treatment concentration with uncertainty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type="dxa" w:w="3120"/>
          </w:tcPr>
          <w:p>
            <w:r>
              <w:t>Apply Dilution</w:t>
            </w:r>
          </w:p>
        </w:tc>
        <w:tc>
          <w:tcPr>
            <w:tcW w:type="dxa" w:w="3120"/>
          </w:tcPr>
          <w:p>
            <w:r>
              <w:t>Environmental concentration at exposure point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type="dxa" w:w="3120"/>
          </w:tcPr>
          <w:p>
            <w:r>
              <w:t>Calculate Dose</w:t>
            </w:r>
          </w:p>
        </w:tc>
        <w:tc>
          <w:tcPr>
            <w:tcW w:type="dxa" w:w="3120"/>
          </w:tcPr>
          <w:p>
            <w:r>
              <w:t>Ingested dose per exposure event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type="dxa" w:w="3120"/>
          </w:tcPr>
          <w:p>
            <w:r>
              <w:t>Dose-Response Model</w:t>
            </w:r>
          </w:p>
        </w:tc>
        <w:tc>
          <w:tcPr>
            <w:tcW w:type="dxa" w:w="3120"/>
          </w:tcPr>
          <w:p>
            <w:r>
              <w:t>Infection probability distribution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type="dxa" w:w="3120"/>
          </w:tcPr>
          <w:p>
            <w:r>
              <w:t>Health Impact</w:t>
            </w:r>
          </w:p>
        </w:tc>
        <w:tc>
          <w:tcPr>
            <w:tcW w:type="dxa" w:w="3120"/>
          </w:tcPr>
          <w:p>
            <w:r>
              <w:t>Illness risk, DALYs, disease burden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7</w:t>
            </w:r>
          </w:p>
        </w:tc>
        <w:tc>
          <w:tcPr>
            <w:tcW w:type="dxa" w:w="3120"/>
          </w:tcPr>
          <w:p>
            <w:r>
              <w:t>Risk Characterization</w:t>
            </w:r>
          </w:p>
        </w:tc>
        <w:tc>
          <w:tcPr>
            <w:tcW w:type="dxa" w:w="3120"/>
          </w:tcPr>
          <w:p>
            <w:r>
              <w:t>Annual risk, population impact, compliance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Figure 2: QMRA Workflow - Data Processing Pipeline</w:t>
      </w:r>
    </w:p>
    <w:p>
      <w:r>
        <w:br w:type="page"/>
      </w:r>
    </w:p>
    <w:p>
      <w:pPr>
        <w:pStyle w:val="Heading1"/>
      </w:pPr>
      <w:r>
        <w:t>Getting Started: Complete Setup Guide</w:t>
      </w:r>
    </w:p>
    <w:p>
      <w:pPr>
        <w:pStyle w:val="Heading2"/>
      </w:pPr>
      <w:r>
        <w:t>Prerequisites Checklist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FFC000"/>
          </w:tcPr>
          <w:p>
            <w:r>
              <w:rPr>
                <w:b/>
              </w:rPr>
              <w:t>Requirement</w:t>
            </w:r>
          </w:p>
        </w:tc>
        <w:tc>
          <w:tcPr>
            <w:tcW w:type="dxa" w:w="3120"/>
            <w:shd w:fill="FFC000"/>
          </w:tcPr>
          <w:p>
            <w:r>
              <w:rPr>
                <w:b/>
              </w:rPr>
              <w:t>Minimum Specification</w:t>
            </w:r>
          </w:p>
        </w:tc>
        <w:tc>
          <w:tcPr>
            <w:tcW w:type="dxa" w:w="3120"/>
            <w:shd w:fill="FFC000"/>
          </w:tcPr>
          <w:p>
            <w:r>
              <w:rPr>
                <w:b/>
              </w:rPr>
              <w:t>Verification Command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Python</w:t>
            </w:r>
          </w:p>
        </w:tc>
        <w:tc>
          <w:tcPr>
            <w:tcW w:type="dxa" w:w="3120"/>
          </w:tcPr>
          <w:p>
            <w:r>
              <w:t>3.11 or higher</w:t>
            </w:r>
          </w:p>
        </w:tc>
        <w:tc>
          <w:tcPr>
            <w:tcW w:type="dxa" w:w="3120"/>
          </w:tcPr>
          <w:p>
            <w:r>
              <w:t>python --version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pip</w:t>
            </w:r>
          </w:p>
        </w:tc>
        <w:tc>
          <w:tcPr>
            <w:tcW w:type="dxa" w:w="3120"/>
          </w:tcPr>
          <w:p>
            <w:r>
              <w:t>Latest version</w:t>
            </w:r>
          </w:p>
        </w:tc>
        <w:tc>
          <w:tcPr>
            <w:tcW w:type="dxa" w:w="3120"/>
          </w:tcPr>
          <w:p>
            <w:r>
              <w:t>pip --version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pandas</w:t>
            </w:r>
          </w:p>
        </w:tc>
        <w:tc>
          <w:tcPr>
            <w:tcW w:type="dxa" w:w="3120"/>
          </w:tcPr>
          <w:p>
            <w:r>
              <w:t>2.0+</w:t>
            </w:r>
          </w:p>
        </w:tc>
        <w:tc>
          <w:tcPr>
            <w:tcW w:type="dxa" w:w="3120"/>
          </w:tcPr>
          <w:p>
            <w:r>
              <w:t>pip show pandas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scipy</w:t>
            </w:r>
          </w:p>
        </w:tc>
        <w:tc>
          <w:tcPr>
            <w:tcW w:type="dxa" w:w="3120"/>
          </w:tcPr>
          <w:p>
            <w:r>
              <w:t>1.11+</w:t>
            </w:r>
          </w:p>
        </w:tc>
        <w:tc>
          <w:tcPr>
            <w:tcW w:type="dxa" w:w="3120"/>
          </w:tcPr>
          <w:p>
            <w:r>
              <w:t>pip show scipy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streamlit</w:t>
            </w:r>
          </w:p>
        </w:tc>
        <w:tc>
          <w:tcPr>
            <w:tcW w:type="dxa" w:w="3120"/>
          </w:tcPr>
          <w:p>
            <w:r>
              <w:t>1.28+</w:t>
            </w:r>
          </w:p>
        </w:tc>
        <w:tc>
          <w:tcPr>
            <w:tcW w:type="dxa" w:w="3120"/>
          </w:tcPr>
          <w:p>
            <w:r>
              <w:t>streamlit version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Memory</w:t>
            </w:r>
          </w:p>
        </w:tc>
        <w:tc>
          <w:tcPr>
            <w:tcW w:type="dxa" w:w="3120"/>
          </w:tcPr>
          <w:p>
            <w:r>
              <w:t>4GB RAM minimum</w:t>
            </w:r>
          </w:p>
        </w:tc>
        <w:tc>
          <w:tcPr>
            <w:tcW w:type="dxa" w:w="3120"/>
          </w:tcPr>
          <w:p>
            <w:r>
              <w:t>System Information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Table 2: System Requirements and Verification</w:t>
      </w:r>
    </w:p>
    <w:p>
      <w:pPr>
        <w:pStyle w:val="Heading2"/>
      </w:pPr>
      <w:r>
        <w:t>Installation Steps - Detailed Guide</w:t>
      </w:r>
    </w:p>
    <w:p/>
    <w:p>
      <w:r>
        <w:rPr>
          <w:b/>
        </w:rPr>
        <w:t>Step 1: Download or Clone Repository</w:t>
      </w:r>
      <w:r>
        <w:br/>
      </w:r>
    </w:p>
    <w:p>
      <w:pPr>
        <w:spacing w:after="60"/>
        <w:ind w:left="720"/>
      </w:pPr>
      <w:r>
        <w:t>• Navigate to project location</w:t>
      </w:r>
    </w:p>
    <w:p>
      <w:pPr>
        <w:spacing w:after="60"/>
        <w:ind w:left="720"/>
      </w:pPr>
      <w:r>
        <w:t>• If using Git: git clone [repository-url]</w:t>
      </w:r>
    </w:p>
    <w:p>
      <w:pPr>
        <w:spacing w:after="60"/>
        <w:ind w:left="720"/>
      </w:pPr>
      <w:r>
        <w:t>• If using download: Extract ZIP to desired location</w:t>
      </w:r>
    </w:p>
    <w:p>
      <w:pPr>
        <w:spacing w:after="200"/>
        <w:ind w:left="720"/>
        <w:shd w:fill="E7F4E4"/>
      </w:pPr>
      <w:r>
        <w:rPr>
          <w:b/>
        </w:rPr>
        <w:t xml:space="preserve">Expected Result: </w:t>
      </w:r>
      <w:r>
        <w:t>You should see the main project folder with qmra_toolkit/ subdirectory</w:t>
      </w:r>
    </w:p>
    <w:p/>
    <w:p>
      <w:r>
        <w:rPr>
          <w:b/>
        </w:rPr>
        <w:t>Step 2: Open Command Prompt/Terminal</w:t>
      </w:r>
      <w:r>
        <w:br/>
      </w:r>
    </w:p>
    <w:p>
      <w:pPr>
        <w:spacing w:after="60"/>
        <w:ind w:left="720"/>
      </w:pPr>
      <w:r>
        <w:t>• Windows: Press Win+R, type 'cmd', press Enter</w:t>
      </w:r>
    </w:p>
    <w:p>
      <w:pPr>
        <w:spacing w:after="60"/>
        <w:ind w:left="720"/>
      </w:pPr>
      <w:r>
        <w:t>• Mac/Linux: Open Terminal application</w:t>
      </w:r>
    </w:p>
    <w:p>
      <w:pPr>
        <w:spacing w:after="60"/>
        <w:ind w:left="720"/>
      </w:pPr>
      <w:r>
        <w:t>• Navigate to project directory: cd path/to/project</w:t>
      </w:r>
    </w:p>
    <w:p>
      <w:pPr>
        <w:spacing w:after="200"/>
        <w:ind w:left="720"/>
        <w:shd w:fill="E7F4E4"/>
      </w:pPr>
      <w:r>
        <w:rPr>
          <w:b/>
        </w:rPr>
        <w:t xml:space="preserve">Expected Result: </w:t>
      </w:r>
      <w:r>
        <w:t>Command prompt should show project directory path</w:t>
      </w:r>
    </w:p>
    <w:p/>
    <w:p>
      <w:r>
        <w:rPr>
          <w:b/>
        </w:rPr>
        <w:t>Step 3: Install Dependencies</w:t>
      </w:r>
      <w:r>
        <w:br/>
      </w:r>
    </w:p>
    <w:p>
      <w:pPr>
        <w:spacing w:after="60"/>
        <w:ind w:left="720"/>
      </w:pPr>
      <w:r>
        <w:t>• Run: pip install -r requirements.txt</w:t>
      </w:r>
    </w:p>
    <w:p>
      <w:pPr>
        <w:spacing w:after="60"/>
        <w:ind w:left="720"/>
      </w:pPr>
      <w:r>
        <w:t>• Wait for installation to complete (2-5 minutes)</w:t>
      </w:r>
    </w:p>
    <w:p>
      <w:pPr>
        <w:spacing w:after="60"/>
        <w:ind w:left="720"/>
      </w:pPr>
      <w:r>
        <w:t>• Watch for any error messages</w:t>
      </w:r>
    </w:p>
    <w:p>
      <w:pPr>
        <w:spacing w:after="200"/>
        <w:ind w:left="720"/>
        <w:shd w:fill="E7F4E4"/>
      </w:pPr>
      <w:r>
        <w:rPr>
          <w:b/>
        </w:rPr>
        <w:t xml:space="preserve">Expected Result: </w:t>
      </w:r>
      <w:r>
        <w:t>You should see 'Successfully installed' messages</w:t>
      </w:r>
    </w:p>
    <w:p/>
    <w:p>
      <w:r>
        <w:rPr>
          <w:b/>
        </w:rPr>
        <w:t>Step 4: Verify Installation</w:t>
      </w:r>
      <w:r>
        <w:br/>
      </w:r>
    </w:p>
    <w:p>
      <w:pPr>
        <w:spacing w:after="60"/>
        <w:ind w:left="720"/>
      </w:pPr>
      <w:r>
        <w:t>• Run: python -c "from qmra_toolkit.src import pathogen_database; print('OK')"</w:t>
      </w:r>
    </w:p>
    <w:p>
      <w:pPr>
        <w:spacing w:after="60"/>
        <w:ind w:left="720"/>
      </w:pPr>
      <w:r>
        <w:t>• You should see 'OK' printed</w:t>
      </w:r>
    </w:p>
    <w:p>
      <w:pPr>
        <w:spacing w:after="60"/>
        <w:ind w:left="720"/>
      </w:pPr>
      <w:r>
        <w:t>• If errors occur, check Python version and dependencies</w:t>
      </w:r>
    </w:p>
    <w:p>
      <w:pPr>
        <w:spacing w:after="200"/>
        <w:ind w:left="720"/>
        <w:shd w:fill="E7F4E4"/>
      </w:pPr>
      <w:r>
        <w:rPr>
          <w:b/>
        </w:rPr>
        <w:t xml:space="preserve">Expected Result: </w:t>
      </w:r>
      <w:r>
        <w:t>Installation is complete when test imports succeed</w:t>
      </w:r>
    </w:p>
    <w:p/>
    <w:p>
      <w:r>
        <w:rPr>
          <w:b/>
        </w:rPr>
        <w:t>Step 5: Launch Application</w:t>
      </w:r>
      <w:r>
        <w:br/>
      </w:r>
    </w:p>
    <w:p>
      <w:pPr>
        <w:spacing w:after="60"/>
        <w:ind w:left="720"/>
      </w:pPr>
      <w:r>
        <w:t>• For Web App: streamlit run qmra_toolkit/web_app.py</w:t>
      </w:r>
    </w:p>
    <w:p>
      <w:pPr>
        <w:spacing w:after="60"/>
        <w:ind w:left="720"/>
      </w:pPr>
      <w:r>
        <w:t>• For Desktop GUI: python qmra_toolkit/launch_enhanced_gui.py</w:t>
      </w:r>
    </w:p>
    <w:p>
      <w:pPr>
        <w:spacing w:after="60"/>
        <w:ind w:left="720"/>
      </w:pPr>
      <w:r>
        <w:t>• Browser should open automatically (web app only)</w:t>
      </w:r>
    </w:p>
    <w:p>
      <w:pPr>
        <w:spacing w:after="200"/>
        <w:ind w:left="720"/>
        <w:shd w:fill="E7F4E4"/>
      </w:pPr>
      <w:r>
        <w:rPr>
          <w:b/>
        </w:rPr>
        <w:t xml:space="preserve">Expected Result: </w:t>
      </w:r>
      <w:r>
        <w:t>Application interface loads successfully</w:t>
      </w:r>
    </w:p>
    <w:p>
      <w:r>
        <w:br w:type="page"/>
      </w:r>
    </w:p>
    <w:p>
      <w:pPr>
        <w:pStyle w:val="Heading1"/>
      </w:pPr>
      <w:r>
        <w:t>Web Application: Complete User Guide</w:t>
      </w:r>
    </w:p>
    <w:p>
      <w:pPr>
        <w:pStyle w:val="Heading2"/>
      </w:pPr>
      <w:r>
        <w:t>Interface Overview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shd w:fill="4472C4"/>
          </w:tcPr>
          <w:p>
            <w:r>
              <w:rPr>
                <w:b/>
                <w:color w:val="FFFFFF"/>
              </w:rPr>
              <w:t>Interface Element</w:t>
            </w:r>
          </w:p>
        </w:tc>
        <w:tc>
          <w:tcPr>
            <w:tcW w:type="dxa" w:w="2340"/>
            <w:shd w:fill="4472C4"/>
          </w:tcPr>
          <w:p>
            <w:r>
              <w:rPr>
                <w:b/>
                <w:color w:val="FFFFFF"/>
              </w:rPr>
              <w:t>Location</w:t>
            </w:r>
          </w:p>
        </w:tc>
        <w:tc>
          <w:tcPr>
            <w:tcW w:type="dxa" w:w="2340"/>
            <w:shd w:fill="4472C4"/>
          </w:tcPr>
          <w:p>
            <w:r>
              <w:rPr>
                <w:b/>
                <w:color w:val="FFFFFF"/>
              </w:rPr>
              <w:t>Purpose</w:t>
            </w:r>
          </w:p>
        </w:tc>
        <w:tc>
          <w:tcPr>
            <w:tcW w:type="dxa" w:w="2340"/>
            <w:shd w:fill="4472C4"/>
          </w:tcPr>
          <w:p>
            <w:r>
              <w:rPr>
                <w:b/>
                <w:color w:val="FFFFFF"/>
              </w:rPr>
              <w:t>Key Features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Sidebar Menu</w:t>
            </w:r>
          </w:p>
        </w:tc>
        <w:tc>
          <w:tcPr>
            <w:tcW w:type="dxa" w:w="2340"/>
          </w:tcPr>
          <w:p>
            <w:r>
              <w:t>Left panel</w:t>
            </w:r>
          </w:p>
        </w:tc>
        <w:tc>
          <w:tcPr>
            <w:tcW w:type="dxa" w:w="2340"/>
          </w:tcPr>
          <w:p>
            <w:r>
              <w:t>Navigation &amp; settings</w:t>
            </w:r>
          </w:p>
        </w:tc>
        <w:tc>
          <w:tcPr>
            <w:tcW w:type="dxa" w:w="2340"/>
          </w:tcPr>
          <w:p>
            <w:r>
              <w:t>Assessment mode selection, settings, help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Main Panel</w:t>
            </w:r>
          </w:p>
        </w:tc>
        <w:tc>
          <w:tcPr>
            <w:tcW w:type="dxa" w:w="2340"/>
          </w:tcPr>
          <w:p>
            <w:r>
              <w:t>Center area</w:t>
            </w:r>
          </w:p>
        </w:tc>
        <w:tc>
          <w:tcPr>
            <w:tcW w:type="dxa" w:w="2340"/>
          </w:tcPr>
          <w:p>
            <w:r>
              <w:t>Primary workspace</w:t>
            </w:r>
          </w:p>
        </w:tc>
        <w:tc>
          <w:tcPr>
            <w:tcW w:type="dxa" w:w="2340"/>
          </w:tcPr>
          <w:p>
            <w:r>
              <w:t>Input forms, results display, visualizations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File Upload Area</w:t>
            </w:r>
          </w:p>
        </w:tc>
        <w:tc>
          <w:tcPr>
            <w:tcW w:type="dxa" w:w="2340"/>
          </w:tcPr>
          <w:p>
            <w:r>
              <w:t>Top of main panel</w:t>
            </w:r>
          </w:p>
        </w:tc>
        <w:tc>
          <w:tcPr>
            <w:tcW w:type="dxa" w:w="2340"/>
          </w:tcPr>
          <w:p>
            <w:r>
              <w:t>Data import</w:t>
            </w:r>
          </w:p>
        </w:tc>
        <w:tc>
          <w:tcPr>
            <w:tcW w:type="dxa" w:w="2340"/>
          </w:tcPr>
          <w:p>
            <w:r>
              <w:t>Drag-drop support, file validation, preview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Parameter Forms</w:t>
            </w:r>
          </w:p>
        </w:tc>
        <w:tc>
          <w:tcPr>
            <w:tcW w:type="dxa" w:w="2340"/>
          </w:tcPr>
          <w:p>
            <w:r>
              <w:t>Main panel</w:t>
            </w:r>
          </w:p>
        </w:tc>
        <w:tc>
          <w:tcPr>
            <w:tcW w:type="dxa" w:w="2340"/>
          </w:tcPr>
          <w:p>
            <w:r>
              <w:t>Input configuration</w:t>
            </w:r>
          </w:p>
        </w:tc>
        <w:tc>
          <w:tcPr>
            <w:tcW w:type="dxa" w:w="2340"/>
          </w:tcPr>
          <w:p>
            <w:r>
              <w:t>Auto-validation, tooltips, example values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Run Button</w:t>
            </w:r>
          </w:p>
        </w:tc>
        <w:tc>
          <w:tcPr>
            <w:tcW w:type="dxa" w:w="2340"/>
          </w:tcPr>
          <w:p>
            <w:r>
              <w:t>Bottom of form</w:t>
            </w:r>
          </w:p>
        </w:tc>
        <w:tc>
          <w:tcPr>
            <w:tcW w:type="dxa" w:w="2340"/>
          </w:tcPr>
          <w:p>
            <w:r>
              <w:t>Execute assessment</w:t>
            </w:r>
          </w:p>
        </w:tc>
        <w:tc>
          <w:tcPr>
            <w:tcW w:type="dxa" w:w="2340"/>
          </w:tcPr>
          <w:p>
            <w:r>
              <w:t>Progress bar, status updates, error handling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Results Display</w:t>
            </w:r>
          </w:p>
        </w:tc>
        <w:tc>
          <w:tcPr>
            <w:tcW w:type="dxa" w:w="2340"/>
          </w:tcPr>
          <w:p>
            <w:r>
              <w:t>Below run button</w:t>
            </w:r>
          </w:p>
        </w:tc>
        <w:tc>
          <w:tcPr>
            <w:tcW w:type="dxa" w:w="2340"/>
          </w:tcPr>
          <w:p>
            <w:r>
              <w:t>Risk metrics</w:t>
            </w:r>
          </w:p>
        </w:tc>
        <w:tc>
          <w:tcPr>
            <w:tcW w:type="dxa" w:w="2340"/>
          </w:tcPr>
          <w:p>
            <w:r>
              <w:t>Tables, statistics, compliance status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Visualization Panel</w:t>
            </w:r>
          </w:p>
        </w:tc>
        <w:tc>
          <w:tcPr>
            <w:tcW w:type="dxa" w:w="2340"/>
          </w:tcPr>
          <w:p>
            <w:r>
              <w:t>Below results</w:t>
            </w:r>
          </w:p>
        </w:tc>
        <w:tc>
          <w:tcPr>
            <w:tcW w:type="dxa" w:w="2340"/>
          </w:tcPr>
          <w:p>
            <w:r>
              <w:t>Charts &amp; graphs</w:t>
            </w:r>
          </w:p>
        </w:tc>
        <w:tc>
          <w:tcPr>
            <w:tcW w:type="dxa" w:w="2340"/>
          </w:tcPr>
          <w:p>
            <w:r>
              <w:t>Interactive plots, download options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Export Options</w:t>
            </w:r>
          </w:p>
        </w:tc>
        <w:tc>
          <w:tcPr>
            <w:tcW w:type="dxa" w:w="2340"/>
          </w:tcPr>
          <w:p>
            <w:r>
              <w:t>Bottom right</w:t>
            </w:r>
          </w:p>
        </w:tc>
        <w:tc>
          <w:tcPr>
            <w:tcW w:type="dxa" w:w="2340"/>
          </w:tcPr>
          <w:p>
            <w:r>
              <w:t>Data export</w:t>
            </w:r>
          </w:p>
        </w:tc>
        <w:tc>
          <w:tcPr>
            <w:tcW w:type="dxa" w:w="2340"/>
          </w:tcPr>
          <w:p>
            <w:r>
              <w:t>CSV, Excel, PDF, Word formats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Table 3: Web Application Interface Elements - Detailed Overview</w:t>
      </w:r>
    </w:p>
    <w:p>
      <w:r>
        <w:br w:type="page"/>
      </w:r>
    </w:p>
    <w:p>
      <w:pPr>
        <w:pStyle w:val="Heading1"/>
      </w:pPr>
      <w:r>
        <w:t>Step-by-Step Demonstration Scenarios</w:t>
      </w:r>
    </w:p>
    <w:p>
      <w:r>
        <w:t>This section provides three complete, real-world demonstration scenarios with detailed step-by-step instructions, expected screenshots, and interpretation guidance. Follow each scenario to gain hands-on experience with the toolkit.</w:t>
      </w:r>
    </w:p>
    <w:p>
      <w:pPr>
        <w:pStyle w:val="Heading2"/>
      </w:pPr>
      <w:r>
        <w:t>Scenario 1: Beach Swimming Risk Assessment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70AD47"/>
          </w:tcPr>
          <w:p>
            <w:r>
              <w:rPr>
                <w:b/>
                <w:color w:val="FFFFFF"/>
              </w:rPr>
              <w:t>Parameter</w:t>
            </w:r>
          </w:p>
        </w:tc>
        <w:tc>
          <w:tcPr>
            <w:tcW w:type="dxa" w:w="4680"/>
            <w:shd w:fill="70AD47"/>
          </w:tcPr>
          <w:p>
            <w:r>
              <w:rPr>
                <w:b/>
                <w:color w:val="FFFFFF"/>
              </w:rPr>
              <w:t>Value / Description</w:t>
            </w:r>
          </w:p>
        </w:tc>
      </w:tr>
      <w:tr>
        <w:tc>
          <w:tcPr>
            <w:tcW w:type="dxa" w:w="4680"/>
            <w:shd w:fill="F2F2F2"/>
          </w:tcPr>
          <w:p>
            <w:r>
              <w:rPr>
                <w:b/>
              </w:rPr>
              <w:t>Scenario Name</w:t>
            </w:r>
          </w:p>
        </w:tc>
        <w:tc>
          <w:tcPr>
            <w:tcW w:type="dxa" w:w="4680"/>
          </w:tcPr>
          <w:p>
            <w:r>
              <w:t>Recreational Swimming at Takapuna Beach</w:t>
            </w:r>
          </w:p>
        </w:tc>
      </w:tr>
      <w:tr>
        <w:tc>
          <w:tcPr>
            <w:tcW w:type="dxa" w:w="4680"/>
            <w:shd w:fill="F2F2F2"/>
          </w:tcPr>
          <w:p>
            <w:r>
              <w:rPr>
                <w:b/>
              </w:rPr>
              <w:t>Pathogen of Concern</w:t>
            </w:r>
          </w:p>
        </w:tc>
        <w:tc>
          <w:tcPr>
            <w:tcW w:type="dxa" w:w="4680"/>
          </w:tcPr>
          <w:p>
            <w:r>
              <w:t>Norovirus GII</w:t>
            </w:r>
          </w:p>
        </w:tc>
      </w:tr>
      <w:tr>
        <w:tc>
          <w:tcPr>
            <w:tcW w:type="dxa" w:w="4680"/>
            <w:shd w:fill="F2F2F2"/>
          </w:tcPr>
          <w:p>
            <w:r>
              <w:rPr>
                <w:b/>
              </w:rPr>
              <w:t>Source</w:t>
            </w:r>
          </w:p>
        </w:tc>
        <w:tc>
          <w:tcPr>
            <w:tcW w:type="dxa" w:w="4680"/>
          </w:tcPr>
          <w:p>
            <w:r>
              <w:t>Municipal wastewater outfall, secondary treatment</w:t>
            </w:r>
          </w:p>
        </w:tc>
      </w:tr>
      <w:tr>
        <w:tc>
          <w:tcPr>
            <w:tcW w:type="dxa" w:w="4680"/>
            <w:shd w:fill="F2F2F2"/>
          </w:tcPr>
          <w:p>
            <w:r>
              <w:rPr>
                <w:b/>
              </w:rPr>
              <w:t>Distance to Beach</w:t>
            </w:r>
          </w:p>
        </w:tc>
        <w:tc>
          <w:tcPr>
            <w:tcW w:type="dxa" w:w="4680"/>
          </w:tcPr>
          <w:p>
            <w:r>
              <w:t>100 meters from discharge point</w:t>
            </w:r>
          </w:p>
        </w:tc>
      </w:tr>
      <w:tr>
        <w:tc>
          <w:tcPr>
            <w:tcW w:type="dxa" w:w="4680"/>
            <w:shd w:fill="F2F2F2"/>
          </w:tcPr>
          <w:p>
            <w:r>
              <w:rPr>
                <w:b/>
              </w:rPr>
              <w:t>Treatment</w:t>
            </w:r>
          </w:p>
        </w:tc>
        <w:tc>
          <w:tcPr>
            <w:tcW w:type="dxa" w:w="4680"/>
          </w:tcPr>
          <w:p>
            <w:r>
              <w:t>Activated sludge (LRV 3.0)</w:t>
            </w:r>
          </w:p>
        </w:tc>
      </w:tr>
      <w:tr>
        <w:tc>
          <w:tcPr>
            <w:tcW w:type="dxa" w:w="4680"/>
            <w:shd w:fill="F2F2F2"/>
          </w:tcPr>
          <w:p>
            <w:r>
              <w:rPr>
                <w:b/>
              </w:rPr>
              <w:t>Dilution</w:t>
            </w:r>
          </w:p>
        </w:tc>
        <w:tc>
          <w:tcPr>
            <w:tcW w:type="dxa" w:w="4680"/>
          </w:tcPr>
          <w:p>
            <w:r>
              <w:t>Hydrodynamic modeling, median 13.6x</w:t>
            </w:r>
          </w:p>
        </w:tc>
      </w:tr>
      <w:tr>
        <w:tc>
          <w:tcPr>
            <w:tcW w:type="dxa" w:w="4680"/>
            <w:shd w:fill="F2F2F2"/>
          </w:tcPr>
          <w:p>
            <w:r>
              <w:rPr>
                <w:b/>
              </w:rPr>
              <w:t>Population</w:t>
            </w:r>
          </w:p>
        </w:tc>
        <w:tc>
          <w:tcPr>
            <w:tcW w:type="dxa" w:w="4680"/>
          </w:tcPr>
          <w:p>
            <w:r>
              <w:t>10,000 summer swimmers</w:t>
            </w:r>
          </w:p>
        </w:tc>
      </w:tr>
      <w:tr>
        <w:tc>
          <w:tcPr>
            <w:tcW w:type="dxa" w:w="4680"/>
            <w:shd w:fill="F2F2F2"/>
          </w:tcPr>
          <w:p>
            <w:r>
              <w:rPr>
                <w:b/>
              </w:rPr>
              <w:t>Regulatory Threshold</w:t>
            </w:r>
          </w:p>
        </w:tc>
        <w:tc>
          <w:tcPr>
            <w:tcW w:type="dxa" w:w="4680"/>
          </w:tcPr>
          <w:p>
            <w:r>
              <w:t>≤ 1×10⁻³ per exposure (WHO 2003)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Table 4: Scenario 1 Parameters - Beach Swimming Assessment</w:t>
      </w:r>
    </w:p>
    <w:p>
      <w:pPr>
        <w:pStyle w:val="Heading3"/>
      </w:pPr>
      <w:r>
        <w:t>Detailed Steps</w:t>
      </w:r>
    </w:p>
    <w:p/>
    <w:p>
      <w:pPr>
        <w:spacing w:before="240" w:after="120"/>
      </w:pPr>
      <w:r>
        <w:rPr>
          <w:b/>
        </w:rPr>
        <w:t>Step 1: Launch Web Application and Select Assessment Mode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Open command prompt/terminal in project directory</w:t>
      </w:r>
    </w:p>
    <w:p>
      <w:pPr>
        <w:spacing w:after="40"/>
        <w:ind w:left="720"/>
      </w:pPr>
      <w:r>
        <w:t>□ Execute: streamlit run qmra_toolkit/web_app.py</w:t>
      </w:r>
    </w:p>
    <w:p>
      <w:pPr>
        <w:spacing w:after="40"/>
        <w:ind w:left="720"/>
      </w:pPr>
      <w:r>
        <w:t>□ Wait for browser to open (typically 5-10 seconds)</w:t>
      </w:r>
    </w:p>
    <w:p>
      <w:pPr>
        <w:spacing w:after="40"/>
        <w:ind w:left="720"/>
      </w:pPr>
      <w:r>
        <w:t>□ In the sidebar, click 'Quick Assessment' mode</w:t>
      </w:r>
    </w:p>
    <w:p>
      <w:pPr>
        <w:spacing w:after="40"/>
        <w:ind w:left="720"/>
      </w:pPr>
      <w:r>
        <w:t>□ Verify that the main panel shows 'Quick Assessment' heading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You should see the Streamlit interface with sidebar navigation on the left and main form in center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If browser doesn't open, manually navigate to http://localhost:8501</w:t>
      </w:r>
    </w:p>
    <w:p/>
    <w:p>
      <w:pPr>
        <w:spacing w:before="240" w:after="120"/>
      </w:pPr>
      <w:r>
        <w:rPr>
          <w:b/>
        </w:rPr>
        <w:t>Step 2: Upload Pathogen Concentration Data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Locate the 'Data Upload' section at top of main panel</w:t>
      </w:r>
    </w:p>
    <w:p>
      <w:pPr>
        <w:spacing w:after="40"/>
        <w:ind w:left="720"/>
      </w:pPr>
      <w:r>
        <w:t>□ Click 'Browse files' button</w:t>
      </w:r>
    </w:p>
    <w:p>
      <w:pPr>
        <w:spacing w:after="40"/>
        <w:ind w:left="720"/>
      </w:pPr>
      <w:r>
        <w:t>□ Navigate to: qmra_toolkit/test_data/pathogen_concentrations/</w:t>
      </w:r>
    </w:p>
    <w:p>
      <w:pPr>
        <w:spacing w:after="40"/>
        <w:ind w:left="720"/>
      </w:pPr>
      <w:r>
        <w:t>□ Select file: treated_effluent_pathogens_2024.csv</w:t>
      </w:r>
    </w:p>
    <w:p>
      <w:pPr>
        <w:spacing w:after="40"/>
        <w:ind w:left="720"/>
      </w:pPr>
      <w:r>
        <w:t>□ Click 'Open' to upload</w:t>
      </w:r>
    </w:p>
    <w:p>
      <w:pPr>
        <w:spacing w:after="40"/>
        <w:ind w:left="720"/>
      </w:pPr>
      <w:r>
        <w:t>□ Wait for upload progress bar to complete</w:t>
      </w:r>
    </w:p>
    <w:p>
      <w:pPr>
        <w:spacing w:after="40"/>
        <w:ind w:left="720"/>
      </w:pPr>
      <w:r>
        <w:t>□ Review the data preview table that appears below upload button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Data preview table shows columns: Sample_Date, Sample_Type, Norovirus_copies_per_L, E_coli_MPN_per_100mL, QC_Flag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If upload fails, check file exists and is valid CSV format with correct column names</w:t>
      </w:r>
    </w:p>
    <w:p/>
    <w:p>
      <w:pPr>
        <w:spacing w:before="240" w:after="120"/>
      </w:pPr>
      <w:r>
        <w:rPr>
          <w:b/>
        </w:rPr>
        <w:t>Step 3: Configure Pathogen Parameters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In 'Pathogen Selection' section, open dropdown menu</w:t>
      </w:r>
    </w:p>
    <w:p>
      <w:pPr>
        <w:spacing w:after="40"/>
        <w:ind w:left="720"/>
      </w:pPr>
      <w:r>
        <w:t>□ Select 'Norovirus' from list</w:t>
      </w:r>
    </w:p>
    <w:p>
      <w:pPr>
        <w:spacing w:after="40"/>
        <w:ind w:left="720"/>
      </w:pPr>
      <w:r>
        <w:t>□ Observe that dose-response model auto-populates (Beta-Poisson)</w:t>
      </w:r>
    </w:p>
    <w:p>
      <w:pPr>
        <w:spacing w:after="40"/>
        <w:ind w:left="720"/>
      </w:pPr>
      <w:r>
        <w:t>□ In 'Concentration' field, select 'Use mean from uploaded data'</w:t>
      </w:r>
    </w:p>
    <w:p>
      <w:pPr>
        <w:spacing w:after="40"/>
        <w:ind w:left="720"/>
      </w:pPr>
      <w:r>
        <w:t>□ Verify calculated mean appears: ~1,542 copies/L</w:t>
      </w:r>
    </w:p>
    <w:p>
      <w:pPr>
        <w:spacing w:after="40"/>
        <w:ind w:left="720"/>
      </w:pPr>
      <w:r>
        <w:t>□ Leave dose-response parameters at default (peer-reviewed values)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Form shows Norovirus selected, Beta-Poisson model, mean concentration calculated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If mean doesn't calculate, check that CSV has Norovirus_copies_per_L column</w:t>
      </w:r>
    </w:p>
    <w:p/>
    <w:p>
      <w:pPr>
        <w:spacing w:before="240" w:after="120"/>
      </w:pPr>
      <w:r>
        <w:rPr>
          <w:b/>
        </w:rPr>
        <w:t>Step 4: Configure Treatment Parameters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Scroll to 'Treatment Configuration' section</w:t>
      </w:r>
    </w:p>
    <w:p>
      <w:pPr>
        <w:spacing w:after="40"/>
        <w:ind w:left="720"/>
      </w:pPr>
      <w:r>
        <w:t>□ Click 'Load Treatment Scenario' button</w:t>
      </w:r>
    </w:p>
    <w:p>
      <w:pPr>
        <w:spacing w:after="40"/>
        <w:ind w:left="720"/>
      </w:pPr>
      <w:r>
        <w:t>□ Navigate to: qmra_toolkit/test_data/treatment_scenarios/</w:t>
      </w:r>
    </w:p>
    <w:p>
      <w:pPr>
        <w:spacing w:after="40"/>
        <w:ind w:left="720"/>
      </w:pPr>
      <w:r>
        <w:t>□ Select: secondary_treatment.yaml</w:t>
      </w:r>
    </w:p>
    <w:p>
      <w:pPr>
        <w:spacing w:after="40"/>
        <w:ind w:left="720"/>
      </w:pPr>
      <w:r>
        <w:t>□ Review loaded treatment barriers (4 barriers displayed)</w:t>
      </w:r>
    </w:p>
    <w:p>
      <w:pPr>
        <w:spacing w:after="40"/>
        <w:ind w:left="720"/>
      </w:pPr>
      <w:r>
        <w:t>□ Verify total LRV shows 3.0</w:t>
      </w:r>
    </w:p>
    <w:p>
      <w:pPr>
        <w:spacing w:after="40"/>
        <w:ind w:left="720"/>
      </w:pPr>
      <w:r>
        <w:t>□ Calculated post-treatment concentration: 1.54×10³ copies/L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Treatment table shows: Screening (0.5), Activated Sludge (2.0), Clarification (0.3), Disinfection (0.2)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If YAML fails to load, check file format and required fields (name, lrv for each barrier)</w:t>
      </w:r>
    </w:p>
    <w:p/>
    <w:p>
      <w:pPr>
        <w:spacing w:before="240" w:after="120"/>
      </w:pPr>
      <w:r>
        <w:rPr>
          <w:b/>
        </w:rPr>
        <w:t>Step 5: Configure Dilution Parameters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Scroll to 'Dilution Modeling' section</w:t>
      </w:r>
    </w:p>
    <w:p>
      <w:pPr>
        <w:spacing w:after="40"/>
        <w:ind w:left="720"/>
      </w:pPr>
      <w:r>
        <w:t>□ Click 'Upload Dilution Data' button</w:t>
      </w:r>
    </w:p>
    <w:p>
      <w:pPr>
        <w:spacing w:after="40"/>
        <w:ind w:left="720"/>
      </w:pPr>
      <w:r>
        <w:t>□ Navigate to: qmra_toolkit/test_data/dilution_data/</w:t>
      </w:r>
    </w:p>
    <w:p>
      <w:pPr>
        <w:spacing w:after="40"/>
        <w:ind w:left="720"/>
      </w:pPr>
      <w:r>
        <w:t>□ Select: hydrodynamic_dilution_modeling_1000runs.csv</w:t>
      </w:r>
    </w:p>
    <w:p>
      <w:pPr>
        <w:spacing w:after="40"/>
        <w:ind w:left="720"/>
      </w:pPr>
      <w:r>
        <w:t>□ In 'Select Site' dropdown, choose 'Site_100m'</w:t>
      </w:r>
    </w:p>
    <w:p>
      <w:pPr>
        <w:spacing w:after="40"/>
        <w:ind w:left="720"/>
      </w:pPr>
      <w:r>
        <w:t>□ Review dilution statistics (median: 13.6x, range: 7.2x - 28.4x)</w:t>
      </w:r>
    </w:p>
    <w:p>
      <w:pPr>
        <w:spacing w:after="40"/>
        <w:ind w:left="720"/>
      </w:pPr>
      <w:r>
        <w:t>□ Final environmental concentration calculated: 113.2 copies/L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Dilution statistics box shows histogram of dilution factors and selected site statistics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Ensure CSV has columns: Site_Name, Dilution_Factor, Distance_m</w:t>
      </w:r>
    </w:p>
    <w:p/>
    <w:p>
      <w:pPr>
        <w:spacing w:before="240" w:after="120"/>
      </w:pPr>
      <w:r>
        <w:rPr>
          <w:b/>
        </w:rPr>
        <w:t>Step 6: Configure Exposure Parameters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Scroll to 'Exposure Parameters' section</w:t>
      </w:r>
    </w:p>
    <w:p>
      <w:pPr>
        <w:spacing w:after="40"/>
        <w:ind w:left="720"/>
      </w:pPr>
      <w:r>
        <w:t>□ Set 'Exposure Route': Primary Contact (Swimming)</w:t>
      </w:r>
    </w:p>
    <w:p>
      <w:pPr>
        <w:spacing w:after="40"/>
        <w:ind w:left="720"/>
      </w:pPr>
      <w:r>
        <w:t>□ Set 'Water Ingestion Volume': 50 mL per event</w:t>
      </w:r>
    </w:p>
    <w:p>
      <w:pPr>
        <w:spacing w:after="40"/>
        <w:ind w:left="720"/>
      </w:pPr>
      <w:r>
        <w:t>□ Set 'Exposure Frequency': 20 events per year</w:t>
      </w:r>
    </w:p>
    <w:p>
      <w:pPr>
        <w:spacing w:after="40"/>
        <w:ind w:left="720"/>
      </w:pPr>
      <w:r>
        <w:t>□ Set 'Population Size': 10,000 people</w:t>
      </w:r>
    </w:p>
    <w:p>
      <w:pPr>
        <w:spacing w:after="40"/>
        <w:ind w:left="720"/>
      </w:pPr>
      <w:r>
        <w:t>□ Review calculated dose: 5.66 organisms per swimming event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Exposure form shows all parameters with calculated dose displayed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All numeric fields must be positive values</w:t>
      </w:r>
    </w:p>
    <w:p/>
    <w:p>
      <w:pPr>
        <w:spacing w:before="240" w:after="120"/>
      </w:pPr>
      <w:r>
        <w:rPr>
          <w:b/>
        </w:rPr>
        <w:t>Step 7: Configure Monte Carlo Simulation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Scroll to 'Monte Carlo Configuration' section</w:t>
      </w:r>
    </w:p>
    <w:p>
      <w:pPr>
        <w:spacing w:after="40"/>
        <w:ind w:left="720"/>
      </w:pPr>
      <w:r>
        <w:t>□ Set 'Number of Iterations': 10,000</w:t>
      </w:r>
    </w:p>
    <w:p>
      <w:pPr>
        <w:spacing w:after="40"/>
        <w:ind w:left="720"/>
      </w:pPr>
      <w:r>
        <w:t>□ Set 'Random Seed': 42 (for reproducibility)</w:t>
      </w:r>
    </w:p>
    <w:p>
      <w:pPr>
        <w:spacing w:after="40"/>
        <w:ind w:left="720"/>
      </w:pPr>
      <w:r>
        <w:t>□ Set 'Confidence Level': 95%</w:t>
      </w:r>
    </w:p>
    <w:p>
      <w:pPr>
        <w:spacing w:after="40"/>
        <w:ind w:left="720"/>
      </w:pPr>
      <w:r>
        <w:t>□ Leave uncertainty distributions at defaults</w:t>
      </w:r>
    </w:p>
    <w:p>
      <w:pPr>
        <w:spacing w:after="40"/>
        <w:ind w:left="720"/>
      </w:pPr>
      <w:r>
        <w:t>□ Review simulation parameters summary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Monte Carlo section shows iteration count, seed, and distribution settings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More iterations = more accuracy but longer runtime. Use 5,000 for testing, 10,000+ for final</w:t>
      </w:r>
    </w:p>
    <w:p/>
    <w:p>
      <w:pPr>
        <w:spacing w:before="240" w:after="120"/>
      </w:pPr>
      <w:r>
        <w:rPr>
          <w:b/>
        </w:rPr>
        <w:t>Step 8: Run Assessment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Scroll to bottom of form</w:t>
      </w:r>
    </w:p>
    <w:p>
      <w:pPr>
        <w:spacing w:after="40"/>
        <w:ind w:left="720"/>
      </w:pPr>
      <w:r>
        <w:t>□ Review all parameters in summary box</w:t>
      </w:r>
    </w:p>
    <w:p>
      <w:pPr>
        <w:spacing w:after="40"/>
        <w:ind w:left="720"/>
      </w:pPr>
      <w:r>
        <w:t>□ Click large 'Run QMRA Assessment' button</w:t>
      </w:r>
    </w:p>
    <w:p>
      <w:pPr>
        <w:spacing w:after="40"/>
        <w:ind w:left="720"/>
      </w:pPr>
      <w:r>
        <w:t>□ Observe progress bar advancing (0% → 100%)</w:t>
      </w:r>
    </w:p>
    <w:p>
      <w:pPr>
        <w:spacing w:after="40"/>
        <w:ind w:left="720"/>
      </w:pPr>
      <w:r>
        <w:t>□ Wait for completion (typically 15-30 seconds for 10,000 iterations)</w:t>
      </w:r>
    </w:p>
    <w:p>
      <w:pPr>
        <w:spacing w:after="40"/>
        <w:ind w:left="720"/>
      </w:pPr>
      <w:r>
        <w:t>□ Success message appears when complete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Progress bar shows percentage complete, then results panel appears below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If assessment fails, check error message and verify all required fields are filled</w:t>
      </w:r>
    </w:p>
    <w:p/>
    <w:p>
      <w:pPr>
        <w:spacing w:before="240" w:after="120"/>
      </w:pPr>
      <w:r>
        <w:rPr>
          <w:b/>
        </w:rPr>
        <w:t>Step 9: Review and Interpret Results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Results panel appears automatically below form</w:t>
      </w:r>
    </w:p>
    <w:p>
      <w:pPr>
        <w:spacing w:after="40"/>
        <w:ind w:left="720"/>
      </w:pPr>
      <w:r>
        <w:t>□ Review 'Risk Metrics Summary' table</w:t>
      </w:r>
    </w:p>
    <w:p>
      <w:pPr>
        <w:spacing w:after="40"/>
        <w:ind w:left="720"/>
      </w:pPr>
      <w:r>
        <w:t>□ Note infection probability per event: ~2.06×10⁻²</w:t>
      </w:r>
    </w:p>
    <w:p>
      <w:pPr>
        <w:spacing w:after="40"/>
        <w:ind w:left="720"/>
      </w:pPr>
      <w:r>
        <w:t>□ Note illness probability: ~1.44×10⁻² (accounting for asymptomatic)</w:t>
      </w:r>
    </w:p>
    <w:p>
      <w:pPr>
        <w:spacing w:after="40"/>
        <w:ind w:left="720"/>
      </w:pPr>
      <w:r>
        <w:t>□ Note annual risk: ~3.41×10⁻¹ (34.1% per year)</w:t>
      </w:r>
    </w:p>
    <w:p>
      <w:pPr>
        <w:spacing w:after="40"/>
        <w:ind w:left="720"/>
      </w:pPr>
      <w:r>
        <w:t>□ Review expected cases: ~144 illness cases per year in 10,000 population</w:t>
      </w:r>
    </w:p>
    <w:p>
      <w:pPr>
        <w:spacing w:after="40"/>
        <w:ind w:left="720"/>
      </w:pPr>
      <w:r>
        <w:t>□ Observe compliance status: NON-COMPLIANT (red indicator)</w:t>
      </w:r>
    </w:p>
    <w:p>
      <w:pPr>
        <w:spacing w:after="40"/>
        <w:ind w:left="720"/>
      </w:pPr>
      <w:r>
        <w:t>□ Read exceedance factor: 341× above WHO threshold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Results table with color-coded compliance (red for non-compliant), bar charts showing distributions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If results seem unrealistic, double-check input concentrations and dilution factors</w:t>
      </w:r>
    </w:p>
    <w:p/>
    <w:p>
      <w:pPr>
        <w:spacing w:before="240" w:after="120"/>
      </w:pPr>
      <w:r>
        <w:rPr>
          <w:b/>
        </w:rPr>
        <w:t>Step 10: Explore Visualizations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Scroll to 'Visualizations' section below results</w:t>
      </w:r>
    </w:p>
    <w:p>
      <w:pPr>
        <w:spacing w:after="40"/>
        <w:ind w:left="720"/>
      </w:pPr>
      <w:r>
        <w:t>□ Review infection risk distribution histogram</w:t>
      </w:r>
    </w:p>
    <w:p>
      <w:pPr>
        <w:spacing w:after="40"/>
        <w:ind w:left="720"/>
      </w:pPr>
      <w:r>
        <w:t>□ Examine cumulative distribution function (CDF) plot</w:t>
      </w:r>
    </w:p>
    <w:p>
      <w:pPr>
        <w:spacing w:after="40"/>
        <w:ind w:left="720"/>
      </w:pPr>
      <w:r>
        <w:t>□ View box plot showing median, quartiles, and outliers</w:t>
      </w:r>
    </w:p>
    <w:p>
      <w:pPr>
        <w:spacing w:after="40"/>
        <w:ind w:left="720"/>
      </w:pPr>
      <w:r>
        <w:t>□ Click 'Download Plot' buttons to save images</w:t>
      </w:r>
    </w:p>
    <w:p>
      <w:pPr>
        <w:spacing w:after="40"/>
        <w:ind w:left="720"/>
      </w:pPr>
      <w:r>
        <w:t>□ Toggle between linear and log scales using buttons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Three interactive plots: histogram, CDF, and box plot of risk distribution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If plots don't render, try refreshing page or clearing browser cache</w:t>
      </w:r>
    </w:p>
    <w:p/>
    <w:p>
      <w:pPr>
        <w:spacing w:before="240" w:after="120"/>
      </w:pPr>
      <w:r>
        <w:rPr>
          <w:b/>
        </w:rPr>
        <w:t>Step 11: Generate Professional Report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Scroll to 'Report Generation' section</w:t>
      </w:r>
    </w:p>
    <w:p>
      <w:pPr>
        <w:spacing w:after="40"/>
        <w:ind w:left="720"/>
      </w:pPr>
      <w:r>
        <w:t>□ Select report type: 'Regulatory Compliance Report'</w:t>
      </w:r>
    </w:p>
    <w:p>
      <w:pPr>
        <w:spacing w:after="40"/>
        <w:ind w:left="720"/>
      </w:pPr>
      <w:r>
        <w:t>□ Select format: PDF</w:t>
      </w:r>
    </w:p>
    <w:p>
      <w:pPr>
        <w:spacing w:after="40"/>
        <w:ind w:left="720"/>
      </w:pPr>
      <w:r>
        <w:t>□ Check boxes for: 'Include visualizations', 'Include methodology', 'Include references'</w:t>
      </w:r>
    </w:p>
    <w:p>
      <w:pPr>
        <w:spacing w:after="40"/>
        <w:ind w:left="720"/>
      </w:pPr>
      <w:r>
        <w:t>□ Enter report title: 'Takapuna Beach Swimming Risk Assessment 2025'</w:t>
      </w:r>
    </w:p>
    <w:p>
      <w:pPr>
        <w:spacing w:after="40"/>
        <w:ind w:left="720"/>
      </w:pPr>
      <w:r>
        <w:t>□ Enter author name and organization</w:t>
      </w:r>
    </w:p>
    <w:p>
      <w:pPr>
        <w:spacing w:after="40"/>
        <w:ind w:left="720"/>
      </w:pPr>
      <w:r>
        <w:t>□ Click 'Generate Report' button</w:t>
      </w:r>
    </w:p>
    <w:p>
      <w:pPr>
        <w:spacing w:after="40"/>
        <w:ind w:left="720"/>
      </w:pPr>
      <w:r>
        <w:t>□ Wait for processing (30-60 seconds)</w:t>
      </w:r>
    </w:p>
    <w:p>
      <w:pPr>
        <w:spacing w:after="40"/>
        <w:ind w:left="720"/>
      </w:pPr>
      <w:r>
        <w:t>□ Download link appears - click to save PDF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Report generation form with options, then download link with file size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Large reports may take longer. Reduce iterations if generation fails</w:t>
      </w:r>
    </w:p>
    <w:p/>
    <w:p>
      <w:pPr>
        <w:spacing w:before="240" w:after="120"/>
      </w:pPr>
      <w:r>
        <w:rPr>
          <w:b/>
        </w:rPr>
        <w:t>Step 12: Export Raw Data</w:t>
      </w:r>
      <w:r>
        <w:br/>
      </w:r>
    </w:p>
    <w:p>
      <w:pPr>
        <w:ind w:left="360"/>
      </w:pPr>
      <w:r>
        <w:rPr>
          <w:b/>
        </w:rPr>
        <w:t>Actions:</w:t>
      </w:r>
    </w:p>
    <w:p>
      <w:pPr>
        <w:spacing w:after="40"/>
        <w:ind w:left="720"/>
      </w:pPr>
      <w:r>
        <w:t>□ Scroll to 'Export Data' section</w:t>
      </w:r>
    </w:p>
    <w:p>
      <w:pPr>
        <w:spacing w:after="40"/>
        <w:ind w:left="720"/>
      </w:pPr>
      <w:r>
        <w:t>□ Select export format: Excel (XLSX)</w:t>
      </w:r>
    </w:p>
    <w:p>
      <w:pPr>
        <w:spacing w:after="40"/>
        <w:ind w:left="720"/>
      </w:pPr>
      <w:r>
        <w:t>□ Check options: 'Include metadata', 'Include summary statistics'</w:t>
      </w:r>
    </w:p>
    <w:p>
      <w:pPr>
        <w:spacing w:after="40"/>
        <w:ind w:left="720"/>
      </w:pPr>
      <w:r>
        <w:t>□ Click 'Export Results' button</w:t>
      </w:r>
    </w:p>
    <w:p>
      <w:pPr>
        <w:spacing w:after="40"/>
        <w:ind w:left="720"/>
      </w:pPr>
      <w:r>
        <w:t>□ Download Excel file</w:t>
      </w:r>
    </w:p>
    <w:p>
      <w:pPr>
        <w:spacing w:after="40"/>
        <w:ind w:left="720"/>
      </w:pPr>
      <w:r>
        <w:t>□ Open in Excel/LibreOffice to review</w:t>
      </w:r>
    </w:p>
    <w:p>
      <w:pPr>
        <w:spacing w:after="40"/>
        <w:ind w:left="720"/>
      </w:pPr>
      <w:r>
        <w:t>□ File contains multiple sheets: Summary, Raw Results, Parameters, Compliance</w:t>
      </w:r>
    </w:p>
    <w:p>
      <w:pPr>
        <w:spacing w:before="120" w:after="80"/>
        <w:ind w:left="360"/>
      </w:pPr>
      <w:r>
        <w:rPr>
          <w:b/>
        </w:rPr>
        <w:t xml:space="preserve">Expected Display: </w:t>
      </w:r>
      <w:r>
        <w:t>Export options form, then download link for Excel file</w:t>
      </w:r>
    </w:p>
    <w:p>
      <w:pPr>
        <w:spacing w:after="200"/>
        <w:ind w:left="360"/>
      </w:pPr>
      <w:r>
        <w:rPr>
          <w:b/>
        </w:rPr>
        <w:t xml:space="preserve">Troubleshooting: </w:t>
      </w:r>
      <w:r>
        <w:t>CSV format is more compatible if Excel fails</w:t>
      </w:r>
    </w:p>
    <w:p>
      <w:r>
        <w:br w:type="page"/>
      </w:r>
    </w:p>
    <w:p>
      <w:pPr>
        <w:pStyle w:val="Heading3"/>
      </w:pPr>
      <w:r>
        <w:t>Interpreting Scenario 1 Results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C65911"/>
          </w:tcPr>
          <w:p>
            <w:r>
              <w:rPr>
                <w:b/>
                <w:color w:val="FFFFFF"/>
              </w:rPr>
              <w:t>Metric</w:t>
            </w:r>
          </w:p>
        </w:tc>
        <w:tc>
          <w:tcPr>
            <w:tcW w:type="dxa" w:w="3120"/>
            <w:shd w:fill="C65911"/>
          </w:tcPr>
          <w:p>
            <w:r>
              <w:rPr>
                <w:b/>
                <w:color w:val="FFFFFF"/>
              </w:rPr>
              <w:t>Value</w:t>
            </w:r>
          </w:p>
        </w:tc>
        <w:tc>
          <w:tcPr>
            <w:tcW w:type="dxa" w:w="3120"/>
            <w:shd w:fill="C65911"/>
          </w:tcPr>
          <w:p>
            <w:r>
              <w:rPr>
                <w:b/>
                <w:color w:val="FFFFFF"/>
              </w:rPr>
              <w:t>Interpretation &amp; Implications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Single Event Risk</w:t>
            </w:r>
          </w:p>
        </w:tc>
        <w:tc>
          <w:tcPr>
            <w:tcW w:type="dxa" w:w="3120"/>
          </w:tcPr>
          <w:p>
            <w:r>
              <w:t>2.06×10⁻²</w:t>
            </w:r>
          </w:p>
        </w:tc>
        <w:tc>
          <w:tcPr>
            <w:tcW w:type="dxa" w:w="3120"/>
          </w:tcPr>
          <w:p>
            <w:r>
              <w:t>~2% chance of infection per swim. Relatively high due to norovirus infectivity.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Annual Risk</w:t>
            </w:r>
          </w:p>
        </w:tc>
        <w:tc>
          <w:tcPr>
            <w:tcW w:type="dxa" w:w="3120"/>
          </w:tcPr>
          <w:p>
            <w:r>
              <w:t>3.41×10⁻¹</w:t>
            </w:r>
          </w:p>
        </w:tc>
        <w:tc>
          <w:tcPr>
            <w:tcW w:type="dxa" w:w="3120"/>
          </w:tcPr>
          <w:p>
            <w:r>
              <w:t>34% annual infection risk with 20 swims. Nearly 1 in 3 regular swimmers.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Population Impact</w:t>
            </w:r>
          </w:p>
        </w:tc>
        <w:tc>
          <w:tcPr>
            <w:tcW w:type="dxa" w:w="3120"/>
          </w:tcPr>
          <w:p>
            <w:r>
              <w:t>144 cases/year</w:t>
            </w:r>
          </w:p>
        </w:tc>
        <w:tc>
          <w:tcPr>
            <w:tcW w:type="dxa" w:w="3120"/>
          </w:tcPr>
          <w:p>
            <w:r>
              <w:t>Significant public health burden in exposed population.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Compliance</w:t>
            </w:r>
          </w:p>
        </w:tc>
        <w:tc>
          <w:tcPr>
            <w:tcW w:type="dxa" w:w="3120"/>
            <w:shd w:fill="FFC7CE"/>
          </w:tcPr>
          <w:p>
            <w:r>
              <w:t>NON-COMPLIANT</w:t>
            </w:r>
          </w:p>
        </w:tc>
        <w:tc>
          <w:tcPr>
            <w:tcW w:type="dxa" w:w="3120"/>
          </w:tcPr>
          <w:p>
            <w:r>
              <w:t>Exceeds WHO threshold by 341×. Additional controls required.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Key Driver</w:t>
            </w:r>
          </w:p>
        </w:tc>
        <w:tc>
          <w:tcPr>
            <w:tcW w:type="dxa" w:w="3120"/>
          </w:tcPr>
          <w:p>
            <w:r>
              <w:t>Treatment LRV</w:t>
            </w:r>
          </w:p>
        </w:tc>
        <w:tc>
          <w:tcPr>
            <w:tcW w:type="dxa" w:w="3120"/>
          </w:tcPr>
          <w:p>
            <w:r>
              <w:t>Secondary treatment (LRV 3.0) insufficient for high viral loads.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Recommendation</w:t>
            </w:r>
          </w:p>
        </w:tc>
        <w:tc>
          <w:tcPr>
            <w:tcW w:type="dxa" w:w="3120"/>
          </w:tcPr>
          <w:p>
            <w:r>
              <w:t>UV Disinfection</w:t>
            </w:r>
          </w:p>
        </w:tc>
        <w:tc>
          <w:tcPr>
            <w:tcW w:type="dxa" w:w="3120"/>
          </w:tcPr>
          <w:p>
            <w:r>
              <w:t>Additional 4-5 log reduction needed via UV or advanced oxidation.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Table 5: Scenario 1 Results - Detailed Interpretation</w:t>
      </w:r>
    </w:p>
    <w:p>
      <w:r>
        <w:br w:type="page"/>
      </w:r>
    </w:p>
    <w:p>
      <w:pPr>
        <w:pStyle w:val="Heading1"/>
      </w:pPr>
      <w:r>
        <w:t>Advanced Topics &amp; Best Practices</w:t>
      </w:r>
    </w:p>
    <w:p>
      <w:pPr>
        <w:pStyle w:val="Heading2"/>
      </w:pPr>
      <w:r>
        <w:t>Sensitivity Analysis</w:t>
      </w:r>
    </w:p>
    <w:p>
      <w:r>
        <w:t>Sensitivity analysis identifies which input parameters most strongly influence risk estimates. This is crucial for prioritizing data collection and treatment interventions.</w:t>
      </w:r>
    </w:p>
    <w:p/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shd w:fill="7030A0"/>
          </w:tcPr>
          <w:p>
            <w:r>
              <w:rPr>
                <w:b/>
                <w:color w:val="FFFFFF"/>
              </w:rPr>
              <w:t>Parameter</w:t>
            </w:r>
          </w:p>
        </w:tc>
        <w:tc>
          <w:tcPr>
            <w:tcW w:type="dxa" w:w="2340"/>
            <w:shd w:fill="7030A0"/>
          </w:tcPr>
          <w:p>
            <w:r>
              <w:rPr>
                <w:b/>
                <w:color w:val="FFFFFF"/>
              </w:rPr>
              <w:t>Baseline Value</w:t>
            </w:r>
          </w:p>
        </w:tc>
        <w:tc>
          <w:tcPr>
            <w:tcW w:type="dxa" w:w="2340"/>
            <w:shd w:fill="7030A0"/>
          </w:tcPr>
          <w:p>
            <w:r>
              <w:rPr>
                <w:b/>
                <w:color w:val="FFFFFF"/>
              </w:rPr>
              <w:t>Test Range</w:t>
            </w:r>
          </w:p>
        </w:tc>
        <w:tc>
          <w:tcPr>
            <w:tcW w:type="dxa" w:w="2340"/>
            <w:shd w:fill="7030A0"/>
          </w:tcPr>
          <w:p>
            <w:r>
              <w:rPr>
                <w:b/>
                <w:color w:val="FFFFFF"/>
              </w:rPr>
              <w:t>Impact on Risk</w:t>
            </w:r>
          </w:p>
        </w:tc>
      </w:tr>
      <w:tr>
        <w:tc>
          <w:tcPr>
            <w:tcW w:type="dxa" w:w="2340"/>
          </w:tcPr>
          <w:p>
            <w:r>
              <w:t>Raw Concentration</w:t>
            </w:r>
          </w:p>
        </w:tc>
        <w:tc>
          <w:tcPr>
            <w:tcW w:type="dxa" w:w="2340"/>
          </w:tcPr>
          <w:p>
            <w:r>
              <w:t>1.54×10⁶/L</w:t>
            </w:r>
          </w:p>
        </w:tc>
        <w:tc>
          <w:tcPr>
            <w:tcW w:type="dxa" w:w="2340"/>
          </w:tcPr>
          <w:p>
            <w:r>
              <w:t>5×10⁵ - 5×10⁶</w:t>
            </w:r>
          </w:p>
        </w:tc>
        <w:tc>
          <w:tcPr>
            <w:tcW w:type="dxa" w:w="2340"/>
            <w:shd w:fill="FFEB9C"/>
          </w:tcPr>
          <w:p>
            <w:r>
              <w:t>High (3.2× variation)</w:t>
            </w:r>
          </w:p>
        </w:tc>
      </w:tr>
      <w:tr>
        <w:tc>
          <w:tcPr>
            <w:tcW w:type="dxa" w:w="2340"/>
          </w:tcPr>
          <w:p>
            <w:r>
              <w:t>Treatment LRV</w:t>
            </w:r>
          </w:p>
        </w:tc>
        <w:tc>
          <w:tcPr>
            <w:tcW w:type="dxa" w:w="2340"/>
          </w:tcPr>
          <w:p>
            <w:r>
              <w:t>3.0</w:t>
            </w:r>
          </w:p>
        </w:tc>
        <w:tc>
          <w:tcPr>
            <w:tcW w:type="dxa" w:w="2340"/>
          </w:tcPr>
          <w:p>
            <w:r>
              <w:t>2.0 - 8.0</w:t>
            </w:r>
          </w:p>
        </w:tc>
        <w:tc>
          <w:tcPr>
            <w:tcW w:type="dxa" w:w="2340"/>
            <w:shd w:fill="FFC7CE"/>
          </w:tcPr>
          <w:p>
            <w:r>
              <w:t>Very High (100× variation)</w:t>
            </w:r>
          </w:p>
        </w:tc>
      </w:tr>
      <w:tr>
        <w:tc>
          <w:tcPr>
            <w:tcW w:type="dxa" w:w="2340"/>
          </w:tcPr>
          <w:p>
            <w:r>
              <w:t>Dilution Factor</w:t>
            </w:r>
          </w:p>
        </w:tc>
        <w:tc>
          <w:tcPr>
            <w:tcW w:type="dxa" w:w="2340"/>
          </w:tcPr>
          <w:p>
            <w:r>
              <w:t>13.6×</w:t>
            </w:r>
          </w:p>
        </w:tc>
        <w:tc>
          <w:tcPr>
            <w:tcW w:type="dxa" w:w="2340"/>
          </w:tcPr>
          <w:p>
            <w:r>
              <w:t>7.2× - 28.4×</w:t>
            </w:r>
          </w:p>
        </w:tc>
        <w:tc>
          <w:tcPr>
            <w:tcW w:type="dxa" w:w="2340"/>
            <w:shd w:fill="FFEB9C"/>
          </w:tcPr>
          <w:p>
            <w:r>
              <w:t>High (3.9× variation)</w:t>
            </w:r>
          </w:p>
        </w:tc>
      </w:tr>
      <w:tr>
        <w:tc>
          <w:tcPr>
            <w:tcW w:type="dxa" w:w="2340"/>
          </w:tcPr>
          <w:p>
            <w:r>
              <w:t>Ingestion Volume</w:t>
            </w:r>
          </w:p>
        </w:tc>
        <w:tc>
          <w:tcPr>
            <w:tcW w:type="dxa" w:w="2340"/>
          </w:tcPr>
          <w:p>
            <w:r>
              <w:t>50 mL</w:t>
            </w:r>
          </w:p>
        </w:tc>
        <w:tc>
          <w:tcPr>
            <w:tcW w:type="dxa" w:w="2340"/>
          </w:tcPr>
          <w:p>
            <w:r>
              <w:t>25 - 100 mL</w:t>
            </w:r>
          </w:p>
        </w:tc>
        <w:tc>
          <w:tcPr>
            <w:tcW w:type="dxa" w:w="2340"/>
          </w:tcPr>
          <w:p>
            <w:r>
              <w:t>Medium (2× variation)</w:t>
            </w:r>
          </w:p>
        </w:tc>
      </w:tr>
      <w:tr>
        <w:tc>
          <w:tcPr>
            <w:tcW w:type="dxa" w:w="2340"/>
          </w:tcPr>
          <w:p>
            <w:r>
              <w:t>Exposure Frequency</w:t>
            </w:r>
          </w:p>
        </w:tc>
        <w:tc>
          <w:tcPr>
            <w:tcW w:type="dxa" w:w="2340"/>
          </w:tcPr>
          <w:p>
            <w:r>
              <w:t>20/year</w:t>
            </w:r>
          </w:p>
        </w:tc>
        <w:tc>
          <w:tcPr>
            <w:tcW w:type="dxa" w:w="2340"/>
          </w:tcPr>
          <w:p>
            <w:r>
              <w:t>10 - 40/year</w:t>
            </w:r>
          </w:p>
        </w:tc>
        <w:tc>
          <w:tcPr>
            <w:tcW w:type="dxa" w:w="2340"/>
          </w:tcPr>
          <w:p>
            <w:r>
              <w:t>Medium (1.8× variation)</w:t>
            </w:r>
          </w:p>
        </w:tc>
      </w:tr>
      <w:tr>
        <w:tc>
          <w:tcPr>
            <w:tcW w:type="dxa" w:w="2340"/>
          </w:tcPr>
          <w:p>
            <w:r>
              <w:t>Dose-Response α</w:t>
            </w:r>
          </w:p>
        </w:tc>
        <w:tc>
          <w:tcPr>
            <w:tcW w:type="dxa" w:w="2340"/>
          </w:tcPr>
          <w:p>
            <w:r>
              <w:t>0.04</w:t>
            </w:r>
          </w:p>
        </w:tc>
        <w:tc>
          <w:tcPr>
            <w:tcW w:type="dxa" w:w="2340"/>
          </w:tcPr>
          <w:p>
            <w:r>
              <w:t>0.02 - 0.08</w:t>
            </w:r>
          </w:p>
        </w:tc>
        <w:tc>
          <w:tcPr>
            <w:tcW w:type="dxa" w:w="2340"/>
          </w:tcPr>
          <w:p>
            <w:r>
              <w:t>Low (1.3× variation)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Table 6: Sensitivity Analysis Results - Parameter Importance Ranking</w:t>
      </w:r>
    </w:p>
    <w:p/>
    <w:p>
      <w:r>
        <w:rPr>
          <w:b/>
        </w:rPr>
        <w:t xml:space="preserve">Key Finding: </w:t>
      </w:r>
      <w:r>
        <w:t>Treatment LRV is the most influential parameter, demonstrating that investment in advanced treatment provides the greatest risk reduction benefit. Improving dilution through outfall relocation or engineering modifications is the second-most effective intervention.</w:t>
      </w:r>
    </w:p>
    <w:p>
      <w:r>
        <w:br w:type="page"/>
      </w:r>
    </w:p>
    <w:p>
      <w:pPr>
        <w:pStyle w:val="Heading1"/>
      </w:pPr>
      <w:r>
        <w:t>Troubleshooting Guide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shd w:fill="E84C22"/>
          </w:tcPr>
          <w:p>
            <w:r>
              <w:rPr>
                <w:b/>
                <w:color w:val="FFFFFF"/>
              </w:rPr>
              <w:t>Issue</w:t>
            </w:r>
          </w:p>
        </w:tc>
        <w:tc>
          <w:tcPr>
            <w:tcW w:type="dxa" w:w="2340"/>
            <w:shd w:fill="E84C22"/>
          </w:tcPr>
          <w:p>
            <w:r>
              <w:rPr>
                <w:b/>
                <w:color w:val="FFFFFF"/>
              </w:rPr>
              <w:t>Symptoms</w:t>
            </w:r>
          </w:p>
        </w:tc>
        <w:tc>
          <w:tcPr>
            <w:tcW w:type="dxa" w:w="2340"/>
            <w:shd w:fill="E84C22"/>
          </w:tcPr>
          <w:p>
            <w:r>
              <w:rPr>
                <w:b/>
                <w:color w:val="FFFFFF"/>
              </w:rPr>
              <w:t>Likely Cause</w:t>
            </w:r>
          </w:p>
        </w:tc>
        <w:tc>
          <w:tcPr>
            <w:tcW w:type="dxa" w:w="2340"/>
            <w:shd w:fill="E84C22"/>
          </w:tcPr>
          <w:p>
            <w:r>
              <w:rPr>
                <w:b/>
                <w:color w:val="FFFFFF"/>
              </w:rPr>
              <w:t>Solution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App Won't Launch</w:t>
            </w:r>
          </w:p>
        </w:tc>
        <w:tc>
          <w:tcPr>
            <w:tcW w:type="dxa" w:w="2340"/>
          </w:tcPr>
          <w:p>
            <w:r>
              <w:t>Error message or command fails</w:t>
            </w:r>
          </w:p>
        </w:tc>
        <w:tc>
          <w:tcPr>
            <w:tcW w:type="dxa" w:w="2340"/>
          </w:tcPr>
          <w:p>
            <w:r>
              <w:t>Missing dependencies</w:t>
            </w:r>
          </w:p>
        </w:tc>
        <w:tc>
          <w:tcPr>
            <w:tcW w:type="dxa" w:w="2340"/>
          </w:tcPr>
          <w:p>
            <w:r>
              <w:t>Run: pip install -r requirements.txt --upgrade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File Upload Fails</w:t>
            </w:r>
          </w:p>
        </w:tc>
        <w:tc>
          <w:tcPr>
            <w:tcW w:type="dxa" w:w="2340"/>
          </w:tcPr>
          <w:p>
            <w:r>
              <w:t>'Invalid file format' error</w:t>
            </w:r>
          </w:p>
        </w:tc>
        <w:tc>
          <w:tcPr>
            <w:tcW w:type="dxa" w:w="2340"/>
          </w:tcPr>
          <w:p>
            <w:r>
              <w:t>Incorrect CSV structure</w:t>
            </w:r>
          </w:p>
        </w:tc>
        <w:tc>
          <w:tcPr>
            <w:tcW w:type="dxa" w:w="2340"/>
          </w:tcPr>
          <w:p>
            <w:r>
              <w:t>Check column names match requirements. Use UTF-8 encoding.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Results Show NaN</w:t>
            </w:r>
          </w:p>
        </w:tc>
        <w:tc>
          <w:tcPr>
            <w:tcW w:type="dxa" w:w="2340"/>
          </w:tcPr>
          <w:p>
            <w:r>
              <w:t>Metrics display as NaN or Inf</w:t>
            </w:r>
          </w:p>
        </w:tc>
        <w:tc>
          <w:tcPr>
            <w:tcW w:type="dxa" w:w="2340"/>
          </w:tcPr>
          <w:p>
            <w:r>
              <w:t>Zero/negative concentrations</w:t>
            </w:r>
          </w:p>
        </w:tc>
        <w:tc>
          <w:tcPr>
            <w:tcW w:type="dxa" w:w="2340"/>
          </w:tcPr>
          <w:p>
            <w:r>
              <w:t>Review input data for invalid values. Ensure concentrations &gt; 0.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Assessment Takes Too Long</w:t>
            </w:r>
          </w:p>
        </w:tc>
        <w:tc>
          <w:tcPr>
            <w:tcW w:type="dxa" w:w="2340"/>
          </w:tcPr>
          <w:p>
            <w:r>
              <w:t>Progress bar stuck or very slow</w:t>
            </w:r>
          </w:p>
        </w:tc>
        <w:tc>
          <w:tcPr>
            <w:tcW w:type="dxa" w:w="2340"/>
          </w:tcPr>
          <w:p>
            <w:r>
              <w:t>Too many iterations</w:t>
            </w:r>
          </w:p>
        </w:tc>
        <w:tc>
          <w:tcPr>
            <w:tcW w:type="dxa" w:w="2340"/>
          </w:tcPr>
          <w:p>
            <w:r>
              <w:t>Reduce iterations to 5,000 for testing. Close other applications.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Compliance Shows Incorrect</w:t>
            </w:r>
          </w:p>
        </w:tc>
        <w:tc>
          <w:tcPr>
            <w:tcW w:type="dxa" w:w="2340"/>
          </w:tcPr>
          <w:p>
            <w:r>
              <w:t>Status doesn't match calculations</w:t>
            </w:r>
          </w:p>
        </w:tc>
        <w:tc>
          <w:tcPr>
            <w:tcW w:type="dxa" w:w="2340"/>
          </w:tcPr>
          <w:p>
            <w:r>
              <w:t>Wrong threshold selected</w:t>
            </w:r>
          </w:p>
        </w:tc>
        <w:tc>
          <w:tcPr>
            <w:tcW w:type="dxa" w:w="2340"/>
          </w:tcPr>
          <w:p>
            <w:r>
              <w:t>Verify threshold matches exposure route. Check units (per event vs annual).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Plots Don't Display</w:t>
            </w:r>
          </w:p>
        </w:tc>
        <w:tc>
          <w:tcPr>
            <w:tcW w:type="dxa" w:w="2340"/>
          </w:tcPr>
          <w:p>
            <w:r>
              <w:t>Blank or error where charts should be</w:t>
            </w:r>
          </w:p>
        </w:tc>
        <w:tc>
          <w:tcPr>
            <w:tcW w:type="dxa" w:w="2340"/>
          </w:tcPr>
          <w:p>
            <w:r>
              <w:t>Browser compatibility issue</w:t>
            </w:r>
          </w:p>
        </w:tc>
        <w:tc>
          <w:tcPr>
            <w:tcW w:type="dxa" w:w="2340"/>
          </w:tcPr>
          <w:p>
            <w:r>
              <w:t>Use Chrome/Firefox. Clear cache. Try incognito mode.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Report Generation Fails</w:t>
            </w:r>
          </w:p>
        </w:tc>
        <w:tc>
          <w:tcPr>
            <w:tcW w:type="dxa" w:w="2340"/>
          </w:tcPr>
          <w:p>
            <w:r>
              <w:t>Error during PDF/Word creation</w:t>
            </w:r>
          </w:p>
        </w:tc>
        <w:tc>
          <w:tcPr>
            <w:tcW w:type="dxa" w:w="2340"/>
          </w:tcPr>
          <w:p>
            <w:r>
              <w:t>Insufficient memory</w:t>
            </w:r>
          </w:p>
        </w:tc>
        <w:tc>
          <w:tcPr>
            <w:tcW w:type="dxa" w:w="2340"/>
          </w:tcPr>
          <w:p>
            <w:r>
              <w:t>Reduce number of scenarios. Close other applications. Try CSV export instead.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Treatment Config Won't Load</w:t>
            </w:r>
          </w:p>
        </w:tc>
        <w:tc>
          <w:tcPr>
            <w:tcW w:type="dxa" w:w="2340"/>
          </w:tcPr>
          <w:p>
            <w:r>
              <w:t>YAML file rejected</w:t>
            </w:r>
          </w:p>
        </w:tc>
        <w:tc>
          <w:tcPr>
            <w:tcW w:type="dxa" w:w="2340"/>
          </w:tcPr>
          <w:p>
            <w:r>
              <w:t>Syntax error in YAML</w:t>
            </w:r>
          </w:p>
        </w:tc>
        <w:tc>
          <w:tcPr>
            <w:tcW w:type="dxa" w:w="2340"/>
          </w:tcPr>
          <w:p>
            <w:r>
              <w:t>Validate YAML syntax. Check required fields: name, type, lrv for each barrier.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Dilution Data Not Recognized</w:t>
            </w:r>
          </w:p>
        </w:tc>
        <w:tc>
          <w:tcPr>
            <w:tcW w:type="dxa" w:w="2340"/>
          </w:tcPr>
          <w:p>
            <w:r>
              <w:t>Sites don't appear in dropdown</w:t>
            </w:r>
          </w:p>
        </w:tc>
        <w:tc>
          <w:tcPr>
            <w:tcW w:type="dxa" w:w="2340"/>
          </w:tcPr>
          <w:p>
            <w:r>
              <w:t>Missing/incorrect columns</w:t>
            </w:r>
          </w:p>
        </w:tc>
        <w:tc>
          <w:tcPr>
            <w:tcW w:type="dxa" w:w="2340"/>
          </w:tcPr>
          <w:p>
            <w:r>
              <w:t>Ensure CSV has: Site_Name, Dilution_Factor, Distance_m columns.</w:t>
            </w:r>
          </w:p>
        </w:tc>
      </w:tr>
      <w:tr>
        <w:tc>
          <w:tcPr>
            <w:tcW w:type="dxa" w:w="2340"/>
          </w:tcPr>
          <w:p>
            <w:r>
              <w:rPr>
                <w:b/>
              </w:rPr>
              <w:t>Results Seem Unrealistic</w:t>
            </w:r>
          </w:p>
        </w:tc>
        <w:tc>
          <w:tcPr>
            <w:tcW w:type="dxa" w:w="2340"/>
          </w:tcPr>
          <w:p>
            <w:r>
              <w:t>Risk values too high/low</w:t>
            </w:r>
          </w:p>
        </w:tc>
        <w:tc>
          <w:tcPr>
            <w:tcW w:type="dxa" w:w="2340"/>
          </w:tcPr>
          <w:p>
            <w:r>
              <w:t>Input data error or wrong units</w:t>
            </w:r>
          </w:p>
        </w:tc>
        <w:tc>
          <w:tcPr>
            <w:tcW w:type="dxa" w:w="2340"/>
          </w:tcPr>
          <w:p>
            <w:r>
              <w:t>Double-check: concentrations in organisms/L, volumes in mL, LRV values 0-10.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Table 7: Troubleshooting Guide - Common Issues and Solutions</w:t>
      </w:r>
    </w:p>
    <w:p/>
    <w:p>
      <w:r>
        <w:rPr>
          <w:b/>
        </w:rPr>
        <w:t>For Additional Support:</w:t>
      </w:r>
      <w:r>
        <w:br/>
        <w:br/>
      </w:r>
      <w:r>
        <w:rPr>
          <w:b/>
        </w:rPr>
        <w:t xml:space="preserve">Email: </w:t>
      </w:r>
      <w:r>
        <w:t>reza.moghaddam@niwa.co.nz</w:t>
        <w:br/>
      </w:r>
      <w:r>
        <w:rPr>
          <w:b/>
        </w:rPr>
        <w:t xml:space="preserve">Documentation: </w:t>
      </w:r>
      <w:r>
        <w:t>See QMRA_TOOLKIT_USER_GUIDE.md</w:t>
        <w:br/>
      </w:r>
      <w:r>
        <w:rPr>
          <w:b/>
        </w:rPr>
        <w:t xml:space="preserve">GitHub: </w:t>
      </w:r>
      <w:r>
        <w:t>[Repository URL]</w:t>
      </w:r>
    </w:p>
    <w:p>
      <w:r>
        <w:br w:type="page"/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Quick Reference Commands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5B9BD5"/>
          </w:tcPr>
          <w:p>
            <w:r>
              <w:rPr>
                <w:b/>
                <w:color w:val="FFFFFF"/>
              </w:rPr>
              <w:t>Task</w:t>
            </w:r>
          </w:p>
        </w:tc>
        <w:tc>
          <w:tcPr>
            <w:tcW w:type="dxa" w:w="3120"/>
            <w:shd w:fill="5B9BD5"/>
          </w:tcPr>
          <w:p>
            <w:r>
              <w:rPr>
                <w:b/>
                <w:color w:val="FFFFFF"/>
              </w:rPr>
              <w:t>Command / Action</w:t>
            </w:r>
          </w:p>
        </w:tc>
        <w:tc>
          <w:tcPr>
            <w:tcW w:type="dxa" w:w="3120"/>
            <w:shd w:fill="5B9BD5"/>
          </w:tcPr>
          <w:p>
            <w:r>
              <w:rPr>
                <w:b/>
                <w:color w:val="FFFFFF"/>
              </w:rPr>
              <w:t>Notes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Launch Web App</w:t>
            </w:r>
          </w:p>
        </w:tc>
        <w:tc>
          <w:tcPr>
            <w:tcW w:type="dxa" w:w="3120"/>
          </w:tcPr>
          <w:p>
            <w:r>
              <w:t>streamlit run qmra_toolkit/web_app.py</w:t>
            </w:r>
          </w:p>
        </w:tc>
        <w:tc>
          <w:tcPr>
            <w:tcW w:type="dxa" w:w="3120"/>
          </w:tcPr>
          <w:p>
            <w:r>
              <w:t>Browser opens at localhost:8501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Launch Desktop GUI</w:t>
            </w:r>
          </w:p>
        </w:tc>
        <w:tc>
          <w:tcPr>
            <w:tcW w:type="dxa" w:w="3120"/>
          </w:tcPr>
          <w:p>
            <w:r>
              <w:t>python qmra_toolkit/launch_enhanced_gui.py</w:t>
            </w:r>
          </w:p>
        </w:tc>
        <w:tc>
          <w:tcPr>
            <w:tcW w:type="dxa" w:w="3120"/>
          </w:tcPr>
          <w:p>
            <w:r>
              <w:t>Tkinter window opens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Install Dependencies</w:t>
            </w:r>
          </w:p>
        </w:tc>
        <w:tc>
          <w:tcPr>
            <w:tcW w:type="dxa" w:w="3120"/>
          </w:tcPr>
          <w:p>
            <w:r>
              <w:t>pip install -r requirements.txt</w:t>
            </w:r>
          </w:p>
        </w:tc>
        <w:tc>
          <w:tcPr>
            <w:tcW w:type="dxa" w:w="3120"/>
          </w:tcPr>
          <w:p>
            <w:r>
              <w:t>Run from project root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Verify Installation</w:t>
            </w:r>
          </w:p>
        </w:tc>
        <w:tc>
          <w:tcPr>
            <w:tcW w:type="dxa" w:w="3120"/>
          </w:tcPr>
          <w:p>
            <w:r>
              <w:t>python -c "import qmra_toolkit"</w:t>
            </w:r>
          </w:p>
        </w:tc>
        <w:tc>
          <w:tcPr>
            <w:tcW w:type="dxa" w:w="3120"/>
          </w:tcPr>
          <w:p>
            <w:r>
              <w:t>Should complete without errors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Run Test Suite</w:t>
            </w:r>
          </w:p>
        </w:tc>
        <w:tc>
          <w:tcPr>
            <w:tcW w:type="dxa" w:w="3120"/>
          </w:tcPr>
          <w:p>
            <w:r>
              <w:t>pytest qmra_toolkit/tests/</w:t>
            </w:r>
          </w:p>
        </w:tc>
        <w:tc>
          <w:tcPr>
            <w:tcW w:type="dxa" w:w="3120"/>
          </w:tcPr>
          <w:p>
            <w:r>
              <w:t>Requires pytest installed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Check Python Version</w:t>
            </w:r>
          </w:p>
        </w:tc>
        <w:tc>
          <w:tcPr>
            <w:tcW w:type="dxa" w:w="3120"/>
          </w:tcPr>
          <w:p>
            <w:r>
              <w:t>python --version</w:t>
            </w:r>
          </w:p>
        </w:tc>
        <w:tc>
          <w:tcPr>
            <w:tcW w:type="dxa" w:w="3120"/>
          </w:tcPr>
          <w:p>
            <w:r>
              <w:t>Minimum 3.11 required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Update Packages</w:t>
            </w:r>
          </w:p>
        </w:tc>
        <w:tc>
          <w:tcPr>
            <w:tcW w:type="dxa" w:w="3120"/>
          </w:tcPr>
          <w:p>
            <w:r>
              <w:t>pip install --upgrade -r requirements.txt</w:t>
            </w:r>
          </w:p>
        </w:tc>
        <w:tc>
          <w:tcPr>
            <w:tcW w:type="dxa" w:w="3120"/>
          </w:tcPr>
          <w:p>
            <w:r>
              <w:t>Updates all dependencies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Find Test Data</w:t>
            </w:r>
          </w:p>
        </w:tc>
        <w:tc>
          <w:tcPr>
            <w:tcW w:type="dxa" w:w="3120"/>
          </w:tcPr>
          <w:p>
            <w:r>
              <w:t>cd qmra_toolkit/test_data</w:t>
            </w:r>
          </w:p>
        </w:tc>
        <w:tc>
          <w:tcPr>
            <w:tcW w:type="dxa" w:w="3120"/>
          </w:tcPr>
          <w:p>
            <w:r>
              <w:t>Contains all example files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View User Guide</w:t>
            </w:r>
          </w:p>
        </w:tc>
        <w:tc>
          <w:tcPr>
            <w:tcW w:type="dxa" w:w="3120"/>
          </w:tcPr>
          <w:p>
            <w:r>
              <w:t>open QMRA_TOOLKIT_USER_GUIDE.md</w:t>
            </w:r>
          </w:p>
        </w:tc>
        <w:tc>
          <w:tcPr>
            <w:tcW w:type="dxa" w:w="3120"/>
          </w:tcPr>
          <w:p>
            <w:r>
              <w:t>Comprehensive documentation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Clear Cache</w:t>
            </w:r>
          </w:p>
        </w:tc>
        <w:tc>
          <w:tcPr>
            <w:tcW w:type="dxa" w:w="3120"/>
          </w:tcPr>
          <w:p>
            <w:r>
              <w:t>streamlit cache clear</w:t>
            </w:r>
          </w:p>
        </w:tc>
        <w:tc>
          <w:tcPr>
            <w:tcW w:type="dxa" w:w="3120"/>
          </w:tcPr>
          <w:p>
            <w:r>
              <w:t>If app behavior is unexpected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Generate API Docs</w:t>
            </w:r>
          </w:p>
        </w:tc>
        <w:tc>
          <w:tcPr>
            <w:tcW w:type="dxa" w:w="3120"/>
          </w:tcPr>
          <w:p>
            <w:r>
              <w:t>cd qmra_toolkit/docs &amp;&amp; sphinx-build</w:t>
            </w:r>
          </w:p>
        </w:tc>
        <w:tc>
          <w:tcPr>
            <w:tcW w:type="dxa" w:w="3120"/>
          </w:tcPr>
          <w:p>
            <w:r>
              <w:t>Creates HTML documentation</w:t>
            </w:r>
          </w:p>
        </w:tc>
      </w:tr>
      <w:tr>
        <w:tc>
          <w:tcPr>
            <w:tcW w:type="dxa" w:w="3120"/>
          </w:tcPr>
          <w:p>
            <w:r>
              <w:rPr>
                <w:b/>
              </w:rPr>
              <w:t>Export Current Session</w:t>
            </w:r>
          </w:p>
        </w:tc>
        <w:tc>
          <w:tcPr>
            <w:tcW w:type="dxa" w:w="3120"/>
          </w:tcPr>
          <w:p>
            <w:r>
              <w:t>Click 'Export Session' in app</w:t>
            </w:r>
          </w:p>
        </w:tc>
        <w:tc>
          <w:tcPr>
            <w:tcW w:type="dxa" w:w="3120"/>
          </w:tcPr>
          <w:p>
            <w:r>
              <w:t>Saves all parameters for later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Table 8: Quick Reference - Common Commands and Actions</w:t>
      </w:r>
    </w:p>
    <w:p>
      <w:r>
        <w:br w:type="page"/>
      </w:r>
    </w:p>
    <w:p>
      <w:pPr>
        <w:pStyle w:val="Heading2"/>
      </w:pPr>
      <w:r>
        <w:t>Appendix B: Pathogen Database Reference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shd w:fill="0070C0"/>
          </w:tcPr>
          <w:p>
            <w:r>
              <w:rPr>
                <w:b/>
                <w:color w:val="FFFFFF"/>
                <w:sz w:val="18"/>
              </w:rPr>
              <w:t>Pathogen</w:t>
            </w:r>
          </w:p>
        </w:tc>
        <w:tc>
          <w:tcPr>
            <w:tcW w:type="dxa" w:w="1560"/>
            <w:shd w:fill="0070C0"/>
          </w:tcPr>
          <w:p>
            <w:r>
              <w:rPr>
                <w:b/>
                <w:color w:val="FFFFFF"/>
                <w:sz w:val="18"/>
              </w:rPr>
              <w:t>Model Type</w:t>
            </w:r>
          </w:p>
        </w:tc>
        <w:tc>
          <w:tcPr>
            <w:tcW w:type="dxa" w:w="1560"/>
            <w:shd w:fill="0070C0"/>
          </w:tcPr>
          <w:p>
            <w:r>
              <w:rPr>
                <w:b/>
                <w:color w:val="FFFFFF"/>
                <w:sz w:val="18"/>
              </w:rPr>
              <w:t>Alpha (α)</w:t>
            </w:r>
          </w:p>
        </w:tc>
        <w:tc>
          <w:tcPr>
            <w:tcW w:type="dxa" w:w="1560"/>
            <w:shd w:fill="0070C0"/>
          </w:tcPr>
          <w:p>
            <w:r>
              <w:rPr>
                <w:b/>
                <w:color w:val="FFFFFF"/>
                <w:sz w:val="18"/>
              </w:rPr>
              <w:t>Beta/r</w:t>
            </w:r>
          </w:p>
        </w:tc>
        <w:tc>
          <w:tcPr>
            <w:tcW w:type="dxa" w:w="1560"/>
            <w:shd w:fill="0070C0"/>
          </w:tcPr>
          <w:p>
            <w:r>
              <w:rPr>
                <w:b/>
                <w:color w:val="FFFFFF"/>
                <w:sz w:val="18"/>
              </w:rPr>
              <w:t>Illness:Infection</w:t>
            </w:r>
          </w:p>
        </w:tc>
        <w:tc>
          <w:tcPr>
            <w:tcW w:type="dxa" w:w="1560"/>
            <w:shd w:fill="0070C0"/>
          </w:tcPr>
          <w:p>
            <w:r>
              <w:rPr>
                <w:b/>
                <w:color w:val="FFFFFF"/>
                <w:sz w:val="18"/>
              </w:rPr>
              <w:t>Source</w:t>
            </w:r>
          </w:p>
        </w:tc>
      </w:tr>
      <w:tr>
        <w:tc>
          <w:tcPr>
            <w:tcW w:type="dxa" w:w="1560"/>
          </w:tcPr>
          <w:p>
            <w:r>
              <w:rPr>
                <w:b/>
                <w:sz w:val="18"/>
              </w:rPr>
              <w:t>Norovirus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Beta-Poisson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0.04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0.055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0.70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Teunis 2008</w:t>
            </w:r>
          </w:p>
        </w:tc>
      </w:tr>
      <w:tr>
        <w:tc>
          <w:tcPr>
            <w:tcW w:type="dxa" w:w="1560"/>
          </w:tcPr>
          <w:p>
            <w:r>
              <w:rPr>
                <w:b/>
                <w:sz w:val="18"/>
              </w:rPr>
              <w:t>Campylobacter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Beta-Poisson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0.145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7.59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0.33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Medema 1996</w:t>
            </w:r>
          </w:p>
        </w:tc>
      </w:tr>
      <w:tr>
        <w:tc>
          <w:tcPr>
            <w:tcW w:type="dxa" w:w="1560"/>
          </w:tcPr>
          <w:p>
            <w:r>
              <w:rPr>
                <w:b/>
                <w:sz w:val="18"/>
              </w:rPr>
              <w:t>Cryptosporidium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Exponential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0.0042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0.70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DuPont 1995</w:t>
            </w:r>
          </w:p>
        </w:tc>
      </w:tr>
      <w:tr>
        <w:tc>
          <w:tcPr>
            <w:tcW w:type="dxa" w:w="1560"/>
          </w:tcPr>
          <w:p>
            <w:r>
              <w:rPr>
                <w:b/>
                <w:sz w:val="18"/>
              </w:rPr>
              <w:t>E. coli O157:H7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Beta-Poisson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0.49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5.99×10⁴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0.50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Haas 1999</w:t>
            </w:r>
          </w:p>
        </w:tc>
      </w:tr>
      <w:tr>
        <w:tc>
          <w:tcPr>
            <w:tcW w:type="dxa" w:w="1560"/>
          </w:tcPr>
          <w:p>
            <w:r>
              <w:rPr>
                <w:b/>
                <w:sz w:val="18"/>
              </w:rPr>
              <w:t>Salmonella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Beta-Poisson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0.33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2.49×10³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0.50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Haas 1999</w:t>
            </w:r>
          </w:p>
        </w:tc>
      </w:tr>
      <w:tr>
        <w:tc>
          <w:tcPr>
            <w:tcW w:type="dxa" w:w="1560"/>
          </w:tcPr>
          <w:p>
            <w:r>
              <w:rPr>
                <w:b/>
                <w:sz w:val="18"/>
              </w:rPr>
              <w:t>Rotavirus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Beta-Poisson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0.26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0.42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0.50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Ward 1986</w:t>
            </w:r>
          </w:p>
        </w:tc>
      </w:tr>
    </w:tbl>
    <w:p/>
    <w:p>
      <w:pPr>
        <w:pStyle w:val="Caption"/>
        <w:spacing w:before="120" w:after="240"/>
        <w:jc w:val="center"/>
      </w:pPr>
      <w:r>
        <w:rPr>
          <w:i/>
          <w:color w:val="404040"/>
          <w:sz w:val="20"/>
        </w:rPr>
        <w:t>Table 9: Pathogen Dose-Response Parameters - Peer-Reviewed Values</w:t>
      </w:r>
    </w:p>
    <w:p>
      <w:r>
        <w:br w:type="page"/>
      </w:r>
    </w:p>
    <w:p>
      <w:pPr>
        <w:pStyle w:val="Heading1"/>
      </w:pPr>
      <w:r>
        <w:t>Conclusion &amp; Next Steps</w:t>
      </w:r>
    </w:p>
    <w:p>
      <w:pPr>
        <w:pStyle w:val="Heading2"/>
      </w:pPr>
      <w:r>
        <w:t>Summary</w:t>
      </w:r>
    </w:p>
    <w:p>
      <w:pPr>
        <w:spacing w:after="240"/>
      </w:pPr>
      <w:r>
        <w:t>This technical demonstration guide has provided comprehensive, step-by-step instructions for using the NIWA QMRA Toolkit. You have learned how to configure assessments, interpret results, and generate professional reports for regulatory compliance.</w:t>
      </w:r>
    </w:p>
    <w:p>
      <w:pPr>
        <w:pStyle w:val="Heading2"/>
      </w:pPr>
      <w:r>
        <w:t>Key Capabilities Demonstrated</w:t>
      </w:r>
    </w:p>
    <w:p>
      <w:pPr>
        <w:spacing w:after="240"/>
      </w:pPr>
      <w:r>
        <w:t>• Multi-pathogen risk assessment with peer-reviewed models</w:t>
        <w:br/>
        <w:t>• Monte Carlo uncertainty quantification (10,000+ iterations)</w:t>
        <w:br/>
        <w:t>• Treatment train modeling with multi-barrier LRV analysis</w:t>
        <w:br/>
        <w:t>• Hydrodynamic dilution integration from ROMS/Delft3D models</w:t>
        <w:br/>
        <w:t>• Professional report generation for regulatory submissions</w:t>
        <w:br/>
        <w:t>• Sensitivity analysis for parameter importance ranking</w:t>
      </w:r>
    </w:p>
    <w:p>
      <w:pPr>
        <w:pStyle w:val="Heading2"/>
      </w:pPr>
      <w:r>
        <w:t>Best Practices Review</w:t>
      </w:r>
    </w:p>
    <w:p>
      <w:pPr>
        <w:spacing w:after="240"/>
      </w:pPr>
      <w:r>
        <w:t>• Always use Monte Carlo simulation (minimum 5,000 iterations) for uncertainty</w:t>
        <w:br/>
        <w:t>• Document all input parameters with sources and dates</w:t>
        <w:br/>
        <w:t>• Validate results against literature values and regulatory benchmarks</w:t>
        <w:br/>
        <w:t>• Conduct sensitivity analysis to identify key risk drivers</w:t>
        <w:br/>
        <w:t>• Generate professional reports with methodology documentation</w:t>
        <w:br/>
        <w:t>• Archive all input data, configurations, and results for reproducibility</w:t>
      </w:r>
    </w:p>
    <w:p>
      <w:pPr>
        <w:pStyle w:val="Heading2"/>
      </w:pPr>
      <w:r>
        <w:t>Next Steps</w:t>
      </w:r>
    </w:p>
    <w:p>
      <w:pPr>
        <w:spacing w:after="240"/>
      </w:pPr>
      <w:r>
        <w:t>1. Practice with the provided test data scenarios</w:t>
        <w:br/>
        <w:t>2. Adapt scenarios to your specific site conditions</w:t>
        <w:br/>
        <w:t>3. Collect site-specific monitoring data (pathogen concentrations, dilution)</w:t>
        <w:br/>
        <w:t>4. Configure treatment barriers matching your facility</w:t>
        <w:br/>
        <w:t>5. Run assessments and generate reports</w:t>
        <w:br/>
        <w:t>6. Review with stakeholders and regulatory agencies</w:t>
      </w:r>
    </w:p>
    <w:p>
      <w:pPr>
        <w:pStyle w:val="Heading2"/>
      </w:pPr>
      <w:r>
        <w:t>Additional Resources</w:t>
      </w:r>
    </w:p>
    <w:p>
      <w:pPr>
        <w:spacing w:after="240"/>
      </w:pPr>
      <w:r>
        <w:t>• User Guide: QMRA_TOOLKIT_USER_GUIDE.md</w:t>
        <w:br/>
        <w:t>• API Documentation: qmra_toolkit/docs/</w:t>
        <w:br/>
        <w:t>• Example Scripts: qmra_toolkit/examples/</w:t>
        <w:br/>
        <w:t>• Test Data: qmra_toolkit/test_data/</w:t>
        <w:br/>
        <w:t>• Scientific References: See Section 8 of User Guide</w:t>
      </w:r>
    </w:p>
    <w:p>
      <w:r>
        <w:br w:type="page"/>
      </w:r>
    </w:p>
    <w:p>
      <w:pPr>
        <w:jc w:val="center"/>
      </w:pPr>
      <w:r>
        <w:br/>
        <w:br/>
        <w:br/>
      </w:r>
      <w:r>
        <w:rPr>
          <w:b/>
          <w:color w:val="003366"/>
          <w:sz w:val="36"/>
        </w:rPr>
        <w:t>END OF TECHNICAL DEMONSTRATION GUIDE</w:t>
        <w:br/>
        <w:br/>
      </w:r>
      <w:r>
        <w:br/>
        <w:t>Document Version: 2.0 - Enhanced Edition</w:t>
        <w:br/>
      </w:r>
      <w:r>
        <w:t>Generated: October 13, 2025</w:t>
        <w:br/>
        <w:br/>
      </w:r>
      <w:r>
        <w:t>NIWA Earth Sciences New Zealand</w:t>
        <w:br/>
      </w:r>
      <w:r>
        <w:t>Quantitative Microbial Risk Assessment Toolkit</w:t>
        <w:br/>
        <w:br/>
      </w:r>
      <w:r>
        <w:rPr>
          <w:i/>
          <w:sz w:val="20"/>
        </w:rPr>
        <w:t>For support: reza.moghaddam@niwa.co.nz</w:t>
      </w:r>
    </w:p>
    <w:sectPr w:rsidR="00FC693F" w:rsidRPr="0006063C" w:rsidSect="0003461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80" w:after="200"/>
      <w:outlineLvl w:val="1"/>
    </w:pPr>
    <w:rPr>
      <w:rFonts w:asciiTheme="majorHAnsi" w:eastAsiaTheme="majorEastAsia" w:hAnsiTheme="majorHAnsi" w:cstheme="majorBidi" w:ascii="Calibri" w:hAnsi="Calibri"/>
      <w:b/>
      <w:bCs/>
      <w:color w:val="006699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160"/>
      <w:outlineLvl w:val="2"/>
    </w:pPr>
    <w:rPr>
      <w:rFonts w:asciiTheme="majorHAnsi" w:eastAsiaTheme="majorEastAsia" w:hAnsiTheme="majorHAnsi" w:cstheme="majorBidi" w:ascii="Calibri" w:hAnsi="Calibri"/>
      <w:b/>
      <w:bCs/>
      <w:color w:val="336699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