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QMRA Assessment - Norovirus</w:t>
      </w:r>
    </w:p>
    <w:p/>
    <w:p>
      <w:pPr>
        <w:jc w:val="center"/>
      </w:pPr>
      <w:r>
        <w:rPr>
          <w:b/>
        </w:rPr>
        <w:t xml:space="preserve">Pathogen: </w:t>
      </w:r>
      <w:r>
        <w:t>norovirus</w:t>
      </w:r>
    </w:p>
    <w:p>
      <w:pPr>
        <w:jc w:val="center"/>
      </w:pPr>
      <w:r>
        <w:rPr>
          <w:b/>
        </w:rPr>
        <w:t xml:space="preserve">Assessment Date: </w:t>
      </w:r>
      <w:r>
        <w:t>2025-10-06</w:t>
      </w:r>
    </w:p>
    <w:p>
      <w:pPr>
        <w:jc w:val="center"/>
      </w:pPr>
      <w:r>
        <w:rPr>
          <w:b/>
        </w:rPr>
        <w:t xml:space="preserve">Generated By: </w:t>
      </w:r>
      <w:r>
        <w:t>QMRA Assessment Toolkit</w:t>
      </w:r>
    </w:p>
    <w:p/>
    <w:p>
      <w:pPr>
        <w:jc w:val="center"/>
      </w:pPr>
      <w:r>
        <w:t>Report Date: 06 October 2025</w:t>
      </w:r>
    </w:p>
    <w:p/>
    <w:p/>
    <w:p>
      <w:pPr>
        <w:jc w:val="center"/>
      </w:pPr>
      <w:r>
        <w:rPr>
          <w:i/>
        </w:rPr>
        <w:t>This report was generated using the QMRA Assessment Toolkit developed by NIWA Earth Sciences New Zealand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Quantitative Microbial Risk Assessment (QMRA) evaluates the health risks associated with norovirus exposure. The assessment indicates a mean annual infection risk of 1.00e+00 with a 95th percentile risk of 1.00e+00.</w:t>
      </w:r>
    </w:p>
    <w:p>
      <w:r>
        <w:t>The calculated risks exceed acceptable regulatory thresholds. Additional risk management measures are recommended.</w:t>
      </w:r>
    </w:p>
    <w:p>
      <w:r>
        <w:t>Key Findings:</w:t>
      </w:r>
    </w:p>
    <w:p>
      <w:pPr>
        <w:pStyle w:val="ListBullet"/>
      </w:pPr>
      <w:r>
        <w:t xml:space="preserve">Infection Probability: </w:t>
      </w:r>
      <w:r>
        <w:t>Mean = 3.25e-01</w:t>
      </w:r>
    </w:p>
    <w:p>
      <w:pPr>
        <w:pStyle w:val="ListBullet"/>
      </w:pPr>
      <w:r>
        <w:t xml:space="preserve">Illness Probability: </w:t>
      </w:r>
      <w:r>
        <w:t>Mean = 2.27e-01</w:t>
      </w:r>
    </w:p>
    <w:p>
      <w:pPr>
        <w:pStyle w:val="ListBullet"/>
      </w:pPr>
      <w:r>
        <w:t xml:space="preserve">Annual Risk: </w:t>
      </w:r>
      <w:r>
        <w:t>Mean = 1.00e+00</w:t>
      </w:r>
    </w:p>
    <w:p>
      <w:pPr>
        <w:pStyle w:val="ListBullet"/>
      </w:pPr>
      <w:r>
        <w:t xml:space="preserve">Dalys: </w:t>
      </w:r>
      <w:r>
        <w:t>Mean = 4.54e-04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[Table of Contents to be generated]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This report presents the results of a Quantitative Microbial Risk Assessment (QMRA) conducted for the project. QMRA is a systematic approach to estimating the risk of adverse health effects from exposure to pathogenic microorganisms in water, food, and environmental sources.</w:t>
      </w:r>
    </w:p>
    <w:p>
      <w:pPr>
        <w:pStyle w:val="Heading2"/>
      </w:pPr>
      <w:r>
        <w:t>1.1 Objectives</w:t>
      </w:r>
    </w:p>
    <w:p>
      <w:pPr>
        <w:pStyle w:val="ListBullet"/>
      </w:pPr>
      <w:r>
        <w:t>Quantify the infection and illness risks from pathogen exposure</w:t>
      </w:r>
    </w:p>
    <w:p>
      <w:pPr>
        <w:pStyle w:val="ListBullet"/>
      </w:pPr>
      <w:r>
        <w:t>Evaluate compliance with regulatory risk thresholds</w:t>
      </w:r>
    </w:p>
    <w:p>
      <w:pPr>
        <w:pStyle w:val="ListBullet"/>
      </w:pPr>
      <w:r>
        <w:t>Identify critical control points for risk reduction</w:t>
      </w:r>
    </w:p>
    <w:p>
      <w:pPr>
        <w:pStyle w:val="ListBullet"/>
      </w:pPr>
      <w:r>
        <w:t>Provide evidence-based recommendations for risk management</w:t>
      </w:r>
    </w:p>
    <w:p>
      <w:pPr>
        <w:pStyle w:val="Heading1"/>
      </w:pPr>
      <w:r>
        <w:t>2. Methodology</w:t>
      </w:r>
    </w:p>
    <w:p>
      <w:pPr>
        <w:pStyle w:val="Heading2"/>
      </w:pPr>
      <w:r>
        <w:t>2.1 Exposure Assessment</w:t>
      </w:r>
    </w:p>
    <w:p>
      <w:r>
        <w:t>Exposure assessment was conducted using the following parameters: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Pathogen Concentration</w:t>
            </w:r>
          </w:p>
        </w:tc>
        <w:tc>
          <w:tcPr>
            <w:tcW w:type="dxa" w:w="4320"/>
          </w:tcPr>
          <w:p>
            <w:r>
              <w:t>1.00e+03</w:t>
            </w:r>
          </w:p>
        </w:tc>
      </w:tr>
      <w:tr>
        <w:tc>
          <w:tcPr>
            <w:tcW w:type="dxa" w:w="4320"/>
          </w:tcPr>
          <w:p>
            <w:r>
              <w:t>Exposure Frequency</w:t>
            </w:r>
          </w:p>
        </w:tc>
        <w:tc>
          <w:tcPr>
            <w:tcW w:type="dxa" w:w="4320"/>
          </w:tcPr>
          <w:p>
            <w:r>
              <w:t>20.0</w:t>
            </w:r>
          </w:p>
        </w:tc>
      </w:tr>
      <w:tr>
        <w:tc>
          <w:tcPr>
            <w:tcW w:type="dxa" w:w="4320"/>
          </w:tcPr>
          <w:p>
            <w:r>
              <w:t>Water Ingestion Volume</w:t>
            </w:r>
          </w:p>
        </w:tc>
        <w:tc>
          <w:tcPr>
            <w:tcW w:type="dxa" w:w="432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2.2 Dose-Response Modelling</w:t>
      </w:r>
    </w:p>
    <w:p>
      <w:r>
        <w:t>Dose-response relationships were modeled using established mathematical models including Beta-Poisson and exponential models, with parameters from peer-reviewed literature.</w:t>
      </w:r>
    </w:p>
    <w:p>
      <w:pPr>
        <w:pStyle w:val="Heading1"/>
      </w:pPr>
      <w:r>
        <w:t>3. Risk Assessment Results</w:t>
      </w:r>
    </w:p>
    <w:p>
      <w:pPr>
        <w:pStyle w:val="Heading2"/>
      </w:pPr>
      <w:r>
        <w:t>3.1 Infection Probability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Statistic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3.25e-01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3.25e-01</w:t>
            </w:r>
          </w:p>
        </w:tc>
      </w:tr>
      <w:tr>
        <w:tc>
          <w:tcPr>
            <w:tcW w:type="dxa" w:w="4320"/>
          </w:tcPr>
          <w:p>
            <w:r>
              <w:t>Std</w:t>
            </w:r>
          </w:p>
        </w:tc>
        <w:tc>
          <w:tcPr>
            <w:tcW w:type="dxa" w:w="4320"/>
          </w:tcPr>
          <w:p>
            <w:r>
              <w:t>0.00e+00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3.25e-01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3.25e-01</w:t>
            </w:r>
          </w:p>
        </w:tc>
      </w:tr>
      <w:tr>
        <w:tc>
          <w:tcPr>
            <w:tcW w:type="dxa" w:w="4320"/>
          </w:tcPr>
          <w:p>
            <w:r>
              <w:t>P1</w:t>
            </w:r>
          </w:p>
        </w:tc>
        <w:tc>
          <w:tcPr>
            <w:tcW w:type="dxa" w:w="4320"/>
          </w:tcPr>
          <w:p>
            <w:r>
              <w:t>3.25e-01</w:t>
            </w:r>
          </w:p>
        </w:tc>
      </w:tr>
      <w:tr>
        <w:tc>
          <w:tcPr>
            <w:tcW w:type="dxa" w:w="4320"/>
          </w:tcPr>
          <w:p>
            <w:r>
              <w:t>P5</w:t>
            </w:r>
          </w:p>
        </w:tc>
        <w:tc>
          <w:tcPr>
            <w:tcW w:type="dxa" w:w="4320"/>
          </w:tcPr>
          <w:p>
            <w:r>
              <w:t>3.25e-01</w:t>
            </w:r>
          </w:p>
        </w:tc>
      </w:tr>
      <w:tr>
        <w:tc>
          <w:tcPr>
            <w:tcW w:type="dxa" w:w="4320"/>
          </w:tcPr>
          <w:p>
            <w:r>
              <w:t>P10</w:t>
            </w:r>
          </w:p>
        </w:tc>
        <w:tc>
          <w:tcPr>
            <w:tcW w:type="dxa" w:w="4320"/>
          </w:tcPr>
          <w:p>
            <w:r>
              <w:t>3.25e-01</w:t>
            </w:r>
          </w:p>
        </w:tc>
      </w:tr>
      <w:tr>
        <w:tc>
          <w:tcPr>
            <w:tcW w:type="dxa" w:w="4320"/>
          </w:tcPr>
          <w:p>
            <w:r>
              <w:t>P25</w:t>
            </w:r>
          </w:p>
        </w:tc>
        <w:tc>
          <w:tcPr>
            <w:tcW w:type="dxa" w:w="4320"/>
          </w:tcPr>
          <w:p>
            <w:r>
              <w:t>3.25e-01</w:t>
            </w:r>
          </w:p>
        </w:tc>
      </w:tr>
      <w:tr>
        <w:tc>
          <w:tcPr>
            <w:tcW w:type="dxa" w:w="4320"/>
          </w:tcPr>
          <w:p>
            <w:r>
              <w:t>P75</w:t>
            </w:r>
          </w:p>
        </w:tc>
        <w:tc>
          <w:tcPr>
            <w:tcW w:type="dxa" w:w="4320"/>
          </w:tcPr>
          <w:p>
            <w:r>
              <w:t>3.25e-01</w:t>
            </w:r>
          </w:p>
        </w:tc>
      </w:tr>
      <w:tr>
        <w:tc>
          <w:tcPr>
            <w:tcW w:type="dxa" w:w="4320"/>
          </w:tcPr>
          <w:p>
            <w:r>
              <w:t>P90</w:t>
            </w:r>
          </w:p>
        </w:tc>
        <w:tc>
          <w:tcPr>
            <w:tcW w:type="dxa" w:w="4320"/>
          </w:tcPr>
          <w:p>
            <w:r>
              <w:t>3.25e-01</w:t>
            </w:r>
          </w:p>
        </w:tc>
      </w:tr>
      <w:tr>
        <w:tc>
          <w:tcPr>
            <w:tcW w:type="dxa" w:w="4320"/>
          </w:tcPr>
          <w:p>
            <w:r>
              <w:t>P95</w:t>
            </w:r>
          </w:p>
        </w:tc>
        <w:tc>
          <w:tcPr>
            <w:tcW w:type="dxa" w:w="4320"/>
          </w:tcPr>
          <w:p>
            <w:r>
              <w:t>3.25e-01</w:t>
            </w:r>
          </w:p>
        </w:tc>
      </w:tr>
      <w:tr>
        <w:tc>
          <w:tcPr>
            <w:tcW w:type="dxa" w:w="4320"/>
          </w:tcPr>
          <w:p>
            <w:r>
              <w:t>P99</w:t>
            </w:r>
          </w:p>
        </w:tc>
        <w:tc>
          <w:tcPr>
            <w:tcW w:type="dxa" w:w="4320"/>
          </w:tcPr>
          <w:p>
            <w:r>
              <w:t>3.25e-01</w:t>
            </w:r>
          </w:p>
        </w:tc>
      </w:tr>
    </w:tbl>
    <w:p/>
    <w:p>
      <w:pPr>
        <w:pStyle w:val="Heading2"/>
      </w:pPr>
      <w:r>
        <w:t>3.2 Illness Probability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Statistic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2.27e-01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2.27e-01</w:t>
            </w:r>
          </w:p>
        </w:tc>
      </w:tr>
      <w:tr>
        <w:tc>
          <w:tcPr>
            <w:tcW w:type="dxa" w:w="4320"/>
          </w:tcPr>
          <w:p>
            <w:r>
              <w:t>Std</w:t>
            </w:r>
          </w:p>
        </w:tc>
        <w:tc>
          <w:tcPr>
            <w:tcW w:type="dxa" w:w="4320"/>
          </w:tcPr>
          <w:p>
            <w:r>
              <w:t>0.00e+00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2.27e-01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2.27e-01</w:t>
            </w:r>
          </w:p>
        </w:tc>
      </w:tr>
      <w:tr>
        <w:tc>
          <w:tcPr>
            <w:tcW w:type="dxa" w:w="4320"/>
          </w:tcPr>
          <w:p>
            <w:r>
              <w:t>P1</w:t>
            </w:r>
          </w:p>
        </w:tc>
        <w:tc>
          <w:tcPr>
            <w:tcW w:type="dxa" w:w="4320"/>
          </w:tcPr>
          <w:p>
            <w:r>
              <w:t>2.27e-01</w:t>
            </w:r>
          </w:p>
        </w:tc>
      </w:tr>
      <w:tr>
        <w:tc>
          <w:tcPr>
            <w:tcW w:type="dxa" w:w="4320"/>
          </w:tcPr>
          <w:p>
            <w:r>
              <w:t>P5</w:t>
            </w:r>
          </w:p>
        </w:tc>
        <w:tc>
          <w:tcPr>
            <w:tcW w:type="dxa" w:w="4320"/>
          </w:tcPr>
          <w:p>
            <w:r>
              <w:t>2.27e-01</w:t>
            </w:r>
          </w:p>
        </w:tc>
      </w:tr>
      <w:tr>
        <w:tc>
          <w:tcPr>
            <w:tcW w:type="dxa" w:w="4320"/>
          </w:tcPr>
          <w:p>
            <w:r>
              <w:t>P10</w:t>
            </w:r>
          </w:p>
        </w:tc>
        <w:tc>
          <w:tcPr>
            <w:tcW w:type="dxa" w:w="4320"/>
          </w:tcPr>
          <w:p>
            <w:r>
              <w:t>2.27e-01</w:t>
            </w:r>
          </w:p>
        </w:tc>
      </w:tr>
      <w:tr>
        <w:tc>
          <w:tcPr>
            <w:tcW w:type="dxa" w:w="4320"/>
          </w:tcPr>
          <w:p>
            <w:r>
              <w:t>P25</w:t>
            </w:r>
          </w:p>
        </w:tc>
        <w:tc>
          <w:tcPr>
            <w:tcW w:type="dxa" w:w="4320"/>
          </w:tcPr>
          <w:p>
            <w:r>
              <w:t>2.27e-01</w:t>
            </w:r>
          </w:p>
        </w:tc>
      </w:tr>
      <w:tr>
        <w:tc>
          <w:tcPr>
            <w:tcW w:type="dxa" w:w="4320"/>
          </w:tcPr>
          <w:p>
            <w:r>
              <w:t>P75</w:t>
            </w:r>
          </w:p>
        </w:tc>
        <w:tc>
          <w:tcPr>
            <w:tcW w:type="dxa" w:w="4320"/>
          </w:tcPr>
          <w:p>
            <w:r>
              <w:t>2.27e-01</w:t>
            </w:r>
          </w:p>
        </w:tc>
      </w:tr>
      <w:tr>
        <w:tc>
          <w:tcPr>
            <w:tcW w:type="dxa" w:w="4320"/>
          </w:tcPr>
          <w:p>
            <w:r>
              <w:t>P90</w:t>
            </w:r>
          </w:p>
        </w:tc>
        <w:tc>
          <w:tcPr>
            <w:tcW w:type="dxa" w:w="4320"/>
          </w:tcPr>
          <w:p>
            <w:r>
              <w:t>2.27e-01</w:t>
            </w:r>
          </w:p>
        </w:tc>
      </w:tr>
      <w:tr>
        <w:tc>
          <w:tcPr>
            <w:tcW w:type="dxa" w:w="4320"/>
          </w:tcPr>
          <w:p>
            <w:r>
              <w:t>P95</w:t>
            </w:r>
          </w:p>
        </w:tc>
        <w:tc>
          <w:tcPr>
            <w:tcW w:type="dxa" w:w="4320"/>
          </w:tcPr>
          <w:p>
            <w:r>
              <w:t>2.27e-01</w:t>
            </w:r>
          </w:p>
        </w:tc>
      </w:tr>
      <w:tr>
        <w:tc>
          <w:tcPr>
            <w:tcW w:type="dxa" w:w="4320"/>
          </w:tcPr>
          <w:p>
            <w:r>
              <w:t>P99</w:t>
            </w:r>
          </w:p>
        </w:tc>
        <w:tc>
          <w:tcPr>
            <w:tcW w:type="dxa" w:w="4320"/>
          </w:tcPr>
          <w:p>
            <w:r>
              <w:t>2.27e-01</w:t>
            </w:r>
          </w:p>
        </w:tc>
      </w:tr>
    </w:tbl>
    <w:p/>
    <w:p>
      <w:pPr>
        <w:pStyle w:val="Heading2"/>
      </w:pPr>
      <w:r>
        <w:t>3.3 Annual Risk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Statistic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1.00e+00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1.00e+00</w:t>
            </w:r>
          </w:p>
        </w:tc>
      </w:tr>
      <w:tr>
        <w:tc>
          <w:tcPr>
            <w:tcW w:type="dxa" w:w="4320"/>
          </w:tcPr>
          <w:p>
            <w:r>
              <w:t>Std</w:t>
            </w:r>
          </w:p>
        </w:tc>
        <w:tc>
          <w:tcPr>
            <w:tcW w:type="dxa" w:w="4320"/>
          </w:tcPr>
          <w:p>
            <w:r>
              <w:t>2.22e-16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1.00e+00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1.00e+00</w:t>
            </w:r>
          </w:p>
        </w:tc>
      </w:tr>
      <w:tr>
        <w:tc>
          <w:tcPr>
            <w:tcW w:type="dxa" w:w="4320"/>
          </w:tcPr>
          <w:p>
            <w:r>
              <w:t>P1</w:t>
            </w:r>
          </w:p>
        </w:tc>
        <w:tc>
          <w:tcPr>
            <w:tcW w:type="dxa" w:w="4320"/>
          </w:tcPr>
          <w:p>
            <w:r>
              <w:t>1.00e+00</w:t>
            </w:r>
          </w:p>
        </w:tc>
      </w:tr>
      <w:tr>
        <w:tc>
          <w:tcPr>
            <w:tcW w:type="dxa" w:w="4320"/>
          </w:tcPr>
          <w:p>
            <w:r>
              <w:t>P5</w:t>
            </w:r>
          </w:p>
        </w:tc>
        <w:tc>
          <w:tcPr>
            <w:tcW w:type="dxa" w:w="4320"/>
          </w:tcPr>
          <w:p>
            <w:r>
              <w:t>1.00e+00</w:t>
            </w:r>
          </w:p>
        </w:tc>
      </w:tr>
      <w:tr>
        <w:tc>
          <w:tcPr>
            <w:tcW w:type="dxa" w:w="4320"/>
          </w:tcPr>
          <w:p>
            <w:r>
              <w:t>P10</w:t>
            </w:r>
          </w:p>
        </w:tc>
        <w:tc>
          <w:tcPr>
            <w:tcW w:type="dxa" w:w="4320"/>
          </w:tcPr>
          <w:p>
            <w:r>
              <w:t>1.00e+00</w:t>
            </w:r>
          </w:p>
        </w:tc>
      </w:tr>
      <w:tr>
        <w:tc>
          <w:tcPr>
            <w:tcW w:type="dxa" w:w="4320"/>
          </w:tcPr>
          <w:p>
            <w:r>
              <w:t>P25</w:t>
            </w:r>
          </w:p>
        </w:tc>
        <w:tc>
          <w:tcPr>
            <w:tcW w:type="dxa" w:w="4320"/>
          </w:tcPr>
          <w:p>
            <w:r>
              <w:t>1.00e+00</w:t>
            </w:r>
          </w:p>
        </w:tc>
      </w:tr>
      <w:tr>
        <w:tc>
          <w:tcPr>
            <w:tcW w:type="dxa" w:w="4320"/>
          </w:tcPr>
          <w:p>
            <w:r>
              <w:t>P75</w:t>
            </w:r>
          </w:p>
        </w:tc>
        <w:tc>
          <w:tcPr>
            <w:tcW w:type="dxa" w:w="4320"/>
          </w:tcPr>
          <w:p>
            <w:r>
              <w:t>1.00e+00</w:t>
            </w:r>
          </w:p>
        </w:tc>
      </w:tr>
      <w:tr>
        <w:tc>
          <w:tcPr>
            <w:tcW w:type="dxa" w:w="4320"/>
          </w:tcPr>
          <w:p>
            <w:r>
              <w:t>P90</w:t>
            </w:r>
          </w:p>
        </w:tc>
        <w:tc>
          <w:tcPr>
            <w:tcW w:type="dxa" w:w="4320"/>
          </w:tcPr>
          <w:p>
            <w:r>
              <w:t>1.00e+00</w:t>
            </w:r>
          </w:p>
        </w:tc>
      </w:tr>
      <w:tr>
        <w:tc>
          <w:tcPr>
            <w:tcW w:type="dxa" w:w="4320"/>
          </w:tcPr>
          <w:p>
            <w:r>
              <w:t>P95</w:t>
            </w:r>
          </w:p>
        </w:tc>
        <w:tc>
          <w:tcPr>
            <w:tcW w:type="dxa" w:w="4320"/>
          </w:tcPr>
          <w:p>
            <w:r>
              <w:t>1.00e+00</w:t>
            </w:r>
          </w:p>
        </w:tc>
      </w:tr>
      <w:tr>
        <w:tc>
          <w:tcPr>
            <w:tcW w:type="dxa" w:w="4320"/>
          </w:tcPr>
          <w:p>
            <w:r>
              <w:t>P99</w:t>
            </w:r>
          </w:p>
        </w:tc>
        <w:tc>
          <w:tcPr>
            <w:tcW w:type="dxa" w:w="4320"/>
          </w:tcPr>
          <w:p>
            <w:r>
              <w:t>1.00e+00</w:t>
            </w:r>
          </w:p>
        </w:tc>
      </w:tr>
    </w:tbl>
    <w:p/>
    <w:p>
      <w:pPr>
        <w:pStyle w:val="Heading2"/>
      </w:pPr>
      <w:r>
        <w:t>3.4 Dalys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Statistic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0.0005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0.0005</w:t>
            </w:r>
          </w:p>
        </w:tc>
      </w:tr>
      <w:tr>
        <w:tc>
          <w:tcPr>
            <w:tcW w:type="dxa" w:w="4320"/>
          </w:tcPr>
          <w:p>
            <w:r>
              <w:t>Std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0.0005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0.0005</w:t>
            </w:r>
          </w:p>
        </w:tc>
      </w:tr>
      <w:tr>
        <w:tc>
          <w:tcPr>
            <w:tcW w:type="dxa" w:w="4320"/>
          </w:tcPr>
          <w:p>
            <w:r>
              <w:t>P1</w:t>
            </w:r>
          </w:p>
        </w:tc>
        <w:tc>
          <w:tcPr>
            <w:tcW w:type="dxa" w:w="4320"/>
          </w:tcPr>
          <w:p>
            <w:r>
              <w:t>0.0005</w:t>
            </w:r>
          </w:p>
        </w:tc>
      </w:tr>
      <w:tr>
        <w:tc>
          <w:tcPr>
            <w:tcW w:type="dxa" w:w="4320"/>
          </w:tcPr>
          <w:p>
            <w:r>
              <w:t>P5</w:t>
            </w:r>
          </w:p>
        </w:tc>
        <w:tc>
          <w:tcPr>
            <w:tcW w:type="dxa" w:w="4320"/>
          </w:tcPr>
          <w:p>
            <w:r>
              <w:t>0.0005</w:t>
            </w:r>
          </w:p>
        </w:tc>
      </w:tr>
      <w:tr>
        <w:tc>
          <w:tcPr>
            <w:tcW w:type="dxa" w:w="4320"/>
          </w:tcPr>
          <w:p>
            <w:r>
              <w:t>P10</w:t>
            </w:r>
          </w:p>
        </w:tc>
        <w:tc>
          <w:tcPr>
            <w:tcW w:type="dxa" w:w="4320"/>
          </w:tcPr>
          <w:p>
            <w:r>
              <w:t>0.0005</w:t>
            </w:r>
          </w:p>
        </w:tc>
      </w:tr>
      <w:tr>
        <w:tc>
          <w:tcPr>
            <w:tcW w:type="dxa" w:w="4320"/>
          </w:tcPr>
          <w:p>
            <w:r>
              <w:t>P25</w:t>
            </w:r>
          </w:p>
        </w:tc>
        <w:tc>
          <w:tcPr>
            <w:tcW w:type="dxa" w:w="4320"/>
          </w:tcPr>
          <w:p>
            <w:r>
              <w:t>0.0005</w:t>
            </w:r>
          </w:p>
        </w:tc>
      </w:tr>
      <w:tr>
        <w:tc>
          <w:tcPr>
            <w:tcW w:type="dxa" w:w="4320"/>
          </w:tcPr>
          <w:p>
            <w:r>
              <w:t>P75</w:t>
            </w:r>
          </w:p>
        </w:tc>
        <w:tc>
          <w:tcPr>
            <w:tcW w:type="dxa" w:w="4320"/>
          </w:tcPr>
          <w:p>
            <w:r>
              <w:t>0.0005</w:t>
            </w:r>
          </w:p>
        </w:tc>
      </w:tr>
      <w:tr>
        <w:tc>
          <w:tcPr>
            <w:tcW w:type="dxa" w:w="4320"/>
          </w:tcPr>
          <w:p>
            <w:r>
              <w:t>P90</w:t>
            </w:r>
          </w:p>
        </w:tc>
        <w:tc>
          <w:tcPr>
            <w:tcW w:type="dxa" w:w="4320"/>
          </w:tcPr>
          <w:p>
            <w:r>
              <w:t>0.0005</w:t>
            </w:r>
          </w:p>
        </w:tc>
      </w:tr>
      <w:tr>
        <w:tc>
          <w:tcPr>
            <w:tcW w:type="dxa" w:w="4320"/>
          </w:tcPr>
          <w:p>
            <w:r>
              <w:t>P95</w:t>
            </w:r>
          </w:p>
        </w:tc>
        <w:tc>
          <w:tcPr>
            <w:tcW w:type="dxa" w:w="4320"/>
          </w:tcPr>
          <w:p>
            <w:r>
              <w:t>0.0005</w:t>
            </w:r>
          </w:p>
        </w:tc>
      </w:tr>
      <w:tr>
        <w:tc>
          <w:tcPr>
            <w:tcW w:type="dxa" w:w="4320"/>
          </w:tcPr>
          <w:p>
            <w:r>
              <w:t>P99</w:t>
            </w:r>
          </w:p>
        </w:tc>
        <w:tc>
          <w:tcPr>
            <w:tcW w:type="dxa" w:w="4320"/>
          </w:tcPr>
          <w:p>
            <w:r>
              <w:t>0.0005</w:t>
            </w:r>
          </w:p>
        </w:tc>
      </w:tr>
    </w:tbl>
    <w:p/>
    <w:p>
      <w:pPr>
        <w:pStyle w:val="Heading1"/>
      </w:pPr>
      <w:r>
        <w:t>5. Regulatory Compliance Assessment</w:t>
      </w:r>
    </w:p>
    <w:p>
      <w:r>
        <w:t>The following table summarizes compliance with regulatory risk thresholds: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Risk Metric</w:t>
            </w:r>
          </w:p>
        </w:tc>
        <w:tc>
          <w:tcPr>
            <w:tcW w:type="dxa" w:w="2160"/>
          </w:tcPr>
          <w:p>
            <w:r>
              <w:t>Calculated Risk</w:t>
            </w:r>
          </w:p>
        </w:tc>
        <w:tc>
          <w:tcPr>
            <w:tcW w:type="dxa" w:w="2160"/>
          </w:tcPr>
          <w:p>
            <w:r>
              <w:t>Threshold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Infection Probability</w:t>
            </w:r>
          </w:p>
        </w:tc>
        <w:tc>
          <w:tcPr>
            <w:tcW w:type="dxa" w:w="2160"/>
          </w:tcPr>
          <w:p>
            <w:r>
              <w:t>3.25e-01</w:t>
            </w:r>
          </w:p>
        </w:tc>
        <w:tc>
          <w:tcPr>
            <w:tcW w:type="dxa" w:w="2160"/>
          </w:tcPr>
          <w:p>
            <w:r>
              <w:t>1.00e-03</w:t>
            </w:r>
          </w:p>
        </w:tc>
        <w:tc>
          <w:tcPr>
            <w:tcW w:type="dxa" w:w="2160"/>
          </w:tcPr>
          <w:p>
            <w:r>
              <w:t>NON-COMPLIANT</w:t>
            </w:r>
          </w:p>
        </w:tc>
      </w:tr>
      <w:tr>
        <w:tc>
          <w:tcPr>
            <w:tcW w:type="dxa" w:w="2160"/>
          </w:tcPr>
          <w:p>
            <w:r>
              <w:t>Illness Probability</w:t>
            </w:r>
          </w:p>
        </w:tc>
        <w:tc>
          <w:tcPr>
            <w:tcW w:type="dxa" w:w="2160"/>
          </w:tcPr>
          <w:p>
            <w:r>
              <w:t>2.27e-01</w:t>
            </w:r>
          </w:p>
        </w:tc>
        <w:tc>
          <w:tcPr>
            <w:tcW w:type="dxa" w:w="2160"/>
          </w:tcPr>
          <w:p>
            <w:r>
              <w:t>1.00e-04</w:t>
            </w:r>
          </w:p>
        </w:tc>
        <w:tc>
          <w:tcPr>
            <w:tcW w:type="dxa" w:w="2160"/>
          </w:tcPr>
          <w:p>
            <w:r>
              <w:t>NON-COMPLIANT</w:t>
            </w:r>
          </w:p>
        </w:tc>
      </w:tr>
      <w:tr>
        <w:tc>
          <w:tcPr>
            <w:tcW w:type="dxa" w:w="2160"/>
          </w:tcPr>
          <w:p>
            <w:r>
              <w:t>Annual Risk</w:t>
            </w:r>
          </w:p>
        </w:tc>
        <w:tc>
          <w:tcPr>
            <w:tcW w:type="dxa" w:w="2160"/>
          </w:tcPr>
          <w:p>
            <w:r>
              <w:t>1.00e+00</w:t>
            </w:r>
          </w:p>
        </w:tc>
        <w:tc>
          <w:tcPr>
            <w:tcW w:type="dxa" w:w="2160"/>
          </w:tcPr>
          <w:p>
            <w:r>
              <w:t>1.00e-06</w:t>
            </w:r>
          </w:p>
        </w:tc>
        <w:tc>
          <w:tcPr>
            <w:tcW w:type="dxa" w:w="2160"/>
          </w:tcPr>
          <w:p>
            <w:r>
              <w:t>NON-COMPLIANT</w:t>
            </w:r>
          </w:p>
        </w:tc>
      </w:tr>
    </w:tbl>
    <w:p>
      <w:pPr>
        <w:pStyle w:val="Heading1"/>
      </w:pPr>
      <w:r>
        <w:t>6. Conclusions and Recommendations</w:t>
      </w:r>
    </w:p>
    <w:p>
      <w:pPr>
        <w:pStyle w:val="Heading2"/>
      </w:pPr>
      <w:r>
        <w:t>6.1 Conclusions</w:t>
      </w:r>
    </w:p>
    <w:p>
      <w:r>
        <w:t>Based on the comprehensive QMRA, the assessed health risks are unacceptable. The mean annual infection risk of 1.00e+00 has been calculated using conservative assumptions and validated dose-response models.</w:t>
      </w:r>
    </w:p>
    <w:p>
      <w:pPr>
        <w:pStyle w:val="Heading2"/>
      </w:pPr>
      <w:r>
        <w:t>6.2 Recommendations</w:t>
      </w:r>
    </w:p>
    <w:p>
      <w:pPr>
        <w:pStyle w:val="ListBullet"/>
      </w:pPr>
      <w:r>
        <w:t>Continue monitoring pathogen concentrations to validate model assumptions</w:t>
      </w:r>
    </w:p>
    <w:p>
      <w:pPr>
        <w:pStyle w:val="ListBullet"/>
      </w:pPr>
      <w:r>
        <w:t>Implement identified critical control points for risk reduction</w:t>
      </w:r>
    </w:p>
    <w:p>
      <w:pPr>
        <w:pStyle w:val="ListBullet"/>
      </w:pPr>
      <w:r>
        <w:t>Review and update the assessment annually or when system changes occur</w:t>
      </w:r>
    </w:p>
    <w:p>
      <w:pPr>
        <w:pStyle w:val="ListBullet"/>
      </w:pPr>
      <w:r>
        <w:t>Consider additional treatment barriers if risks approach regulatory thresholds</w:t>
      </w:r>
    </w:p>
    <w:p>
      <w:r>
        <w:br w:type="page"/>
      </w:r>
    </w:p>
    <w:p>
      <w:pPr>
        <w:pStyle w:val="Heading1"/>
      </w:pPr>
      <w:r>
        <w:t>Appendices</w:t>
      </w:r>
    </w:p>
    <w:p>
      <w:pPr>
        <w:pStyle w:val="Heading2"/>
      </w:pPr>
      <w:r>
        <w:t>Appendix A: Detailed Statistical Results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Statistic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</w:tr>
      <w:tr>
        <w:tc>
          <w:tcPr>
            <w:tcW w:type="dxa" w:w="2880"/>
          </w:tcPr>
          <w:p>
            <w:r>
              <w:t>Infection Probability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0.3245</w:t>
            </w:r>
          </w:p>
        </w:tc>
      </w:tr>
      <w:tr>
        <w:tc>
          <w:tcPr>
            <w:tcW w:type="dxa" w:w="2880"/>
          </w:tcPr>
          <w:p>
            <w:r>
              <w:t>Infection Probability</w:t>
            </w:r>
          </w:p>
        </w:tc>
        <w:tc>
          <w:tcPr>
            <w:tcW w:type="dxa" w:w="2880"/>
          </w:tcPr>
          <w:p>
            <w:r>
              <w:t>Median</w:t>
            </w:r>
          </w:p>
        </w:tc>
        <w:tc>
          <w:tcPr>
            <w:tcW w:type="dxa" w:w="2880"/>
          </w:tcPr>
          <w:p>
            <w:r>
              <w:t>0.3245</w:t>
            </w:r>
          </w:p>
        </w:tc>
      </w:tr>
      <w:tr>
        <w:tc>
          <w:tcPr>
            <w:tcW w:type="dxa" w:w="2880"/>
          </w:tcPr>
          <w:p>
            <w:r>
              <w:t>Infection Probability</w:t>
            </w:r>
          </w:p>
        </w:tc>
        <w:tc>
          <w:tcPr>
            <w:tcW w:type="dxa" w:w="2880"/>
          </w:tcPr>
          <w:p>
            <w:r>
              <w:t>Std</w:t>
            </w:r>
          </w:p>
        </w:tc>
        <w:tc>
          <w:tcPr>
            <w:tcW w:type="dxa" w:w="2880"/>
          </w:tcPr>
          <w:p>
            <w:r>
              <w:t>0.00e+00</w:t>
            </w:r>
          </w:p>
        </w:tc>
      </w:tr>
      <w:tr>
        <w:tc>
          <w:tcPr>
            <w:tcW w:type="dxa" w:w="2880"/>
          </w:tcPr>
          <w:p>
            <w:r>
              <w:t>Infection Probability</w:t>
            </w:r>
          </w:p>
        </w:tc>
        <w:tc>
          <w:tcPr>
            <w:tcW w:type="dxa" w:w="2880"/>
          </w:tcPr>
          <w:p>
            <w:r>
              <w:t>Min</w:t>
            </w:r>
          </w:p>
        </w:tc>
        <w:tc>
          <w:tcPr>
            <w:tcW w:type="dxa" w:w="2880"/>
          </w:tcPr>
          <w:p>
            <w:r>
              <w:t>0.3245</w:t>
            </w:r>
          </w:p>
        </w:tc>
      </w:tr>
      <w:tr>
        <w:tc>
          <w:tcPr>
            <w:tcW w:type="dxa" w:w="2880"/>
          </w:tcPr>
          <w:p>
            <w:r>
              <w:t>Infection Probability</w:t>
            </w:r>
          </w:p>
        </w:tc>
        <w:tc>
          <w:tcPr>
            <w:tcW w:type="dxa" w:w="2880"/>
          </w:tcPr>
          <w:p>
            <w:r>
              <w:t>Max</w:t>
            </w:r>
          </w:p>
        </w:tc>
        <w:tc>
          <w:tcPr>
            <w:tcW w:type="dxa" w:w="2880"/>
          </w:tcPr>
          <w:p>
            <w:r>
              <w:t>0.3245</w:t>
            </w:r>
          </w:p>
        </w:tc>
      </w:tr>
      <w:tr>
        <w:tc>
          <w:tcPr>
            <w:tcW w:type="dxa" w:w="2880"/>
          </w:tcPr>
          <w:p>
            <w:r>
              <w:t>Infection Probability</w:t>
            </w:r>
          </w:p>
        </w:tc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0.3245</w:t>
            </w:r>
          </w:p>
        </w:tc>
      </w:tr>
      <w:tr>
        <w:tc>
          <w:tcPr>
            <w:tcW w:type="dxa" w:w="2880"/>
          </w:tcPr>
          <w:p>
            <w:r>
              <w:t>Infection Probability</w:t>
            </w:r>
          </w:p>
        </w:tc>
        <w:tc>
          <w:tcPr>
            <w:tcW w:type="dxa" w:w="2880"/>
          </w:tcPr>
          <w:p>
            <w:r>
              <w:t>P5</w:t>
            </w:r>
          </w:p>
        </w:tc>
        <w:tc>
          <w:tcPr>
            <w:tcW w:type="dxa" w:w="2880"/>
          </w:tcPr>
          <w:p>
            <w:r>
              <w:t>0.3245</w:t>
            </w:r>
          </w:p>
        </w:tc>
      </w:tr>
      <w:tr>
        <w:tc>
          <w:tcPr>
            <w:tcW w:type="dxa" w:w="2880"/>
          </w:tcPr>
          <w:p>
            <w:r>
              <w:t>Infection Probability</w:t>
            </w:r>
          </w:p>
        </w:tc>
        <w:tc>
          <w:tcPr>
            <w:tcW w:type="dxa" w:w="2880"/>
          </w:tcPr>
          <w:p>
            <w:r>
              <w:t>P10</w:t>
            </w:r>
          </w:p>
        </w:tc>
        <w:tc>
          <w:tcPr>
            <w:tcW w:type="dxa" w:w="2880"/>
          </w:tcPr>
          <w:p>
            <w:r>
              <w:t>0.3245</w:t>
            </w:r>
          </w:p>
        </w:tc>
      </w:tr>
      <w:tr>
        <w:tc>
          <w:tcPr>
            <w:tcW w:type="dxa" w:w="2880"/>
          </w:tcPr>
          <w:p>
            <w:r>
              <w:t>Infection Probability</w:t>
            </w:r>
          </w:p>
        </w:tc>
        <w:tc>
          <w:tcPr>
            <w:tcW w:type="dxa" w:w="2880"/>
          </w:tcPr>
          <w:p>
            <w:r>
              <w:t>P25</w:t>
            </w:r>
          </w:p>
        </w:tc>
        <w:tc>
          <w:tcPr>
            <w:tcW w:type="dxa" w:w="2880"/>
          </w:tcPr>
          <w:p>
            <w:r>
              <w:t>0.3245</w:t>
            </w:r>
          </w:p>
        </w:tc>
      </w:tr>
      <w:tr>
        <w:tc>
          <w:tcPr>
            <w:tcW w:type="dxa" w:w="2880"/>
          </w:tcPr>
          <w:p>
            <w:r>
              <w:t>Infection Probability</w:t>
            </w:r>
          </w:p>
        </w:tc>
        <w:tc>
          <w:tcPr>
            <w:tcW w:type="dxa" w:w="2880"/>
          </w:tcPr>
          <w:p>
            <w:r>
              <w:t>P75</w:t>
            </w:r>
          </w:p>
        </w:tc>
        <w:tc>
          <w:tcPr>
            <w:tcW w:type="dxa" w:w="2880"/>
          </w:tcPr>
          <w:p>
            <w:r>
              <w:t>0.3245</w:t>
            </w:r>
          </w:p>
        </w:tc>
      </w:tr>
      <w:tr>
        <w:tc>
          <w:tcPr>
            <w:tcW w:type="dxa" w:w="2880"/>
          </w:tcPr>
          <w:p>
            <w:r>
              <w:t>Infection Probability</w:t>
            </w:r>
          </w:p>
        </w:tc>
        <w:tc>
          <w:tcPr>
            <w:tcW w:type="dxa" w:w="2880"/>
          </w:tcPr>
          <w:p>
            <w:r>
              <w:t>P90</w:t>
            </w:r>
          </w:p>
        </w:tc>
        <w:tc>
          <w:tcPr>
            <w:tcW w:type="dxa" w:w="2880"/>
          </w:tcPr>
          <w:p>
            <w:r>
              <w:t>0.3245</w:t>
            </w:r>
          </w:p>
        </w:tc>
      </w:tr>
      <w:tr>
        <w:tc>
          <w:tcPr>
            <w:tcW w:type="dxa" w:w="2880"/>
          </w:tcPr>
          <w:p>
            <w:r>
              <w:t>Infection Probability</w:t>
            </w:r>
          </w:p>
        </w:tc>
        <w:tc>
          <w:tcPr>
            <w:tcW w:type="dxa" w:w="2880"/>
          </w:tcPr>
          <w:p>
            <w:r>
              <w:t>P95</w:t>
            </w:r>
          </w:p>
        </w:tc>
        <w:tc>
          <w:tcPr>
            <w:tcW w:type="dxa" w:w="2880"/>
          </w:tcPr>
          <w:p>
            <w:r>
              <w:t>0.3245</w:t>
            </w:r>
          </w:p>
        </w:tc>
      </w:tr>
      <w:tr>
        <w:tc>
          <w:tcPr>
            <w:tcW w:type="dxa" w:w="2880"/>
          </w:tcPr>
          <w:p>
            <w:r>
              <w:t>Infection Probability</w:t>
            </w:r>
          </w:p>
        </w:tc>
        <w:tc>
          <w:tcPr>
            <w:tcW w:type="dxa" w:w="2880"/>
          </w:tcPr>
          <w:p>
            <w:r>
              <w:t>P99</w:t>
            </w:r>
          </w:p>
        </w:tc>
        <w:tc>
          <w:tcPr>
            <w:tcW w:type="dxa" w:w="2880"/>
          </w:tcPr>
          <w:p>
            <w:r>
              <w:t>0.3245</w:t>
            </w:r>
          </w:p>
        </w:tc>
      </w:tr>
      <w:tr>
        <w:tc>
          <w:tcPr>
            <w:tcW w:type="dxa" w:w="2880"/>
          </w:tcPr>
          <w:p>
            <w:r>
              <w:t>Illness Probability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0.2272</w:t>
            </w:r>
          </w:p>
        </w:tc>
      </w:tr>
      <w:tr>
        <w:tc>
          <w:tcPr>
            <w:tcW w:type="dxa" w:w="2880"/>
          </w:tcPr>
          <w:p>
            <w:r>
              <w:t>Illness Probability</w:t>
            </w:r>
          </w:p>
        </w:tc>
        <w:tc>
          <w:tcPr>
            <w:tcW w:type="dxa" w:w="2880"/>
          </w:tcPr>
          <w:p>
            <w:r>
              <w:t>Median</w:t>
            </w:r>
          </w:p>
        </w:tc>
        <w:tc>
          <w:tcPr>
            <w:tcW w:type="dxa" w:w="2880"/>
          </w:tcPr>
          <w:p>
            <w:r>
              <w:t>0.2272</w:t>
            </w:r>
          </w:p>
        </w:tc>
      </w:tr>
      <w:tr>
        <w:tc>
          <w:tcPr>
            <w:tcW w:type="dxa" w:w="2880"/>
          </w:tcPr>
          <w:p>
            <w:r>
              <w:t>Illness Probability</w:t>
            </w:r>
          </w:p>
        </w:tc>
        <w:tc>
          <w:tcPr>
            <w:tcW w:type="dxa" w:w="2880"/>
          </w:tcPr>
          <w:p>
            <w:r>
              <w:t>Std</w:t>
            </w:r>
          </w:p>
        </w:tc>
        <w:tc>
          <w:tcPr>
            <w:tcW w:type="dxa" w:w="2880"/>
          </w:tcPr>
          <w:p>
            <w:r>
              <w:t>0.00e+00</w:t>
            </w:r>
          </w:p>
        </w:tc>
      </w:tr>
      <w:tr>
        <w:tc>
          <w:tcPr>
            <w:tcW w:type="dxa" w:w="2880"/>
          </w:tcPr>
          <w:p>
            <w:r>
              <w:t>Illness Probability</w:t>
            </w:r>
          </w:p>
        </w:tc>
        <w:tc>
          <w:tcPr>
            <w:tcW w:type="dxa" w:w="2880"/>
          </w:tcPr>
          <w:p>
            <w:r>
              <w:t>Min</w:t>
            </w:r>
          </w:p>
        </w:tc>
        <w:tc>
          <w:tcPr>
            <w:tcW w:type="dxa" w:w="2880"/>
          </w:tcPr>
          <w:p>
            <w:r>
              <w:t>0.2272</w:t>
            </w:r>
          </w:p>
        </w:tc>
      </w:tr>
      <w:tr>
        <w:tc>
          <w:tcPr>
            <w:tcW w:type="dxa" w:w="2880"/>
          </w:tcPr>
          <w:p>
            <w:r>
              <w:t>Illness Probability</w:t>
            </w:r>
          </w:p>
        </w:tc>
        <w:tc>
          <w:tcPr>
            <w:tcW w:type="dxa" w:w="2880"/>
          </w:tcPr>
          <w:p>
            <w:r>
              <w:t>Max</w:t>
            </w:r>
          </w:p>
        </w:tc>
        <w:tc>
          <w:tcPr>
            <w:tcW w:type="dxa" w:w="2880"/>
          </w:tcPr>
          <w:p>
            <w:r>
              <w:t>0.2272</w:t>
            </w:r>
          </w:p>
        </w:tc>
      </w:tr>
      <w:tr>
        <w:tc>
          <w:tcPr>
            <w:tcW w:type="dxa" w:w="2880"/>
          </w:tcPr>
          <w:p>
            <w:r>
              <w:t>Illness Probability</w:t>
            </w:r>
          </w:p>
        </w:tc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0.2272</w:t>
            </w:r>
          </w:p>
        </w:tc>
      </w:tr>
      <w:tr>
        <w:tc>
          <w:tcPr>
            <w:tcW w:type="dxa" w:w="2880"/>
          </w:tcPr>
          <w:p>
            <w:r>
              <w:t>Illness Probability</w:t>
            </w:r>
          </w:p>
        </w:tc>
        <w:tc>
          <w:tcPr>
            <w:tcW w:type="dxa" w:w="2880"/>
          </w:tcPr>
          <w:p>
            <w:r>
              <w:t>P5</w:t>
            </w:r>
          </w:p>
        </w:tc>
        <w:tc>
          <w:tcPr>
            <w:tcW w:type="dxa" w:w="2880"/>
          </w:tcPr>
          <w:p>
            <w:r>
              <w:t>0.2272</w:t>
            </w:r>
          </w:p>
        </w:tc>
      </w:tr>
      <w:tr>
        <w:tc>
          <w:tcPr>
            <w:tcW w:type="dxa" w:w="2880"/>
          </w:tcPr>
          <w:p>
            <w:r>
              <w:t>Illness Probability</w:t>
            </w:r>
          </w:p>
        </w:tc>
        <w:tc>
          <w:tcPr>
            <w:tcW w:type="dxa" w:w="2880"/>
          </w:tcPr>
          <w:p>
            <w:r>
              <w:t>P10</w:t>
            </w:r>
          </w:p>
        </w:tc>
        <w:tc>
          <w:tcPr>
            <w:tcW w:type="dxa" w:w="2880"/>
          </w:tcPr>
          <w:p>
            <w:r>
              <w:t>0.2272</w:t>
            </w:r>
          </w:p>
        </w:tc>
      </w:tr>
      <w:tr>
        <w:tc>
          <w:tcPr>
            <w:tcW w:type="dxa" w:w="2880"/>
          </w:tcPr>
          <w:p>
            <w:r>
              <w:t>Illness Probability</w:t>
            </w:r>
          </w:p>
        </w:tc>
        <w:tc>
          <w:tcPr>
            <w:tcW w:type="dxa" w:w="2880"/>
          </w:tcPr>
          <w:p>
            <w:r>
              <w:t>P25</w:t>
            </w:r>
          </w:p>
        </w:tc>
        <w:tc>
          <w:tcPr>
            <w:tcW w:type="dxa" w:w="2880"/>
          </w:tcPr>
          <w:p>
            <w:r>
              <w:t>0.2272</w:t>
            </w:r>
          </w:p>
        </w:tc>
      </w:tr>
      <w:tr>
        <w:tc>
          <w:tcPr>
            <w:tcW w:type="dxa" w:w="2880"/>
          </w:tcPr>
          <w:p>
            <w:r>
              <w:t>Illness Probability</w:t>
            </w:r>
          </w:p>
        </w:tc>
        <w:tc>
          <w:tcPr>
            <w:tcW w:type="dxa" w:w="2880"/>
          </w:tcPr>
          <w:p>
            <w:r>
              <w:t>P75</w:t>
            </w:r>
          </w:p>
        </w:tc>
        <w:tc>
          <w:tcPr>
            <w:tcW w:type="dxa" w:w="2880"/>
          </w:tcPr>
          <w:p>
            <w:r>
              <w:t>0.2272</w:t>
            </w:r>
          </w:p>
        </w:tc>
      </w:tr>
      <w:tr>
        <w:tc>
          <w:tcPr>
            <w:tcW w:type="dxa" w:w="2880"/>
          </w:tcPr>
          <w:p>
            <w:r>
              <w:t>Illness Probability</w:t>
            </w:r>
          </w:p>
        </w:tc>
        <w:tc>
          <w:tcPr>
            <w:tcW w:type="dxa" w:w="2880"/>
          </w:tcPr>
          <w:p>
            <w:r>
              <w:t>P90</w:t>
            </w:r>
          </w:p>
        </w:tc>
        <w:tc>
          <w:tcPr>
            <w:tcW w:type="dxa" w:w="2880"/>
          </w:tcPr>
          <w:p>
            <w:r>
              <w:t>0.2272</w:t>
            </w:r>
          </w:p>
        </w:tc>
      </w:tr>
      <w:tr>
        <w:tc>
          <w:tcPr>
            <w:tcW w:type="dxa" w:w="2880"/>
          </w:tcPr>
          <w:p>
            <w:r>
              <w:t>Illness Probability</w:t>
            </w:r>
          </w:p>
        </w:tc>
        <w:tc>
          <w:tcPr>
            <w:tcW w:type="dxa" w:w="2880"/>
          </w:tcPr>
          <w:p>
            <w:r>
              <w:t>P95</w:t>
            </w:r>
          </w:p>
        </w:tc>
        <w:tc>
          <w:tcPr>
            <w:tcW w:type="dxa" w:w="2880"/>
          </w:tcPr>
          <w:p>
            <w:r>
              <w:t>0.2272</w:t>
            </w:r>
          </w:p>
        </w:tc>
      </w:tr>
      <w:tr>
        <w:tc>
          <w:tcPr>
            <w:tcW w:type="dxa" w:w="2880"/>
          </w:tcPr>
          <w:p>
            <w:r>
              <w:t>Illness Probability</w:t>
            </w:r>
          </w:p>
        </w:tc>
        <w:tc>
          <w:tcPr>
            <w:tcW w:type="dxa" w:w="2880"/>
          </w:tcPr>
          <w:p>
            <w:r>
              <w:t>P99</w:t>
            </w:r>
          </w:p>
        </w:tc>
        <w:tc>
          <w:tcPr>
            <w:tcW w:type="dxa" w:w="2880"/>
          </w:tcPr>
          <w:p>
            <w:r>
              <w:t>0.2272</w:t>
            </w:r>
          </w:p>
        </w:tc>
      </w:tr>
      <w:tr>
        <w:tc>
          <w:tcPr>
            <w:tcW w:type="dxa" w:w="2880"/>
          </w:tcPr>
          <w:p>
            <w:r>
              <w:t>Annual Risk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0.9996</w:t>
            </w:r>
          </w:p>
        </w:tc>
      </w:tr>
      <w:tr>
        <w:tc>
          <w:tcPr>
            <w:tcW w:type="dxa" w:w="2880"/>
          </w:tcPr>
          <w:p>
            <w:r>
              <w:t>Annual Risk</w:t>
            </w:r>
          </w:p>
        </w:tc>
        <w:tc>
          <w:tcPr>
            <w:tcW w:type="dxa" w:w="2880"/>
          </w:tcPr>
          <w:p>
            <w:r>
              <w:t>Median</w:t>
            </w:r>
          </w:p>
        </w:tc>
        <w:tc>
          <w:tcPr>
            <w:tcW w:type="dxa" w:w="2880"/>
          </w:tcPr>
          <w:p>
            <w:r>
              <w:t>0.9996</w:t>
            </w:r>
          </w:p>
        </w:tc>
      </w:tr>
      <w:tr>
        <w:tc>
          <w:tcPr>
            <w:tcW w:type="dxa" w:w="2880"/>
          </w:tcPr>
          <w:p>
            <w:r>
              <w:t>Annual Risk</w:t>
            </w:r>
          </w:p>
        </w:tc>
        <w:tc>
          <w:tcPr>
            <w:tcW w:type="dxa" w:w="2880"/>
          </w:tcPr>
          <w:p>
            <w:r>
              <w:t>Std</w:t>
            </w:r>
          </w:p>
        </w:tc>
        <w:tc>
          <w:tcPr>
            <w:tcW w:type="dxa" w:w="2880"/>
          </w:tcPr>
          <w:p>
            <w:r>
              <w:t>2.22e-16</w:t>
            </w:r>
          </w:p>
        </w:tc>
      </w:tr>
      <w:tr>
        <w:tc>
          <w:tcPr>
            <w:tcW w:type="dxa" w:w="2880"/>
          </w:tcPr>
          <w:p>
            <w:r>
              <w:t>Annual Risk</w:t>
            </w:r>
          </w:p>
        </w:tc>
        <w:tc>
          <w:tcPr>
            <w:tcW w:type="dxa" w:w="2880"/>
          </w:tcPr>
          <w:p>
            <w:r>
              <w:t>Min</w:t>
            </w:r>
          </w:p>
        </w:tc>
        <w:tc>
          <w:tcPr>
            <w:tcW w:type="dxa" w:w="2880"/>
          </w:tcPr>
          <w:p>
            <w:r>
              <w:t>0.9996</w:t>
            </w:r>
          </w:p>
        </w:tc>
      </w:tr>
      <w:tr>
        <w:tc>
          <w:tcPr>
            <w:tcW w:type="dxa" w:w="2880"/>
          </w:tcPr>
          <w:p>
            <w:r>
              <w:t>Annual Risk</w:t>
            </w:r>
          </w:p>
        </w:tc>
        <w:tc>
          <w:tcPr>
            <w:tcW w:type="dxa" w:w="2880"/>
          </w:tcPr>
          <w:p>
            <w:r>
              <w:t>Max</w:t>
            </w:r>
          </w:p>
        </w:tc>
        <w:tc>
          <w:tcPr>
            <w:tcW w:type="dxa" w:w="2880"/>
          </w:tcPr>
          <w:p>
            <w:r>
              <w:t>0.9996</w:t>
            </w:r>
          </w:p>
        </w:tc>
      </w:tr>
      <w:tr>
        <w:tc>
          <w:tcPr>
            <w:tcW w:type="dxa" w:w="2880"/>
          </w:tcPr>
          <w:p>
            <w:r>
              <w:t>Annual Risk</w:t>
            </w:r>
          </w:p>
        </w:tc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0.9996</w:t>
            </w:r>
          </w:p>
        </w:tc>
      </w:tr>
      <w:tr>
        <w:tc>
          <w:tcPr>
            <w:tcW w:type="dxa" w:w="2880"/>
          </w:tcPr>
          <w:p>
            <w:r>
              <w:t>Annual Risk</w:t>
            </w:r>
          </w:p>
        </w:tc>
        <w:tc>
          <w:tcPr>
            <w:tcW w:type="dxa" w:w="2880"/>
          </w:tcPr>
          <w:p>
            <w:r>
              <w:t>P5</w:t>
            </w:r>
          </w:p>
        </w:tc>
        <w:tc>
          <w:tcPr>
            <w:tcW w:type="dxa" w:w="2880"/>
          </w:tcPr>
          <w:p>
            <w:r>
              <w:t>0.9996</w:t>
            </w:r>
          </w:p>
        </w:tc>
      </w:tr>
      <w:tr>
        <w:tc>
          <w:tcPr>
            <w:tcW w:type="dxa" w:w="2880"/>
          </w:tcPr>
          <w:p>
            <w:r>
              <w:t>Annual Risk</w:t>
            </w:r>
          </w:p>
        </w:tc>
        <w:tc>
          <w:tcPr>
            <w:tcW w:type="dxa" w:w="2880"/>
          </w:tcPr>
          <w:p>
            <w:r>
              <w:t>P10</w:t>
            </w:r>
          </w:p>
        </w:tc>
        <w:tc>
          <w:tcPr>
            <w:tcW w:type="dxa" w:w="2880"/>
          </w:tcPr>
          <w:p>
            <w:r>
              <w:t>0.9996</w:t>
            </w:r>
          </w:p>
        </w:tc>
      </w:tr>
      <w:tr>
        <w:tc>
          <w:tcPr>
            <w:tcW w:type="dxa" w:w="2880"/>
          </w:tcPr>
          <w:p>
            <w:r>
              <w:t>Annual Risk</w:t>
            </w:r>
          </w:p>
        </w:tc>
        <w:tc>
          <w:tcPr>
            <w:tcW w:type="dxa" w:w="2880"/>
          </w:tcPr>
          <w:p>
            <w:r>
              <w:t>P25</w:t>
            </w:r>
          </w:p>
        </w:tc>
        <w:tc>
          <w:tcPr>
            <w:tcW w:type="dxa" w:w="2880"/>
          </w:tcPr>
          <w:p>
            <w:r>
              <w:t>0.9996</w:t>
            </w:r>
          </w:p>
        </w:tc>
      </w:tr>
      <w:tr>
        <w:tc>
          <w:tcPr>
            <w:tcW w:type="dxa" w:w="2880"/>
          </w:tcPr>
          <w:p>
            <w:r>
              <w:t>Annual Risk</w:t>
            </w:r>
          </w:p>
        </w:tc>
        <w:tc>
          <w:tcPr>
            <w:tcW w:type="dxa" w:w="2880"/>
          </w:tcPr>
          <w:p>
            <w:r>
              <w:t>P75</w:t>
            </w:r>
          </w:p>
        </w:tc>
        <w:tc>
          <w:tcPr>
            <w:tcW w:type="dxa" w:w="2880"/>
          </w:tcPr>
          <w:p>
            <w:r>
              <w:t>0.9996</w:t>
            </w:r>
          </w:p>
        </w:tc>
      </w:tr>
      <w:tr>
        <w:tc>
          <w:tcPr>
            <w:tcW w:type="dxa" w:w="2880"/>
          </w:tcPr>
          <w:p>
            <w:r>
              <w:t>Annual Risk</w:t>
            </w:r>
          </w:p>
        </w:tc>
        <w:tc>
          <w:tcPr>
            <w:tcW w:type="dxa" w:w="2880"/>
          </w:tcPr>
          <w:p>
            <w:r>
              <w:t>P90</w:t>
            </w:r>
          </w:p>
        </w:tc>
        <w:tc>
          <w:tcPr>
            <w:tcW w:type="dxa" w:w="2880"/>
          </w:tcPr>
          <w:p>
            <w:r>
              <w:t>0.9996</w:t>
            </w:r>
          </w:p>
        </w:tc>
      </w:tr>
      <w:tr>
        <w:tc>
          <w:tcPr>
            <w:tcW w:type="dxa" w:w="2880"/>
          </w:tcPr>
          <w:p>
            <w:r>
              <w:t>Annual Risk</w:t>
            </w:r>
          </w:p>
        </w:tc>
        <w:tc>
          <w:tcPr>
            <w:tcW w:type="dxa" w:w="2880"/>
          </w:tcPr>
          <w:p>
            <w:r>
              <w:t>P95</w:t>
            </w:r>
          </w:p>
        </w:tc>
        <w:tc>
          <w:tcPr>
            <w:tcW w:type="dxa" w:w="2880"/>
          </w:tcPr>
          <w:p>
            <w:r>
              <w:t>0.9996</w:t>
            </w:r>
          </w:p>
        </w:tc>
      </w:tr>
      <w:tr>
        <w:tc>
          <w:tcPr>
            <w:tcW w:type="dxa" w:w="2880"/>
          </w:tcPr>
          <w:p>
            <w:r>
              <w:t>Annual Risk</w:t>
            </w:r>
          </w:p>
        </w:tc>
        <w:tc>
          <w:tcPr>
            <w:tcW w:type="dxa" w:w="2880"/>
          </w:tcPr>
          <w:p>
            <w:r>
              <w:t>P99</w:t>
            </w:r>
          </w:p>
        </w:tc>
        <w:tc>
          <w:tcPr>
            <w:tcW w:type="dxa" w:w="2880"/>
          </w:tcPr>
          <w:p>
            <w:r>
              <w:t>0.9996</w:t>
            </w:r>
          </w:p>
        </w:tc>
      </w:tr>
      <w:tr>
        <w:tc>
          <w:tcPr>
            <w:tcW w:type="dxa" w:w="2880"/>
          </w:tcPr>
          <w:p>
            <w:r>
              <w:t>Dalys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4.54e-04</w:t>
            </w:r>
          </w:p>
        </w:tc>
      </w:tr>
      <w:tr>
        <w:tc>
          <w:tcPr>
            <w:tcW w:type="dxa" w:w="2880"/>
          </w:tcPr>
          <w:p>
            <w:r>
              <w:t>Dalys</w:t>
            </w:r>
          </w:p>
        </w:tc>
        <w:tc>
          <w:tcPr>
            <w:tcW w:type="dxa" w:w="2880"/>
          </w:tcPr>
          <w:p>
            <w:r>
              <w:t>Median</w:t>
            </w:r>
          </w:p>
        </w:tc>
        <w:tc>
          <w:tcPr>
            <w:tcW w:type="dxa" w:w="2880"/>
          </w:tcPr>
          <w:p>
            <w:r>
              <w:t>4.54e-04</w:t>
            </w:r>
          </w:p>
        </w:tc>
      </w:tr>
      <w:tr>
        <w:tc>
          <w:tcPr>
            <w:tcW w:type="dxa" w:w="2880"/>
          </w:tcPr>
          <w:p>
            <w:r>
              <w:t>Dalys</w:t>
            </w:r>
          </w:p>
        </w:tc>
        <w:tc>
          <w:tcPr>
            <w:tcW w:type="dxa" w:w="2880"/>
          </w:tcPr>
          <w:p>
            <w:r>
              <w:t>Std</w:t>
            </w:r>
          </w:p>
        </w:tc>
        <w:tc>
          <w:tcPr>
            <w:tcW w:type="dxa" w:w="2880"/>
          </w:tcPr>
          <w:p>
            <w:r>
              <w:t>1.08e-19</w:t>
            </w:r>
          </w:p>
        </w:tc>
      </w:tr>
      <w:tr>
        <w:tc>
          <w:tcPr>
            <w:tcW w:type="dxa" w:w="2880"/>
          </w:tcPr>
          <w:p>
            <w:r>
              <w:t>Dalys</w:t>
            </w:r>
          </w:p>
        </w:tc>
        <w:tc>
          <w:tcPr>
            <w:tcW w:type="dxa" w:w="2880"/>
          </w:tcPr>
          <w:p>
            <w:r>
              <w:t>Min</w:t>
            </w:r>
          </w:p>
        </w:tc>
        <w:tc>
          <w:tcPr>
            <w:tcW w:type="dxa" w:w="2880"/>
          </w:tcPr>
          <w:p>
            <w:r>
              <w:t>4.54e-04</w:t>
            </w:r>
          </w:p>
        </w:tc>
      </w:tr>
      <w:tr>
        <w:tc>
          <w:tcPr>
            <w:tcW w:type="dxa" w:w="2880"/>
          </w:tcPr>
          <w:p>
            <w:r>
              <w:t>Dalys</w:t>
            </w:r>
          </w:p>
        </w:tc>
        <w:tc>
          <w:tcPr>
            <w:tcW w:type="dxa" w:w="2880"/>
          </w:tcPr>
          <w:p>
            <w:r>
              <w:t>Max</w:t>
            </w:r>
          </w:p>
        </w:tc>
        <w:tc>
          <w:tcPr>
            <w:tcW w:type="dxa" w:w="2880"/>
          </w:tcPr>
          <w:p>
            <w:r>
              <w:t>4.54e-04</w:t>
            </w:r>
          </w:p>
        </w:tc>
      </w:tr>
      <w:tr>
        <w:tc>
          <w:tcPr>
            <w:tcW w:type="dxa" w:w="2880"/>
          </w:tcPr>
          <w:p>
            <w:r>
              <w:t>Dalys</w:t>
            </w:r>
          </w:p>
        </w:tc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4.54e-04</w:t>
            </w:r>
          </w:p>
        </w:tc>
      </w:tr>
      <w:tr>
        <w:tc>
          <w:tcPr>
            <w:tcW w:type="dxa" w:w="2880"/>
          </w:tcPr>
          <w:p>
            <w:r>
              <w:t>Dalys</w:t>
            </w:r>
          </w:p>
        </w:tc>
        <w:tc>
          <w:tcPr>
            <w:tcW w:type="dxa" w:w="2880"/>
          </w:tcPr>
          <w:p>
            <w:r>
              <w:t>P5</w:t>
            </w:r>
          </w:p>
        </w:tc>
        <w:tc>
          <w:tcPr>
            <w:tcW w:type="dxa" w:w="2880"/>
          </w:tcPr>
          <w:p>
            <w:r>
              <w:t>4.54e-04</w:t>
            </w:r>
          </w:p>
        </w:tc>
      </w:tr>
      <w:tr>
        <w:tc>
          <w:tcPr>
            <w:tcW w:type="dxa" w:w="2880"/>
          </w:tcPr>
          <w:p>
            <w:r>
              <w:t>Dalys</w:t>
            </w:r>
          </w:p>
        </w:tc>
        <w:tc>
          <w:tcPr>
            <w:tcW w:type="dxa" w:w="2880"/>
          </w:tcPr>
          <w:p>
            <w:r>
              <w:t>P10</w:t>
            </w:r>
          </w:p>
        </w:tc>
        <w:tc>
          <w:tcPr>
            <w:tcW w:type="dxa" w:w="2880"/>
          </w:tcPr>
          <w:p>
            <w:r>
              <w:t>4.54e-04</w:t>
            </w:r>
          </w:p>
        </w:tc>
      </w:tr>
      <w:tr>
        <w:tc>
          <w:tcPr>
            <w:tcW w:type="dxa" w:w="2880"/>
          </w:tcPr>
          <w:p>
            <w:r>
              <w:t>Dalys</w:t>
            </w:r>
          </w:p>
        </w:tc>
        <w:tc>
          <w:tcPr>
            <w:tcW w:type="dxa" w:w="2880"/>
          </w:tcPr>
          <w:p>
            <w:r>
              <w:t>P25</w:t>
            </w:r>
          </w:p>
        </w:tc>
        <w:tc>
          <w:tcPr>
            <w:tcW w:type="dxa" w:w="2880"/>
          </w:tcPr>
          <w:p>
            <w:r>
              <w:t>4.54e-04</w:t>
            </w:r>
          </w:p>
        </w:tc>
      </w:tr>
      <w:tr>
        <w:tc>
          <w:tcPr>
            <w:tcW w:type="dxa" w:w="2880"/>
          </w:tcPr>
          <w:p>
            <w:r>
              <w:t>Dalys</w:t>
            </w:r>
          </w:p>
        </w:tc>
        <w:tc>
          <w:tcPr>
            <w:tcW w:type="dxa" w:w="2880"/>
          </w:tcPr>
          <w:p>
            <w:r>
              <w:t>P75</w:t>
            </w:r>
          </w:p>
        </w:tc>
        <w:tc>
          <w:tcPr>
            <w:tcW w:type="dxa" w:w="2880"/>
          </w:tcPr>
          <w:p>
            <w:r>
              <w:t>4.54e-04</w:t>
            </w:r>
          </w:p>
        </w:tc>
      </w:tr>
      <w:tr>
        <w:tc>
          <w:tcPr>
            <w:tcW w:type="dxa" w:w="2880"/>
          </w:tcPr>
          <w:p>
            <w:r>
              <w:t>Dalys</w:t>
            </w:r>
          </w:p>
        </w:tc>
        <w:tc>
          <w:tcPr>
            <w:tcW w:type="dxa" w:w="2880"/>
          </w:tcPr>
          <w:p>
            <w:r>
              <w:t>P90</w:t>
            </w:r>
          </w:p>
        </w:tc>
        <w:tc>
          <w:tcPr>
            <w:tcW w:type="dxa" w:w="2880"/>
          </w:tcPr>
          <w:p>
            <w:r>
              <w:t>4.54e-04</w:t>
            </w:r>
          </w:p>
        </w:tc>
      </w:tr>
      <w:tr>
        <w:tc>
          <w:tcPr>
            <w:tcW w:type="dxa" w:w="2880"/>
          </w:tcPr>
          <w:p>
            <w:r>
              <w:t>Dalys</w:t>
            </w:r>
          </w:p>
        </w:tc>
        <w:tc>
          <w:tcPr>
            <w:tcW w:type="dxa" w:w="2880"/>
          </w:tcPr>
          <w:p>
            <w:r>
              <w:t>P95</w:t>
            </w:r>
          </w:p>
        </w:tc>
        <w:tc>
          <w:tcPr>
            <w:tcW w:type="dxa" w:w="2880"/>
          </w:tcPr>
          <w:p>
            <w:r>
              <w:t>4.54e-04</w:t>
            </w:r>
          </w:p>
        </w:tc>
      </w:tr>
      <w:tr>
        <w:tc>
          <w:tcPr>
            <w:tcW w:type="dxa" w:w="2880"/>
          </w:tcPr>
          <w:p>
            <w:r>
              <w:t>Dalys</w:t>
            </w:r>
          </w:p>
        </w:tc>
        <w:tc>
          <w:tcPr>
            <w:tcW w:type="dxa" w:w="2880"/>
          </w:tcPr>
          <w:p>
            <w:r>
              <w:t>P99</w:t>
            </w:r>
          </w:p>
        </w:tc>
        <w:tc>
          <w:tcPr>
            <w:tcW w:type="dxa" w:w="2880"/>
          </w:tcPr>
          <w:p>
            <w:r>
              <w:t>4.54e-04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QMRA Assessment - Norovirus</dc:title>
  <dc:subject>Quantitative Microbial Risk Assessment</dc:subject>
  <dc:creator>QMRA Toolkit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