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NIWA currently undertakes QMRA projects that require significant manual effort for each assessment. Based on our recent project experience, typical QMRA projects involve 40-60 hours of manual work including dose-response model setup, exposure assessment, treatment calculations, simulation configuration, and report generation. This manual approach creates challenges in reproducibility and auditability, which are critical for regulatory compliance work.</w:t>
              <w:br/>
              <w:br/>
              <w:t>This project will develop a Python-based QMRA assessment toolkit to standardise these processes and improve both operational efficiency and scientific rigour. The system will automate routine calculations, provide validated dose-response relationships for common pathogens, incorporate comprehensive exposure assessment capabilities, and generate standardised reporting templates. The assessment toolkit will work with user-provided log reduction values rather than calculating treatment efficacy, which is typically determined through engineering challenge tests.</w:t>
              <w:br/>
              <w:br/>
              <w:t>The technical implementation will focus initially on norovirus as a proof-of-concept pathogen, as recommended by QMRA experts. This focused approach will validate the methodology before expanding to additional pathogens. While acknowledging the QMRA community's preference for R, Python was chosen for integration with NIWA's existing infrastructure, with modular design allowing R integration capabilities. The system will handle data-poor scenarios common in New Zealand QMRA work and accommodate the changing regulatory framework from Taumata Arowai.</w:t>
            </w:r>
          </w:p>
        </w:tc>
      </w:tr>
      <w:tr>
        <w:tc>
          <w:tcPr>
            <w:tcW w:type="dxa" w:w="3600"/>
          </w:tcPr>
          <w:p>
            <w:r>
              <w:t>Project outputs: (e.g., a journal paper or an App, or a safe operating procedure or guidance document for operations activities)</w:t>
            </w:r>
          </w:p>
        </w:tc>
        <w:tc>
          <w:tcPr>
            <w:tcW w:type="dxa" w:w="6480"/>
          </w:tcPr>
          <w:p>
            <w:r>
              <w:t>• QMRA Assessment Toolkit (Python application with R integration capabilities)</w:t>
              <w:br/>
              <w:t>• Technical documentation addressing reproducibility and auditability requirements</w:t>
              <w:br/>
              <w:t>• Validated pathogen database starting with norovirus dose-response relationships</w:t>
              <w:br/>
              <w:t>• Exposure assessment module for data-poor scenarios</w:t>
              <w:br/>
              <w:t>• Template reporting system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pPr>
        <w:jc w:val="center"/>
      </w:pPr>
      <w:r>
        <w:rPr>
          <w:b/>
        </w:rPr>
        <w:t xml:space="preserve">Figure 1: </w:t>
      </w:r>
      <w:r>
        <w:t>QMRA Assessment Toolkit Architecture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INPUT DATA</w:t>
            </w:r>
          </w:p>
        </w:tc>
        <w:tc>
          <w:tcPr>
            <w:tcW w:type="dxa" w:w="2880"/>
          </w:tcPr>
          <w:p>
            <w:pPr>
              <w:jc w:val="center"/>
            </w:pPr>
            <w:r>
              <w:rPr>
                <w:b/>
              </w:rPr>
              <w:t>PROCESSING ENGINE</w:t>
            </w:r>
          </w:p>
        </w:tc>
        <w:tc>
          <w:tcPr>
            <w:tcW w:type="dxa" w:w="2880"/>
          </w:tcPr>
          <w:p>
            <w:pPr>
              <w:jc w:val="center"/>
            </w:pPr>
            <w:r>
              <w:rPr>
                <w:b/>
              </w:rPr>
              <w:t>OUTPUTS</w:t>
            </w:r>
          </w:p>
        </w:tc>
      </w:tr>
      <w:tr>
        <w:tc>
          <w:tcPr>
            <w:tcW w:type="dxa" w:w="2880"/>
          </w:tcPr>
          <w:p>
            <w:r>
              <w:t>Water Quality Data</w:t>
            </w:r>
          </w:p>
        </w:tc>
        <w:tc>
          <w:tcPr>
            <w:tcW w:type="dxa" w:w="2880"/>
          </w:tcPr>
          <w:p>
            <w:pPr>
              <w:jc w:val="center"/>
            </w:pPr>
            <w:r>
              <w:t>PYTHON QMRA ENGINE</w:t>
            </w:r>
          </w:p>
        </w:tc>
        <w:tc>
          <w:tcPr>
            <w:tcW w:type="dxa" w:w="2880"/>
          </w:tcPr>
          <w:p>
            <w:r>
              <w:t>Risk Assessment Results</w:t>
            </w:r>
          </w:p>
        </w:tc>
      </w:tr>
      <w:tr>
        <w:tc>
          <w:tcPr>
            <w:tcW w:type="dxa" w:w="2880"/>
          </w:tcPr>
          <w:p>
            <w:r>
              <w:t>Pathogen Concentrations</w:t>
            </w:r>
          </w:p>
        </w:tc>
        <w:tc>
          <w:tcPr>
            <w:tcW w:type="dxa" w:w="2880"/>
          </w:tcPr>
          <w:p>
            <w:pPr>
              <w:jc w:val="center"/>
            </w:pPr>
            <w:r>
              <w:t>↓</w:t>
            </w:r>
          </w:p>
        </w:tc>
        <w:tc>
          <w:tcPr>
            <w:tcW w:type="dxa" w:w="2880"/>
          </w:tcPr>
          <w:p>
            <w:r>
              <w:t>Compliance Reports</w:t>
            </w:r>
          </w:p>
        </w:tc>
      </w:tr>
      <w:tr>
        <w:tc>
          <w:tcPr>
            <w:tcW w:type="dxa" w:w="2880"/>
          </w:tcPr>
          <w:p>
            <w:r>
              <w:t>Log Reduction Values</w:t>
            </w:r>
          </w:p>
        </w:tc>
        <w:tc>
          <w:tcPr>
            <w:tcW w:type="dxa" w:w="2880"/>
          </w:tcPr>
          <w:p>
            <w:pPr>
              <w:jc w:val="center"/>
            </w:pPr>
            <w:r>
              <w:t>Norovirus Database</w:t>
            </w:r>
          </w:p>
        </w:tc>
        <w:tc>
          <w:tcPr>
            <w:tcW w:type="dxa" w:w="2880"/>
          </w:tcPr>
          <w:p>
            <w:r>
              <w:t>Health Risk Estimates</w:t>
            </w:r>
          </w:p>
        </w:tc>
      </w:tr>
      <w:tr>
        <w:tc>
          <w:tcPr>
            <w:tcW w:type="dxa" w:w="2880"/>
          </w:tcPr>
          <w:p>
            <w:r>
              <w:t>Population Data</w:t>
            </w:r>
          </w:p>
        </w:tc>
        <w:tc>
          <w:tcPr>
            <w:tcW w:type="dxa" w:w="2880"/>
          </w:tcPr>
          <w:p>
            <w:pPr>
              <w:jc w:val="center"/>
            </w:pPr>
            <w:r>
              <w:t>↓</w:t>
            </w:r>
          </w:p>
        </w:tc>
        <w:tc>
          <w:tcPr>
            <w:tcW w:type="dxa" w:w="2880"/>
          </w:tcPr>
          <w:p>
            <w:r>
              <w:t>Regulatory Documentation</w:t>
            </w:r>
          </w:p>
        </w:tc>
      </w:tr>
      <w:tr>
        <w:tc>
          <w:tcPr>
            <w:tcW w:type="dxa" w:w="2880"/>
          </w:tcPr>
          <w:p>
            <w:r>
              <w:t>Exposure Scenarios</w:t>
            </w:r>
          </w:p>
        </w:tc>
        <w:tc>
          <w:tcPr>
            <w:tcW w:type="dxa" w:w="2880"/>
          </w:tcPr>
          <w:p>
            <w:pPr>
              <w:jc w:val="center"/>
            </w:pPr>
            <w:r>
              <w:t>Monte Carlo Simulation</w:t>
            </w:r>
          </w:p>
        </w:tc>
        <w:tc>
          <w:tcPr>
            <w:tcW w:type="dxa" w:w="2880"/>
          </w:tcPr>
          <w:p>
            <w:r>
              <w:t>Uncertainty Analysis</w:t>
            </w:r>
          </w:p>
        </w:tc>
      </w:tr>
      <w:tr>
        <w:tc>
          <w:tcPr>
            <w:tcW w:type="dxa" w:w="2880"/>
          </w:tcPr>
          <w:p>
            <w:r>
              <w:t>Treatment Parameters</w:t>
            </w:r>
          </w:p>
        </w:tc>
        <w:tc>
          <w:tcPr>
            <w:tcW w:type="dxa" w:w="2880"/>
          </w:tcPr>
          <w:p>
            <w:pPr>
              <w:jc w:val="center"/>
            </w:pPr>
            <w:r>
              <w:t>Dose-Response Models</w:t>
            </w:r>
          </w:p>
        </w:tc>
        <w:tc>
          <w:tcPr>
            <w:tcW w:type="dxa" w:w="2880"/>
          </w:tcPr>
          <w:p>
            <w:r>
              <w:t>Decision Support</w:t>
            </w:r>
          </w:p>
        </w:tc>
      </w:tr>
    </w:tbl>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Model Analysis</w:t>
            </w:r>
          </w:p>
        </w:tc>
        <w:tc>
          <w:tcPr>
            <w:tcW w:type="dxa" w:w="2160"/>
          </w:tcPr>
          <w:p>
            <w:r>
              <w:t>Review Freshwater Microbiology Research Programme Report (2002), analyse current QMRA models and methodologies, understand alternative risk modelling approaches (Reza)</w:t>
            </w:r>
          </w:p>
        </w:tc>
        <w:tc>
          <w:tcPr>
            <w:tcW w:type="dxa" w:w="2160"/>
          </w:tcPr>
          <w:p>
            <w:r/>
          </w:p>
        </w:tc>
        <w:tc>
          <w:tcPr>
            <w:tcW w:type="dxa" w:w="2160"/>
          </w:tcPr>
          <w:p>
            <w:r>
              <w:t>25</w:t>
            </w:r>
          </w:p>
        </w:tc>
      </w:tr>
      <w:tr>
        <w:tc>
          <w:tcPr>
            <w:tcW w:type="dxa" w:w="2160"/>
          </w:tcPr>
          <w:p>
            <w:r>
              <w:t>Requirements &amp; Design</w:t>
            </w:r>
          </w:p>
        </w:tc>
        <w:tc>
          <w:tcPr>
            <w:tcW w:type="dxa" w:w="2160"/>
          </w:tcPr>
          <w:p>
            <w:r>
              <w:t>System architecture definition, QMRA methodology analysis, stakeholder consultation, performance criteria development (Reza)</w:t>
            </w:r>
          </w:p>
        </w:tc>
        <w:tc>
          <w:tcPr>
            <w:tcW w:type="dxa" w:w="2160"/>
          </w:tcPr>
          <w:p>
            <w:r/>
          </w:p>
        </w:tc>
        <w:tc>
          <w:tcPr>
            <w:tcW w:type="dxa" w:w="2160"/>
          </w:tcPr>
          <w:p>
            <w:r>
              <w:t>35</w:t>
            </w:r>
          </w:p>
        </w:tc>
      </w:tr>
      <w:tr>
        <w:tc>
          <w:tcPr>
            <w:tcW w:type="dxa" w:w="2160"/>
          </w:tcPr>
          <w:p>
            <w:r>
              <w:t>Core Development (Norovirus Focus)</w:t>
            </w:r>
          </w:p>
        </w:tc>
        <w:tc>
          <w:tcPr>
            <w:tcW w:type="dxa" w:w="2160"/>
          </w:tcPr>
          <w:p>
            <w:r>
              <w:t>Single pathogen database creation (norovirus), dose-response model implementation, Python framework development with R integration considerations (Reza)</w:t>
            </w:r>
          </w:p>
        </w:tc>
        <w:tc>
          <w:tcPr>
            <w:tcW w:type="dxa" w:w="2160"/>
          </w:tcPr>
          <w:p>
            <w:r/>
          </w:p>
        </w:tc>
        <w:tc>
          <w:tcPr>
            <w:tcW w:type="dxa" w:w="2160"/>
          </w:tcPr>
          <w:p>
            <w:r>
              <w:t>45</w:t>
            </w:r>
          </w:p>
        </w:tc>
      </w:tr>
      <w:tr>
        <w:tc>
          <w:tcPr>
            <w:tcW w:type="dxa" w:w="2160"/>
          </w:tcPr>
          <w:p>
            <w:r>
              <w:t>Exposure Assessment Module</w:t>
            </w:r>
          </w:p>
        </w:tc>
        <w:tc>
          <w:tcPr>
            <w:tcW w:type="dxa" w:w="2160"/>
          </w:tcPr>
          <w:p>
            <w:r>
              <w:t>Implementation of comprehensive exposure assessment capabilities, handling data-poor scenarios, integration with log reduction inputs (Reza)</w:t>
            </w:r>
          </w:p>
        </w:tc>
        <w:tc>
          <w:tcPr>
            <w:tcW w:type="dxa" w:w="2160"/>
          </w:tcPr>
          <w:p>
            <w:r/>
          </w:p>
        </w:tc>
        <w:tc>
          <w:tcPr>
            <w:tcW w:type="dxa" w:w="2160"/>
          </w:tcPr>
          <w:p>
            <w:r>
              <w:t>25</w:t>
            </w:r>
          </w:p>
        </w:tc>
      </w:tr>
      <w:tr>
        <w:tc>
          <w:tcPr>
            <w:tcW w:type="dxa" w:w="2160"/>
          </w:tcPr>
          <w:p>
            <w:r>
              <w:t>Advanced Features</w:t>
            </w:r>
          </w:p>
        </w:tc>
        <w:tc>
          <w:tcPr>
            <w:tcW w:type="dxa" w:w="2160"/>
          </w:tcPr>
          <w:p>
            <w:r>
              <w:t>Monte Carlo simulation engine, uncertainty quantification, statistical modelling implementation (Reza)</w:t>
            </w:r>
          </w:p>
        </w:tc>
        <w:tc>
          <w:tcPr>
            <w:tcW w:type="dxa" w:w="2160"/>
          </w:tcPr>
          <w:p>
            <w:r/>
          </w:p>
        </w:tc>
        <w:tc>
          <w:tcPr>
            <w:tcW w:type="dxa" w:w="2160"/>
          </w:tcPr>
          <w:p>
            <w:r>
              <w:t>20</w:t>
            </w:r>
          </w:p>
        </w:tc>
      </w:tr>
      <w:tr>
        <w:tc>
          <w:tcPr>
            <w:tcW w:type="dxa" w:w="2160"/>
          </w:tcPr>
          <w:p>
            <w:r>
              <w:t>Testing &amp; Validation</w:t>
            </w:r>
          </w:p>
        </w:tc>
        <w:tc>
          <w:tcPr>
            <w:tcW w:type="dxa" w:w="2160"/>
          </w:tcPr>
          <w:p>
            <w:r>
              <w:t>Performance testing against defined criteria, validation with known benchmarks, quality assurance protocols (Reza)</w:t>
            </w:r>
          </w:p>
        </w:tc>
        <w:tc>
          <w:tcPr>
            <w:tcW w:type="dxa" w:w="2160"/>
          </w:tcPr>
          <w:p>
            <w:r/>
          </w:p>
        </w:tc>
        <w:tc>
          <w:tcPr>
            <w:tcW w:type="dxa" w:w="2160"/>
          </w:tcPr>
          <w:p>
            <w:r>
              <w:t>20</w:t>
            </w:r>
          </w:p>
        </w:tc>
      </w:tr>
      <w:tr>
        <w:tc>
          <w:tcPr>
            <w:tcW w:type="dxa" w:w="2160"/>
          </w:tcPr>
          <w:p>
            <w:r>
              <w:t>Model Review &amp; Validation</w:t>
            </w:r>
          </w:p>
        </w:tc>
        <w:tc>
          <w:tcPr>
            <w:tcW w:type="dxa" w:w="2160"/>
          </w:tcPr>
          <w:p>
            <w:r>
              <w:t>Technical review of QMRA models, validation of dose-response relationships, methodology verification (David)</w:t>
            </w:r>
          </w:p>
        </w:tc>
        <w:tc>
          <w:tcPr>
            <w:tcW w:type="dxa" w:w="2160"/>
          </w:tcPr>
          <w:p>
            <w:r/>
          </w:p>
        </w:tc>
        <w:tc>
          <w:tcPr>
            <w:tcW w:type="dxa" w:w="2160"/>
          </w:tcPr>
          <w:p>
            <w:r>
              <w:t>25</w:t>
            </w:r>
          </w:p>
        </w:tc>
      </w:tr>
      <w:tr>
        <w:tc>
          <w:tcPr>
            <w:tcW w:type="dxa" w:w="2160"/>
          </w:tcPr>
          <w:p>
            <w:r>
              <w:t>Documentation</w:t>
            </w:r>
          </w:p>
        </w:tc>
        <w:tc>
          <w:tcPr>
            <w:tcW w:type="dxa" w:w="2160"/>
          </w:tcPr>
          <w:p>
            <w:r>
              <w:t>Technical documentation, user guides, training materials, regulatory compliance documentation (David)</w:t>
            </w:r>
          </w:p>
        </w:tc>
        <w:tc>
          <w:tcPr>
            <w:tcW w:type="dxa" w:w="2160"/>
          </w:tcPr>
          <w:p>
            <w:r/>
          </w:p>
        </w:tc>
        <w:tc>
          <w:tcPr>
            <w:tcW w:type="dxa" w:w="2160"/>
          </w:tcPr>
          <w:p>
            <w:r>
              <w:t>15</w:t>
            </w:r>
          </w:p>
        </w:tc>
      </w:tr>
      <w:tr>
        <w:tc>
          <w:tcPr>
            <w:tcW w:type="dxa" w:w="2160"/>
          </w:tcPr>
          <w:p>
            <w:r>
              <w:t>Deployment &amp; Transfer</w:t>
            </w:r>
          </w:p>
        </w:tc>
        <w:tc>
          <w:tcPr>
            <w:tcW w:type="dxa" w:w="2160"/>
          </w:tcPr>
          <w:p>
            <w:r>
              <w:t>System deployment, staff training, knowledge transfer protocols (Reza/David)</w:t>
            </w:r>
          </w:p>
        </w:tc>
        <w:tc>
          <w:tcPr>
            <w:tcW w:type="dxa" w:w="2160"/>
          </w:tcPr>
          <w:p>
            <w:r/>
          </w:p>
        </w:tc>
        <w:tc>
          <w:tcPr>
            <w:tcW w:type="dxa" w:w="2160"/>
          </w:tcPr>
          <w:p>
            <w:r>
              <w:t>10</w:t>
            </w:r>
          </w:p>
        </w:tc>
      </w:tr>
    </w:tbl>
    <w:p>
      <w:pPr>
        <w:jc w:val="center"/>
      </w:pPr>
      <w:r>
        <w:rPr>
          <w:b/>
        </w:rPr>
        <w:t xml:space="preserve">Table 1: </w:t>
      </w:r>
      <w:r>
        <w:t>Work Programme and Timeline for QMRA Assessment Toolkit Development (Total: 210 hours)</w:t>
      </w:r>
    </w:p>
    <w:p/>
    <w:p>
      <w:pPr>
        <w:pStyle w:val="Heading1"/>
      </w:pPr>
      <w:r>
        <w:t>EMERGING COLLABORATION OPPORTUNITIES</w:t>
      </w:r>
    </w:p>
    <w:p>
      <w:r>
        <w:t>Recent developments have strengthened the business case for this QMRA assessment toolkit. New Zealand Institute for Public Health and Forensic Science (PHF)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assessment toolkit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assessment toolkit,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
  <cp:revision>1</cp:revision>
  <dcterms:created xsi:type="dcterms:W3CDTF">2013-12-23T23:15:00Z</dcterms:created>
  <dcterms:modified xsi:type="dcterms:W3CDTF">2013-12-23T23:15:00Z</dcterms:modified>
  <cp:category/>
</cp:coreProperties>
</file>