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de la base de datos SAE</w:t>
      </w:r>
    </w:p>
    <w:p>
      <w:pPr>
        <w:pStyle w:val="Subtitle"/>
      </w:pPr>
      <w:r>
        <w:t>Empresa 15 Informe técnico y plan de desarrollo de Opervia</w:t>
      </w:r>
    </w:p>
    <w:p>
      <w:pPr>
        <w:spacing w:after="280"/>
      </w:pPr>
      <w:r>
        <w:t>Copia del 5 de octubre de 2026</w:t>
      </w:r>
    </w:p>
    <w:p>
      <w:pPr>
        <w:pStyle w:val="Heading1"/>
      </w:pPr>
      <w:r>
        <w:t>Resultado y alcance</w:t>
      </w:r>
    </w:p>
    <w:p>
      <w:r>
        <w:t>La copia permite reconstruir ventas, entregas parciales, cobros, compras, cuentas por pagar, existencias y lotes. La prioridad de Opervia debe ser interpretar correctamente kits, claves compuestas, enlaces por partida y documentos fiscales antes de presentar indicadores.</w:t>
      </w:r>
    </w:p>
    <w:p>
      <w:r>
        <w:t xml:space="preserve">Se inventariaron </w:t>
      </w:r>
      <w:r>
        <w:rPr>
          <w:b/>
        </w:rPr>
        <w:t>415 tablas</w:t>
      </w:r>
      <w:r>
        <w:t xml:space="preserve">, </w:t>
      </w:r>
      <w:r>
        <w:rPr>
          <w:b/>
        </w:rPr>
        <w:t>7,525 campos</w:t>
      </w:r>
      <w:r>
        <w:t xml:space="preserve"> y </w:t>
      </w:r>
      <w:r>
        <w:rPr>
          <w:b/>
        </w:rPr>
        <w:t>2,385,036 filas</w:t>
      </w:r>
      <w:r>
        <w:t>. Son filas físicas de tablas, no operaciones únicas: cabeceras, partidas, extensiones y enlaces representan distintos aspectos de una misma operación.</w:t>
      </w:r>
    </w:p>
    <w:p>
      <w:r>
        <w:t xml:space="preserve">Hay </w:t>
      </w:r>
      <w:r>
        <w:rPr>
          <w:b/>
        </w:rPr>
        <w:t>164 tablas con datos</w:t>
      </w:r>
      <w:r>
        <w:t xml:space="preserve"> y </w:t>
      </w:r>
      <w:r>
        <w:rPr>
          <w:b/>
        </w:rPr>
        <w:t>251 vacías</w:t>
      </w:r>
      <w:r>
        <w:t xml:space="preserve">. Se perfilaron </w:t>
      </w:r>
      <w:r>
        <w:rPr>
          <w:b/>
        </w:rPr>
        <w:t>3,183 campos de tablas con datos</w:t>
      </w:r>
      <w:r>
        <w:t xml:space="preserve">, incluyendo nulos, vacíos y rangos numéricos/fechas; los demás campos pertenecen a tablas sin filas. Se comprobaron </w:t>
      </w:r>
      <w:r>
        <w:rPr>
          <w:b/>
        </w:rPr>
        <w:t>103 relaciones candidatas</w:t>
      </w:r>
      <w:r>
        <w:t xml:space="preserve"> y se analizaron los </w:t>
      </w:r>
      <w:r>
        <w:rPr>
          <w:b/>
        </w:rPr>
        <w:t>33,493 registros de CFDI15</w:t>
      </w:r>
      <w:r>
        <w:t>, con XML interpretables en 33,490 y tres XML nulos. No hubo errores finales de consulta.</w:t>
      </w:r>
    </w:p>
    <w:p>
      <w:r>
        <w:t xml:space="preserve">Se usó Firebird embedded 2.5.9 únicamente sobre </w:t>
      </w:r>
      <w:r>
        <w:rPr>
          <w:rFonts w:ascii="Consolas" w:hAnsi="Consolas"/>
          <w:sz w:val="18"/>
        </w:rPr>
        <w:t>.analysis/sae-2026-10-05/working.fdb</w:t>
      </w:r>
      <w:r>
        <w:t xml:space="preserve">, dentro de transacciones explícitas READ ONLY y con consultas SELECT. No se conectó un servidor externo. El SHA-256 del archivo del escritorio coincide antes y después del análisis; el original no cambió. MON$TRANSACTIONS confirmó MON$READ_ONLY=1. Evidencia: </w:t>
      </w:r>
      <w:r>
        <w:rPr>
          <w:rFonts w:ascii="Consolas" w:hAnsi="Consolas"/>
          <w:sz w:val="18"/>
        </w:rPr>
        <w:t>../output/source-integrity.json</w:t>
      </w:r>
      <w:r>
        <w:t xml:space="preserve"> y </w:t>
      </w:r>
      <w:r>
        <w:rPr>
          <w:rFonts w:ascii="Consolas" w:hAnsi="Consolas"/>
          <w:sz w:val="18"/>
        </w:rPr>
        <w:t>read-only-confirmation.json</w:t>
      </w:r>
      <w:r>
        <w:t>.</w:t>
      </w:r>
    </w:p>
    <w:p>
      <w:r>
        <w:t>Esto es un análisis estructural y de consistencia lógica; no certifica contabilidad, cumplimiento fiscal, integridad física de todas las páginas ni el significado de cada campo personalizado. No se consultó al SAT ni se verificaron firmas digitales de los XML.</w:t>
      </w:r>
    </w:p>
    <w:p>
      <w:pPr>
        <w:pStyle w:val="Heading1"/>
      </w:pPr>
      <w:r>
        <w:t>Identificación de la copia</w:t>
      </w:r>
    </w:p>
    <w:p>
      <w:pPr>
        <w:pStyle w:val="ListBullet"/>
      </w:pPr>
      <w:r>
        <w:t xml:space="preserve">Fuente: </w:t>
      </w:r>
      <w:r>
        <w:rPr>
          <w:rFonts w:ascii="Consolas" w:hAnsi="Consolas"/>
          <w:sz w:val="18"/>
        </w:rPr>
        <w:t>C:/Users/MoisesEduardoJuarezB/Desktop/SAE90EMPRE15.FDB</w:t>
      </w:r>
      <w:r>
        <w:t>.</w:t>
      </w:r>
    </w:p>
    <w:p>
      <w:pPr>
        <w:pStyle w:val="ListBullet"/>
      </w:pPr>
      <w:r>
        <w:t>Tamaño: 786,169,856 bytes, aproximadamente 749.75 MiB.</w:t>
      </w:r>
    </w:p>
    <w:p>
      <w:pPr>
        <w:pStyle w:val="ListBullet"/>
      </w:pPr>
      <w:r>
        <w:t>Fecha del archivo recibida: 05/10/2026 a las 08:34:14, según metadatos del equipo.</w:t>
      </w:r>
    </w:p>
    <w:p>
      <w:pPr>
        <w:pStyle w:val="ListBullet"/>
      </w:pPr>
      <w:r>
        <w:t xml:space="preserve">ODS: </w:t>
      </w:r>
      <w:r>
        <w:rPr>
          <w:b/>
        </w:rPr>
        <w:t>11.2</w:t>
      </w:r>
      <w:r>
        <w:t xml:space="preserve">; dialecto SQL </w:t>
      </w:r>
      <w:r>
        <w:rPr>
          <w:b/>
        </w:rPr>
        <w:t>3</w:t>
      </w:r>
      <w:r>
        <w:t xml:space="preserve">; páginas de </w:t>
      </w:r>
      <w:r>
        <w:rPr>
          <w:b/>
        </w:rPr>
        <w:t>4096 bytes</w:t>
      </w:r>
      <w:r>
        <w:t>.</w:t>
      </w:r>
    </w:p>
    <w:p>
      <w:pPr>
        <w:pStyle w:val="ListBullet"/>
      </w:pPr>
      <w:r>
        <w:t xml:space="preserve">Empresa en PARAM_DATOSBD15: </w:t>
      </w:r>
      <w:r>
        <w:rPr>
          <w:b/>
        </w:rPr>
        <w:t>15</w:t>
      </w:r>
      <w:r>
        <w:t xml:space="preserve">; VERSIONBD devuelve </w:t>
      </w:r>
      <w:r>
        <w:rPr>
          <w:rFonts w:ascii="Consolas" w:hAnsi="Consolas"/>
          <w:sz w:val="18"/>
        </w:rPr>
        <w:t>0.0</w:t>
      </w:r>
      <w:r>
        <w:t>, insuficiente para identificar la versión comercial de SAE.</w:t>
      </w:r>
    </w:p>
    <w:p>
      <w:pPr>
        <w:pStyle w:val="ListBullet"/>
      </w:pPr>
      <w:r>
        <w:t xml:space="preserve">Tablas sufijo 15: </w:t>
      </w:r>
      <w:r>
        <w:rPr>
          <w:b/>
        </w:rPr>
        <w:t>210</w:t>
      </w:r>
      <w:r>
        <w:t xml:space="preserve">; sufijo 01: </w:t>
      </w:r>
      <w:r>
        <w:rPr>
          <w:b/>
        </w:rPr>
        <w:t>203</w:t>
      </w:r>
      <w:r>
        <w:t xml:space="preserve">; tablas sin esos sufijos: </w:t>
      </w:r>
      <w:r>
        <w:rPr>
          <w:b/>
        </w:rPr>
        <w:t>2</w:t>
      </w:r>
      <w:r>
        <w:t>.</w:t>
      </w:r>
    </w:p>
    <w:p>
      <w:pPr>
        <w:pStyle w:val="ListBullet"/>
      </w:pPr>
      <w:r>
        <w:t xml:space="preserve">Último movimiento de inventario: </w:t>
      </w:r>
      <w:r>
        <w:rPr>
          <w:b/>
        </w:rPr>
        <w:t>2026-10-05</w:t>
      </w:r>
      <w:r>
        <w:t xml:space="preserve">, capturado a </w:t>
      </w:r>
      <w:r>
        <w:rPr>
          <w:b/>
        </w:rPr>
        <w:t>2026-10-05T08:28:06.864</w:t>
      </w:r>
      <w:r>
        <w:t>. Es consistente con la fecha de copia indicada.</w:t>
      </w:r>
    </w:p>
    <w:p>
      <w:pPr>
        <w:pStyle w:val="ListBullet"/>
      </w:pPr>
      <w:r>
        <w:t xml:space="preserve">Última factura: </w:t>
      </w:r>
      <w:r>
        <w:rPr>
          <w:b/>
        </w:rPr>
        <w:t>02/10/2026</w:t>
      </w:r>
      <w:r>
        <w:t xml:space="preserve">, última captura de factura </w:t>
      </w:r>
      <w:r>
        <w:rPr>
          <w:b/>
        </w:rPr>
        <w:t>02/10/2026 16:03:18.414</w:t>
      </w:r>
      <w:r>
        <w:t>. La copia del 05/10 no significa que todos los módulos tengan documentos nuevos ese día.</w:t>
      </w:r>
    </w:p>
    <w:p>
      <w:pPr>
        <w:pStyle w:val="ListBullet"/>
      </w:pPr>
      <w:r>
        <w:t>Charset declarado de los campos de texto: ISO8859_1; el cliente UTF8 permitió convertir correctamente textos que fallaban con WIN1252. No asumir que UTF8 es el charset físico de cada campo.</w:t>
      </w:r>
    </w:p>
    <w:p>
      <w:r>
        <w:t>El nombre SAE90 sugiere un origen en SAE 9, pero no prueba la versión efectiva. Opervia actualmente exige la etiqueta SAE 10 en su contrato de conexión; la compatibilidad debe verificarse por capacidades/columnas, no solo por el nombre del archivo.</w:t>
      </w:r>
    </w:p>
    <w:p>
      <w:pPr>
        <w:pStyle w:val="Heading1"/>
      </w:pPr>
      <w:r>
        <w:t>Volumen operativo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24"/>
        <w:gridCol w:w="3312"/>
        <w:gridCol w:w="1800"/>
      </w:tblGrid>
      <w:tr>
        <w:trPr>
          <w:cantSplit/>
          <w:tblHeader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03E56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03E56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03E56"/>
          </w:tcPr>
          <w:p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9"/>
              </w:rPr>
              <w:t>Filas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Clientes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CLIE15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1,431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Proveedores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PROV15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209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Artículos, servicios y kits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INVE15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3,440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Almacenes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ALMACENES15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Sucursales configuradas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SUCURSALES15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Cotizaciones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FACTC15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24,691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Pedidos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FACTP15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18,240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Remisiones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FACTR15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20,492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Facturas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FACTF15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21,433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Partidas de factura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PAR_FACTF15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61,163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Enlaces de documentos/partidas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DOCTOSIGF15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275,139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Movimientos raíz de CxC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CUEN_M15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22,109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Detalles de CxC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CUEN_DET15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22,880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Compras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COMPC15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4,019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Movimientos de inventario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MINVE15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152,279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Artículo–almacén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MULT15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27,974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Lotes/pedimentos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LTPD15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22,283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Raíces de CxP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PAGA_M15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4,134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Detalles de CxP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PAGA_DET15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4,325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Documentos fiscales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CFDI15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40" w:lineRule="auto"/>
              <w:jc w:val="right"/>
            </w:pPr>
            <w:r>
              <w:rPr>
                <w:sz w:val="19"/>
              </w:rPr>
              <w:t>33,493</w:t>
            </w:r>
          </w:p>
        </w:tc>
      </w:tr>
    </w:tbl>
    <w:p>
      <w:pPr>
        <w:spacing w:after="40"/>
      </w:pPr>
    </w:p>
    <w:p>
      <w:r>
        <w:t>El período de facturas inicia el 22/07/2024. Los estados observados son E (20,828), C (603) y O (2). C coincide con las fechas de cancelación de cabecera; no se asigna significado definitivo a O sin validarlo en SAE. Todas las facturas registran NUM_MONED=1, cuya moneda configurada es MXN. Otros módulos y el catálogo sí contemplan monedas adicionales.</w:t>
      </w:r>
    </w:p>
    <w:p>
      <w:pPr>
        <w:pStyle w:val="Heading1"/>
      </w:pPr>
      <w:r>
        <w:t>Reglas comprobadas para los importes</w:t>
      </w:r>
    </w:p>
    <w:p>
      <w:pPr>
        <w:pStyle w:val="Heading2"/>
      </w:pPr>
      <w:r>
        <w:t>Kits separar ingreso comercial de componentes físicos</w:t>
      </w:r>
    </w:p>
    <w:p>
      <w:r>
        <w:t xml:space="preserve">Sumar indiscriminadamente TOT_PARTIDA no cuadra con CAN_TOT en </w:t>
      </w:r>
      <w:r>
        <w:rPr>
          <w:b/>
        </w:rPr>
        <w:t>65 facturas</w:t>
      </w:r>
      <w:r>
        <w:t xml:space="preserve">: 59 de estado E y seis C. Las partidas componentes de kit tienen </w:t>
      </w:r>
      <w:r>
        <w:rPr>
          <w:rFonts w:ascii="Consolas" w:hAnsi="Consolas"/>
          <w:sz w:val="18"/>
        </w:rPr>
        <w:t>TIPO_ELEM='K'</w:t>
      </w:r>
      <w:r>
        <w:t>; no se deben sumar otra vez al ingreso del kit padre.</w:t>
      </w:r>
    </w:p>
    <w:p>
      <w:r>
        <w:t xml:space="preserve">Al sumar </w:t>
      </w:r>
      <w:r>
        <w:rPr>
          <w:rFonts w:ascii="Consolas" w:hAnsi="Consolas"/>
          <w:sz w:val="18"/>
        </w:rPr>
        <w:t>CASE WHEN TIPO_ELEM='K' THEN 0 ELSE TOT_PARTIDA END</w:t>
      </w:r>
      <w:r>
        <w:t xml:space="preserve">, las </w:t>
      </w:r>
      <w:r>
        <w:rPr>
          <w:b/>
        </w:rPr>
        <w:t>21,433 facturas concilian sin diferencias</w:t>
      </w:r>
      <w:r>
        <w:t xml:space="preserve"> contra CAN_TOT. La regla alternativa de excluir únicamente </w:t>
      </w:r>
      <w:r>
        <w:rPr>
          <w:rFonts w:ascii="Consolas" w:hAnsi="Consolas"/>
          <w:sz w:val="18"/>
        </w:rPr>
        <w:t>TIPO_PROD='P' AND ACT_INV='N'</w:t>
      </w:r>
      <w:r>
        <w:t xml:space="preserve"> deja dos excepciones: ACT_INV no identifica todos los componentes.</w:t>
      </w:r>
    </w:p>
    <w:p>
      <w:r>
        <w:t>Para costos no aplicar automáticamente el mismo filtro: hay componentes con costo y padres con costo cero, y otros kits con costo en el padre. Modelar por separado las filas comerciales y las que aportan costo/movimiento físico. También separar servicios; un costo cero de servicio no prueba un error.</w:t>
      </w:r>
    </w:p>
    <w:p>
      <w:pPr>
        <w:pStyle w:val="Heading2"/>
      </w:pPr>
      <w:r>
        <w:t>Impuestos y descuentos</w:t>
      </w:r>
    </w:p>
    <w:p>
      <w:pPr>
        <w:keepNext/>
      </w:pPr>
      <w:r>
        <w:t>En todas las facturas se comprobó, con tolerancia 0.02 MXN:</w:t>
      </w:r>
    </w:p>
    <w:p>
      <w:r>
        <w:rPr>
          <w:rFonts w:ascii="Consolas" w:hAnsi="Consolas"/>
          <w:sz w:val="18"/>
        </w:rPr>
        <w:t>IMPORTE = CAN_TOT - DES_TOT - DES_FIN + IMP_TOT1 + ... + IMP_TOT8</w:t>
      </w:r>
    </w:p>
    <w:p>
      <w:r>
        <w:t>Hay cero diferencias. DES_FIN es cero en esta copia, pero la fórmula debe conservarlo. Los campos monetarios usan DOUBLE PRECISION; sus pequeñas diferencias binarias requieren normalización y tolerancias explícitas.</w:t>
      </w:r>
    </w:p>
    <w:p>
      <w:r>
        <w:t>La fórmula es una conciliación de documentos, no utilidad contable. Restar compras del período a ventas no equivale al costo de ventas: intervienen inventarios, devoluciones, costos históricos, servicios y gastos.</w:t>
      </w:r>
    </w:p>
    <w:p>
      <w:pPr>
        <w:pStyle w:val="Heading1"/>
      </w:pPr>
      <w:r>
        <w:t>Cobranza y cuentas por pagar</w:t>
      </w:r>
    </w:p>
    <w:p>
      <w:pPr>
        <w:pStyle w:val="ListBullet"/>
      </w:pPr>
      <w:r>
        <w:t xml:space="preserve">Saldo de clientes en catálogo: </w:t>
      </w:r>
      <w:r>
        <w:rPr>
          <w:b/>
        </w:rPr>
        <w:t>$11,366,307.59 MXN</w:t>
      </w:r>
      <w:r>
        <w:t>.</w:t>
      </w:r>
    </w:p>
    <w:p>
      <w:pPr>
        <w:pStyle w:val="ListBullet"/>
      </w:pPr>
      <w:r>
        <w:t xml:space="preserve">Suma firmada de movimientos raíz+detalle: </w:t>
      </w:r>
      <w:r>
        <w:rPr>
          <w:b/>
        </w:rPr>
        <w:t>$11,366,307.62 MXN</w:t>
      </w:r>
      <w:r>
        <w:t>.</w:t>
      </w:r>
    </w:p>
    <w:p>
      <w:pPr>
        <w:pStyle w:val="ListBullet"/>
      </w:pPr>
      <w:r>
        <w:t xml:space="preserve">Diferencia global aproximada: </w:t>
      </w:r>
      <w:r>
        <w:rPr>
          <w:b/>
        </w:rPr>
        <w:t>$0.03035</w:t>
      </w:r>
      <w:r>
        <w:t xml:space="preserve">; solo un cliente supera 0.02, con diferencia aproximada de </w:t>
      </w:r>
      <w:r>
        <w:rPr>
          <w:b/>
        </w:rPr>
        <w:t>$0.02464</w:t>
      </w:r>
      <w:r>
        <w:t>. Esto sugiere precisión/redondeo; no una discrepancia material demostrada.</w:t>
      </w:r>
    </w:p>
    <w:p>
      <w:pPr>
        <w:pStyle w:val="ListBullet"/>
      </w:pPr>
      <w:r>
        <w:t xml:space="preserve">Saldo de proveedores: </w:t>
      </w:r>
      <w:r>
        <w:rPr>
          <w:b/>
        </w:rPr>
        <w:t>$13,972,852.41 MXN</w:t>
      </w:r>
      <w:r>
        <w:t>, conciliado con movimientos; cero proveedores con diferencia mayor a 0.02.</w:t>
      </w:r>
    </w:p>
    <w:p>
      <w:pPr>
        <w:pStyle w:val="ListBullet"/>
      </w:pPr>
      <w:r>
        <w:t>Los 22,880 detalles de CxC encuentran raíz por cliente, referencia y cargo. Los 4,325 detalles de CxP también encuentran raíz.</w:t>
      </w:r>
    </w:p>
    <w:p>
      <w:pPr>
        <w:pStyle w:val="ListBullet"/>
      </w:pPr>
      <w:r>
        <w:t xml:space="preserve">CUEN_M15 declara PK </w:t>
      </w:r>
      <w:r>
        <w:rPr>
          <w:rFonts w:ascii="Consolas" w:hAnsi="Consolas"/>
          <w:sz w:val="18"/>
        </w:rPr>
        <w:t>(CVE_CLIE, REFER, NUM_CPTO, NUM_CARGO)</w:t>
      </w:r>
      <w:r>
        <w:t xml:space="preserve">. Reducirla a tres columnas deja </w:t>
      </w:r>
      <w:r>
        <w:rPr>
          <w:b/>
        </w:rPr>
        <w:t>un grupo con dos raíces</w:t>
      </w:r>
      <w:r>
        <w:t xml:space="preserve"> y </w:t>
      </w:r>
      <w:r>
        <w:rPr>
          <w:b/>
        </w:rPr>
        <w:t>tres detalles con varias coincidencias</w:t>
      </w:r>
      <w:r>
        <w:t>. Evitar multiplicar importes en un JOIN sin resolver esa ambigüedad.</w:t>
      </w:r>
    </w:p>
    <w:p>
      <w:pPr>
        <w:pStyle w:val="ListBullet"/>
      </w:pPr>
      <w:r>
        <w:rPr>
          <w:b/>
        </w:rPr>
        <w:t>1,029 detalles de CxC</w:t>
      </w:r>
      <w:r>
        <w:t xml:space="preserve"> no enlazan REFER directamente con FACTF15. Eso no significa pagos perdidos: existen otros tipos de documentos y conceptos.</w:t>
      </w:r>
    </w:p>
    <w:p>
      <w:pPr>
        <w:pStyle w:val="ListBullet"/>
      </w:pPr>
      <w:r>
        <w:t xml:space="preserve">Los conceptos personalizados son datos, no constantes universales. El concepto 27 </w:t>
      </w:r>
      <w:r>
        <w:rPr>
          <w:rFonts w:ascii="Consolas" w:hAnsi="Consolas"/>
          <w:sz w:val="18"/>
        </w:rPr>
        <w:t>EQ. A CTA</w:t>
      </w:r>
      <w:r>
        <w:t xml:space="preserve"> está marcado como forma de pago en el catálogo, pero el clasificador actual de Opervia no lo reconoce por número. Su significado requiere confirmación operativa.</w:t>
      </w:r>
    </w:p>
    <w:p>
      <w:r>
        <w:t>No confundir abono, anticipo aplicado, saldo a favor, devolución y entrada real de efectivo. Los saldos aquí son netos del catálogo; no representan por sí solos cartera vencida ni flujo de caja.</w:t>
      </w:r>
    </w:p>
    <w:p>
      <w:pPr>
        <w:pStyle w:val="Heading1"/>
      </w:pPr>
      <w:r>
        <w:t>Grafo documental y entregas parciales</w:t>
      </w:r>
    </w:p>
    <w:p>
      <w:r>
        <w:t xml:space="preserve">Todos los enlaces de DOCTOSIGF15 encuentran cabecera de origen y destino al usar </w:t>
      </w:r>
      <w:r>
        <w:rPr>
          <w:rFonts w:ascii="Consolas" w:hAnsi="Consolas"/>
          <w:sz w:val="18"/>
        </w:rPr>
        <w:t>(TIP_DOC,CVE_DOC)</w:t>
      </w:r>
      <w:r>
        <w:t>. Las direcciones A y S permiten relacionar antecedentes y siguientes; muchos registros son representaciones inversas de la misma transición y no deben contarse como ventas adicionales.</w:t>
      </w:r>
    </w:p>
    <w:p>
      <w:pPr>
        <w:keepNext/>
      </w:pPr>
      <w:r>
        <w:t>Casos comprobados de múltiples destinos:</w:t>
      </w:r>
    </w:p>
    <w:p>
      <w:pPr>
        <w:pStyle w:val="ListBullet"/>
      </w:pPr>
      <w:r>
        <w:rPr>
          <w:b/>
        </w:rPr>
        <w:t>1,863 pedidos</w:t>
      </w:r>
      <w:r>
        <w:t xml:space="preserve"> tienen más de una remisión; hasta diez remisiones para un pedido.</w:t>
      </w:r>
    </w:p>
    <w:p>
      <w:pPr>
        <w:pStyle w:val="ListBullet"/>
      </w:pPr>
      <w:r>
        <w:rPr>
          <w:b/>
        </w:rPr>
        <w:t>739 remisiones</w:t>
      </w:r>
      <w:r>
        <w:t xml:space="preserve"> tienen más de una factura; hasta 17 facturas para una remisión.</w:t>
      </w:r>
    </w:p>
    <w:p>
      <w:pPr>
        <w:pStyle w:val="ListBullet"/>
      </w:pPr>
      <w:r>
        <w:rPr>
          <w:b/>
        </w:rPr>
        <w:t>446 cotizaciones</w:t>
      </w:r>
      <w:r>
        <w:t xml:space="preserve"> tienen más de un pedido; hasta ocho pedidos.</w:t>
      </w:r>
    </w:p>
    <w:p>
      <w:r>
        <w:t>Las cifras cubren toda la copia y no filtran cancelaciones: son características del grafo, no KPI de conversión.</w:t>
      </w:r>
    </w:p>
    <w:p>
      <w:pPr>
        <w:keepNext/>
      </w:pPr>
      <w:r>
        <w:t>Excepciones para manejar sin modificar SAE:</w:t>
      </w:r>
    </w:p>
    <w:p>
      <w:pPr>
        <w:pStyle w:val="ListBullet"/>
      </w:pPr>
      <w:r>
        <w:rPr>
          <w:b/>
        </w:rPr>
        <w:t>30 grupos de enlaces duplicados exactos</w:t>
      </w:r>
      <w:r>
        <w:t>, con 60 filas.</w:t>
      </w:r>
    </w:p>
    <w:p>
      <w:pPr>
        <w:pStyle w:val="ListBullet"/>
      </w:pPr>
      <w:r>
        <w:rPr>
          <w:b/>
        </w:rPr>
        <w:t>123 enlaces</w:t>
      </w:r>
      <w:r>
        <w:t xml:space="preserve"> con partida fuente positiva no localizada: 15 de cotizaciones y 108 de pedidos.</w:t>
      </w:r>
    </w:p>
    <w:p>
      <w:pPr>
        <w:pStyle w:val="ListBullet"/>
      </w:pPr>
      <w:r>
        <w:t>Nueve enlaces de documentos T no tienen fila inversa; puede ser una convención de ese tipo documental y no se etiqueta como corrupción.</w:t>
      </w:r>
    </w:p>
    <w:p>
      <w:r>
        <w:t>La clave documental debe incluir empresa, tipo, folio y, para líneas, número de partida. DOC_ANT/DOC_SIG de cabecera no bastan para explicar todos los destinos.</w:t>
      </w:r>
    </w:p>
    <w:p>
      <w:pPr>
        <w:pStyle w:val="Heading2"/>
      </w:pPr>
      <w:r>
        <w:t>Comprobantes de pago y referencias fiscales</w:t>
      </w:r>
    </w:p>
    <w:p>
      <w:r>
        <w:t xml:space="preserve">Los 11,700 documentos G son comprobantes de pago: sus 11,699 XML interpretables son de tipo P. No son otras ventas. Sus complementos contienen </w:t>
      </w:r>
      <w:r>
        <w:rPr>
          <w:b/>
        </w:rPr>
        <w:t>18,885 DoctoRelacionado</w:t>
      </w:r>
      <w:r>
        <w:t>, y todos encuentran factura dentro de la copia por UUID fiscal.</w:t>
      </w:r>
    </w:p>
    <w:p>
      <w:r>
        <w:t xml:space="preserve">En </w:t>
      </w:r>
      <w:r>
        <w:rPr>
          <w:b/>
        </w:rPr>
        <w:t>18,878</w:t>
      </w:r>
      <w:r>
        <w:t xml:space="preserve"> referencias la operación </w:t>
      </w:r>
      <w:r>
        <w:rPr>
          <w:rFonts w:ascii="Consolas" w:hAnsi="Consolas"/>
          <w:sz w:val="18"/>
        </w:rPr>
        <w:t>ImpSaldoAnt - ImpPagado = ImpSaldoInsoluto</w:t>
      </w:r>
      <w:r>
        <w:t xml:space="preserve"> cuadra con tolerancia 0.02; </w:t>
      </w:r>
      <w:r>
        <w:rPr>
          <w:b/>
        </w:rPr>
        <w:t>siete</w:t>
      </w:r>
      <w:r>
        <w:t xml:space="preserve"> requieren revisión específica. No equiparar automáticamente estas referencias a movimientos de CUEN_DET: los documentos pueden agrupar aplicaciones.</w:t>
      </w:r>
    </w:p>
    <w:p>
      <w:r>
        <w:rPr>
          <w:b/>
        </w:rPr>
        <w:t>18,316 movimientos detalle de CxC</w:t>
      </w:r>
      <w:r>
        <w:t xml:space="preserve"> tienen CVE_DOC_COMPPAGO no vacío, y todos encuentran su documento FACTG15. Esta relación permite ofrecer trazabilidad factura–aplicación–complemento de pago.</w:t>
      </w:r>
    </w:p>
    <w:p>
      <w:r>
        <w:t>Los XML D y E son de tipo fiscal E (egreso), y los T son de tipo T (traslado). En D hay 174 referencias fiscales a facturas, todas dentro de la copia; en E, 150 de 152 apuntan a facturas en la copia. Las restantes pueden referenciar otro comprobante o historia externa y no se etiquetan como pérdida sin revisar.</w:t>
      </w:r>
    </w:p>
    <w:p>
      <w:pPr>
        <w:pStyle w:val="Heading1"/>
      </w:pPr>
      <w:r>
        <w:t>Inventarios y caducidad</w:t>
      </w:r>
    </w:p>
    <w:p>
      <w:pPr>
        <w:pStyle w:val="ListBullet"/>
      </w:pPr>
      <w:r>
        <w:t xml:space="preserve">La existencia global de los </w:t>
      </w:r>
      <w:r>
        <w:rPr>
          <w:b/>
        </w:rPr>
        <w:t>3,440 artículos</w:t>
      </w:r>
      <w:r>
        <w:t xml:space="preserve"> concilia con la suma de MULT15; cero diferencias con tolerancia 0.0001. Hay 77 artículos sin fila MULT; su existencia global es compatible con cero.</w:t>
      </w:r>
    </w:p>
    <w:p>
      <w:pPr>
        <w:pStyle w:val="ListBullet"/>
      </w:pPr>
      <w:r>
        <w:t xml:space="preserve">Los </w:t>
      </w:r>
      <w:r>
        <w:rPr>
          <w:b/>
        </w:rPr>
        <w:t>3,340 productos activos de tipo P</w:t>
      </w:r>
      <w:r>
        <w:t xml:space="preserve"> no tienen existencia negativa global.</w:t>
      </w:r>
    </w:p>
    <w:p>
      <w:pPr>
        <w:pStyle w:val="ListBullet"/>
      </w:pPr>
      <w:r>
        <w:rPr>
          <w:b/>
        </w:rPr>
        <w:t>60 productos activos</w:t>
      </w:r>
      <w:r>
        <w:t xml:space="preserve"> tienen existencia positiva y costo promedio cero o nulo. Es una alerta de valoración que requiere revisar método y movimiento histórico; no sustituir automáticamente por precio de venta o última compra.</w:t>
      </w:r>
    </w:p>
    <w:p>
      <w:pPr>
        <w:pStyle w:val="ListBullet"/>
      </w:pPr>
      <w:r>
        <w:t xml:space="preserve">Entre los lotes con estado A, </w:t>
      </w:r>
      <w:r>
        <w:rPr>
          <w:b/>
        </w:rPr>
        <w:t>208</w:t>
      </w:r>
      <w:r>
        <w:t xml:space="preserve"> tienen cantidad positiva y fecha de caducidad válida anterior al 05/10/2026. Otros </w:t>
      </w:r>
      <w:r>
        <w:rPr>
          <w:b/>
        </w:rPr>
        <w:t>29</w:t>
      </w:r>
      <w:r>
        <w:t xml:space="preserve"> vencen dentro de los próximos 90 días (hasta antes del 03/01/2027). En estado B hay otros 20 vencidos con cantidad positiva; analizarlos aparte.</w:t>
      </w:r>
    </w:p>
    <w:p>
      <w:pPr>
        <w:pStyle w:val="ListBullet"/>
      </w:pPr>
      <w:r>
        <w:t xml:space="preserve">Al comparar la suma de LTPD de todos los estados con MULT, </w:t>
      </w:r>
      <w:r>
        <w:rPr>
          <w:b/>
        </w:rPr>
        <w:t>87 de 5,442 combinaciones artículo–almacén</w:t>
      </w:r>
      <w:r>
        <w:t xml:space="preserve"> difieren. La prueba mezcla estados y no certifica disponibilidad: investigar la semántica de lotes/pedimentos y estados antes de llamar a esto una diferencia de inventario.</w:t>
      </w:r>
    </w:p>
    <w:p>
      <w:pPr>
        <w:pStyle w:val="ListBullet"/>
      </w:pPr>
      <w:r>
        <w:t>La cantidad de LTPD no se interpreta como unidades homogéneas entre productos distintos. Validar unidades, factores y qué lotes incluyen pedimento.</w:t>
      </w:r>
    </w:p>
    <w:p>
      <w:pPr>
        <w:pStyle w:val="ListBullet"/>
      </w:pPr>
      <w:r>
        <w:t>El costeo por almacén está desactivado en la configuración; multialmacén e integración de inventario están activados. No imponer un modelo de costos independiente por sucursal sin contrastarlo con esa configuración.</w:t>
      </w:r>
    </w:p>
    <w:p>
      <w:pPr>
        <w:pStyle w:val="Heading1"/>
      </w:pPr>
      <w:r>
        <w:t>Documentos fiscales evidencia del XML</w:t>
      </w:r>
    </w:p>
    <w:p>
      <w:r>
        <w:t xml:space="preserve">Se leyeron todos los registros de CFDI15 con DTD y referencias externas deshabilitadas. Se pudieron interpretar </w:t>
      </w:r>
      <w:r>
        <w:rPr>
          <w:b/>
        </w:rPr>
        <w:t>33,490 XML</w:t>
      </w:r>
      <w:r>
        <w:t>; tres registros tienen XML nulo. No se verificaron certificados ni estado externo ante el SAT.</w:t>
      </w:r>
    </w:p>
    <w:p>
      <w:pPr>
        <w:keepNext/>
      </w:pPr>
      <w:r>
        <w:t>Para documentos F:</w:t>
      </w:r>
    </w:p>
    <w:p>
      <w:pPr>
        <w:pStyle w:val="ListBullet"/>
      </w:pPr>
      <w:r>
        <w:t>21,402 registros de CFDI; 21,400 XML interpretables y dos nulos.</w:t>
      </w:r>
    </w:p>
    <w:p>
      <w:pPr>
        <w:pStyle w:val="ListBullet"/>
      </w:pPr>
      <w:r>
        <w:t xml:space="preserve">Los </w:t>
      </w:r>
      <w:r>
        <w:rPr>
          <w:b/>
        </w:rPr>
        <w:t>21,400 totales de XML</w:t>
      </w:r>
      <w:r>
        <w:t xml:space="preserve"> coinciden con IMPORTE de FACTF15 dentro de 0.02 MXN.</w:t>
      </w:r>
    </w:p>
    <w:p>
      <w:pPr>
        <w:pStyle w:val="ListBullet"/>
      </w:pPr>
      <w:r>
        <w:rPr>
          <w:b/>
        </w:rPr>
        <w:t>21,332 XML tienen timbre</w:t>
      </w:r>
      <w:r>
        <w:t xml:space="preserve"> y su UUID coincide con CFDI15.UUID.</w:t>
      </w:r>
    </w:p>
    <w:p>
      <w:pPr>
        <w:pStyle w:val="ListBullet"/>
      </w:pPr>
      <w:r>
        <w:t>Ninguno de esos UUID fiscales coincide con FACTF15.UUID, incluso normalizando mayúsculas y llaves. FACTF15.UUID no debe presentarse como UUID fiscal: parece un identificador interno, interpretación que se debe mantener diferenciada.</w:t>
      </w:r>
    </w:p>
    <w:p>
      <w:pPr>
        <w:pStyle w:val="ListBullet"/>
      </w:pPr>
      <w:r>
        <w:t>68 XML F interpretables no tienen TimbreFiscalDigital. Entre los registros CFDI F con UUID vacío hay 69 facturas C y una E; los dos XML nulos forman parte de esos conjuntos. Revisar los casos según su estado, sin declarar incumplimiento automáticamente.</w:t>
      </w:r>
    </w:p>
    <w:p>
      <w:pPr>
        <w:pStyle w:val="ListBullet"/>
      </w:pPr>
      <w:r>
        <w:t>31 cabeceras de factura no tienen registro CFDI asociado; las 31 están en estado C.</w:t>
      </w:r>
    </w:p>
    <w:p>
      <w:r>
        <w:t>FECHA_CANCELA en CFDI15 es un campo de texto: una cadena vacía no es cancelación. Hay 503 facturas C con fecha fiscal no vacía; las facturas E y O no tienen esa fecha fiscal. La cancelación operativa y fiscal deben consultarse por separado. FECHA_ENT y otros campos timestamp pueden usar 1899-12-31 como centinela. Usar IsDBNull únicamente produce interpretaciones equivocadas.</w:t>
      </w:r>
    </w:p>
    <w:p>
      <w:pPr>
        <w:pStyle w:val="Heading1"/>
      </w:pPr>
      <w:r>
        <w:t>Estructura índices y calidad de catálogos</w:t>
      </w:r>
    </w:p>
    <w:p>
      <w:pPr>
        <w:pStyle w:val="ListBullet"/>
      </w:pPr>
      <w:r>
        <w:t xml:space="preserve">Claves primarias declaradas: </w:t>
      </w:r>
      <w:r>
        <w:rPr>
          <w:b/>
        </w:rPr>
        <w:t>372</w:t>
      </w:r>
      <w:r>
        <w:t xml:space="preserve">. Índices de usuario: </w:t>
      </w:r>
      <w:r>
        <w:rPr>
          <w:b/>
        </w:rPr>
        <w:t>665</w:t>
      </w:r>
      <w:r>
        <w:t xml:space="preserve">. Claves foráneas declaradas: </w:t>
      </w:r>
      <w:r>
        <w:rPr>
          <w:b/>
        </w:rPr>
        <w:t>0</w:t>
      </w:r>
      <w:r>
        <w:t>. La aplicación debe validar relaciones, no confiar en restricciones inexistentes.</w:t>
      </w:r>
    </w:p>
    <w:p>
      <w:pPr>
        <w:pStyle w:val="ListBullet"/>
      </w:pPr>
      <w:r>
        <w:t>Hay un trigger de usuario, para el generador de un grupo de políticas; no hay procedimientos ni funciones externas de usuario en el inventario.</w:t>
      </w:r>
    </w:p>
    <w:p>
      <w:pPr>
        <w:pStyle w:val="ListBullet"/>
      </w:pPr>
      <w:r>
        <w:rPr>
          <w:b/>
        </w:rPr>
        <w:t>6,955 campos</w:t>
      </w:r>
      <w:r>
        <w:t xml:space="preserve"> contienen descripción en catálogo. Se conservaron esas descripciones en el diccionario; tener descripción no prueba su interpretación funcional actual.</w:t>
      </w:r>
    </w:p>
    <w:p>
      <w:pPr>
        <w:pStyle w:val="ListBullet"/>
      </w:pPr>
      <w:r>
        <w:t>Hay 31 etiquetas de campos libres configuradas. Algunas extensiones están vacías o incompletas respecto a su tabla base; usar LEFT JOIN.</w:t>
      </w:r>
    </w:p>
    <w:p>
      <w:pPr>
        <w:pStyle w:val="ListBullet"/>
      </w:pPr>
      <w:r>
        <w:t>34 grupos de RFC repetidos reúnen 73 clientes, excluyendo RFC genéricos y vacíos. Pueden ser sucursales o razones operativas; no fusionar clientes automáticamente.</w:t>
      </w:r>
    </w:p>
    <w:p>
      <w:pPr>
        <w:pStyle w:val="ListBullet"/>
      </w:pPr>
      <w:r>
        <w:t>En facturas, nueve vendedores no vacíos no están en el catálogo actual; 96 claves de vendedor están vacías. Diferenciar falta de captura de referencia histórica.</w:t>
      </w:r>
    </w:p>
    <w:p>
      <w:pPr>
        <w:pStyle w:val="ListBullet"/>
      </w:pPr>
      <w:r>
        <w:t>Cinco partidas de pedidos y cinco de cotizaciones no encuentran artículo. Los resultados están en RELACIONES.md; revisar si se trata de códigos retirados o captura especial.</w:t>
      </w:r>
    </w:p>
    <w:p>
      <w:pPr>
        <w:pStyle w:val="ListBullet"/>
      </w:pPr>
      <w:r>
        <w:t>93 filas de precio no encuentran artículo actual. No es por sí solo un precio inválido utilizado en ventas.</w:t>
      </w:r>
    </w:p>
    <w:p>
      <w:pPr>
        <w:pStyle w:val="ListBullet"/>
      </w:pPr>
      <w:r>
        <w:t>Las claves de cliente llevan espacios iniciales. Normalizar en la presentación preservando la clave física para consultas y trazabilidad.</w:t>
      </w:r>
    </w:p>
    <w:p>
      <w:pPr>
        <w:pStyle w:val="Heading1"/>
      </w:pPr>
      <w:r>
        <w:t>Sucursales y compatibilidad con Opervia</w:t>
      </w:r>
    </w:p>
    <w:p>
      <w:r>
        <w:t>SUC_ALMACEN15 define cuatro relaciones explícitas y SUC_SERIES15 contiene 56. La clasificación actual de rentabilidad usa prefijos y almacenes codificados en C#. Conviene comparar ambas fuentes y validar qué significa realmente cada sucursal antes de reemplazar reglas.</w:t>
      </w:r>
    </w:p>
    <w:p>
      <w:r>
        <w:t>Los cuatro grupos principales de documentos, sus partidas, clientes, inventario y CxC existen con sufijo 15 y los campos examinados por Opervia. Esta comprobación de estructura no es una certificación de todos los endpoints: no se ejecutó la aplicación contra la copia ni se cambiaron perfiles guardados.</w:t>
      </w:r>
    </w:p>
    <w:p>
      <w:pPr>
        <w:pStyle w:val="Heading1"/>
      </w:pPr>
      <w:r>
        <w:t>Entregables y reproducibilidad</w:t>
      </w:r>
    </w:p>
    <w:p>
      <w:pPr>
        <w:pStyle w:val="ListBullet"/>
      </w:pPr>
      <w:hyperlink r:id="rId10">
        <w:r>
          <w:rPr>
            <w:color w:val="1F4E79"/>
          </w:rPr>
          <w:t>Diccionario completo</w:t>
        </w:r>
      </w:hyperlink>
      <w:r>
        <w:t>: todas las tablas/campos y perfiles de nulos/vacíos.</w:t>
      </w:r>
    </w:p>
    <w:p>
      <w:pPr>
        <w:pStyle w:val="ListBullet"/>
      </w:pPr>
      <w:hyperlink r:id="rId11">
        <w:r>
          <w:rPr>
            <w:color w:val="1F4E79"/>
          </w:rPr>
          <w:t>Relaciones comprobadas</w:t>
        </w:r>
      </w:hyperlink>
      <w:r>
        <w:t>: 103 comprobaciones y matriz del grafo.</w:t>
      </w:r>
    </w:p>
    <w:p>
      <w:pPr>
        <w:pStyle w:val="ListBullet"/>
      </w:pPr>
      <w:hyperlink r:id="rId12">
        <w:r>
          <w:rPr>
            <w:color w:val="1F4E79"/>
          </w:rPr>
          <w:t>Plan de desarrollo</w:t>
        </w:r>
      </w:hyperlink>
      <w:r>
        <w:t>: cambios priorizados y criterios de aceptación.</w:t>
      </w:r>
    </w:p>
    <w:p>
      <w:pPr>
        <w:pStyle w:val="ListBullet"/>
      </w:pPr>
      <w:r>
        <w:rPr>
          <w:rFonts w:ascii="Consolas" w:hAnsi="Consolas"/>
          <w:sz w:val="18"/>
        </w:rPr>
        <w:t>tablas.csv</w:t>
      </w:r>
      <w:r>
        <w:t xml:space="preserve"> y </w:t>
      </w:r>
      <w:r>
        <w:rPr>
          <w:rFonts w:ascii="Consolas" w:hAnsi="Consolas"/>
          <w:sz w:val="18"/>
        </w:rPr>
        <w:t>campos.csv</w:t>
      </w:r>
      <w:r>
        <w:t>: inventarios técnicos sin exportar registros personales.</w:t>
      </w:r>
    </w:p>
    <w:p>
      <w:pPr>
        <w:pStyle w:val="ListBullet"/>
      </w:pPr>
      <w:r>
        <w:rPr>
          <w:rFonts w:ascii="Consolas" w:hAnsi="Consolas"/>
          <w:sz w:val="18"/>
        </w:rPr>
        <w:t>../output/analysis-summary.json</w:t>
      </w:r>
      <w:r>
        <w:t xml:space="preserve">, </w:t>
      </w:r>
      <w:r>
        <w:rPr>
          <w:rFonts w:ascii="Consolas" w:hAnsi="Consolas"/>
          <w:sz w:val="18"/>
        </w:rPr>
        <w:t>profiles-consolidated.json</w:t>
      </w:r>
      <w:r>
        <w:t xml:space="preserve">, </w:t>
      </w:r>
      <w:r>
        <w:rPr>
          <w:rFonts w:ascii="Consolas" w:hAnsi="Consolas"/>
          <w:sz w:val="18"/>
        </w:rPr>
        <w:t>relations-consolidated.json</w:t>
      </w:r>
      <w:r>
        <w:t xml:space="preserve"> y </w:t>
      </w:r>
      <w:r>
        <w:rPr>
          <w:rFonts w:ascii="Consolas" w:hAnsi="Consolas"/>
          <w:sz w:val="18"/>
        </w:rPr>
        <w:t>xml-audit.json</w:t>
      </w:r>
      <w:r>
        <w:t>: evidencia estructurada.</w:t>
      </w:r>
    </w:p>
    <w:p>
      <w:pPr>
        <w:pStyle w:val="ListBullet"/>
      </w:pPr>
      <w:r>
        <w:rPr>
          <w:rFonts w:ascii="Consolas" w:hAnsi="Consolas"/>
          <w:sz w:val="18"/>
        </w:rPr>
        <w:t>../*-tasks.json</w:t>
      </w:r>
      <w:r>
        <w:t xml:space="preserve">: SQL exacto utilizado; </w:t>
      </w:r>
      <w:r>
        <w:rPr>
          <w:rFonts w:ascii="Consolas" w:hAnsi="Consolas"/>
          <w:sz w:val="18"/>
        </w:rPr>
        <w:t>../analyzer/</w:t>
      </w:r>
      <w:r>
        <w:t>: analizador reproducible.</w:t>
      </w:r>
    </w:p>
    <w:p>
      <w:r>
        <w:t>Las evidencias y la copia de trabajo quedan excluidas de Git. No se modificó lógica del producto como parte de este análisis; solo se amplió .gitignore para proteger bases FDB y estos resultados privados.</w:t>
      </w:r>
    </w:p>
    <w:p>
      <w:pPr>
        <w:pStyle w:val="Heading1"/>
      </w:pPr>
      <w:r>
        <w:t>Límites que permanecen abiertos</w:t>
      </w:r>
    </w:p>
    <w:p>
      <w:r>
        <w:t>Confirmar versión comercial de SAE, estados no explicados, definición de sucursal, concepto 27 y campos libres con el equipo que opera el sistema. Validar alertas con documentos concretos en SAE antes de automatizar acciones. Las fechas futuras de vencimiento/caducidad son normales y no deben clasificarse como errores de captura por ser posteriores a la copia.</w:t>
      </w:r>
    </w:p>
    <w:p>
      <w:pPr>
        <w:pStyle w:val="Heading1"/>
      </w:pPr>
      <w:r>
        <w:t>Plan de desarrollo basado en la copia analizada</w:t>
      </w:r>
    </w:p>
    <w:p>
      <w:pPr>
        <w:pStyle w:val="Heading1"/>
      </w:pPr>
      <w:r>
        <w:t>Prioridad 0 resultados correctos y explicables</w:t>
      </w:r>
    </w:p>
    <w:p>
      <w:pPr>
        <w:ind w:left="317" w:hanging="317"/>
      </w:pPr>
      <w:r>
        <w:t xml:space="preserve">1. </w:t>
      </w:r>
      <w:r>
        <w:rPr>
          <w:b/>
        </w:rPr>
        <w:t>Modelo de partidas comerciales y componentes de kit.</w:t>
      </w:r>
      <w:r>
        <w:t xml:space="preserve"> Seleccionar ingreso con TIPO_ELEM, conservar componentes para movimientos/costo y aplicar descuentos e impuestos por separado. Aceptación: las 21,433 facturas deben conciliar contra CAN_TOT; incorporar fixtures anonimizadas de kits con ACT_INV S y N, servicios, descuentos y canceladas. Revisar </w:t>
      </w:r>
      <w:r>
        <w:rPr>
          <w:rFonts w:ascii="Consolas" w:hAnsi="Consolas"/>
          <w:sz w:val="18"/>
        </w:rPr>
        <w:t>FirebirdSaeDocumentItemsReader</w:t>
      </w:r>
      <w:r>
        <w:t>: actualmente no lee TIPO_ELEM/TIPO_PROD/ACT_INV y suma todas las partidas.</w:t>
      </w:r>
    </w:p>
    <w:p>
      <w:pPr>
        <w:ind w:left="317" w:hanging="317"/>
      </w:pPr>
      <w:r>
        <w:t xml:space="preserve">2. </w:t>
      </w:r>
      <w:r>
        <w:rPr>
          <w:b/>
        </w:rPr>
        <w:t>UUID fiscal desde CFDI.</w:t>
      </w:r>
      <w:r>
        <w:t xml:space="preserve"> Mostrar el UUID de TimbreFiscalDigital/CFDI15.UUID; conservar FACTF15.UUID como identificador independiente. Aceptación: 21,332 timbres F coinciden con CFDI; no confundir UUID interno con fiscal y no marcar cadenas vacías como cancelación. No diagnosticar SAT solo con la copia.</w:t>
      </w:r>
    </w:p>
    <w:p>
      <w:pPr>
        <w:ind w:left="317" w:hanging="317"/>
      </w:pPr>
      <w:r>
        <w:t xml:space="preserve">3. </w:t>
      </w:r>
      <w:r>
        <w:rPr>
          <w:b/>
        </w:rPr>
        <w:t>Grafo de documentos a nivel de partida.</w:t>
      </w:r>
      <w:r>
        <w:t xml:space="preserve"> Usar DOCTOSIGF15, tipo+folio+partida, y cantidades enlazadas. Aceptación: explicar entregas parciales y múltiples destinos, evitar contabilizar doble A/S, tratar los 30 grupos duplicados y los 123 enlaces a partidas no localizadas. Respetar cantidades y conversiones de unidades; no deduplicar solo por folio.</w:t>
      </w:r>
    </w:p>
    <w:p>
      <w:pPr>
        <w:ind w:left="317" w:hanging="317"/>
      </w:pPr>
      <w:r>
        <w:t xml:space="preserve">4. </w:t>
      </w:r>
      <w:r>
        <w:rPr>
          <w:b/>
        </w:rPr>
        <w:t>Cobranza sin multiplicación de raíces.</w:t>
      </w:r>
      <w:r>
        <w:t xml:space="preserve"> Incorporar clave real y resolver la ambigüedad de tres detalles con varias raíces. Clasificación de conceptos configurable por empresa y evidencia; conservar categorías desconocidas. Aceptación: conciliar catálogo dentro de tolerancias documentadas y diferenciar dinero recibido de ajustes/anticipos aplicados.</w:t>
      </w:r>
    </w:p>
    <w:p>
      <w:pPr>
        <w:ind w:left="317" w:hanging="317"/>
      </w:pPr>
      <w:r>
        <w:t xml:space="preserve">5. </w:t>
      </w:r>
      <w:r>
        <w:rPr>
          <w:b/>
        </w:rPr>
        <w:t>Perfil de capacidades y snapshot.</w:t>
      </w:r>
      <w:r>
        <w:t xml:space="preserve"> Inspección de esquema por empresa y versión; reconocer esta copia como empresa 15, almacenar hash, fecha del snapshot y última fecha por módulo. Aceptación: no presentar la copia como información en vivo y no rechazarla únicamente por el nombre SAE90.</w:t>
      </w:r>
    </w:p>
    <w:p>
      <w:pPr>
        <w:pStyle w:val="Heading1"/>
      </w:pPr>
      <w:r>
        <w:t>Prioridad 1 valor operativo concreto</w:t>
      </w:r>
    </w:p>
    <w:p>
      <w:pPr>
        <w:ind w:left="317" w:hanging="317"/>
      </w:pPr>
      <w:r>
        <w:t xml:space="preserve">6. </w:t>
      </w:r>
      <w:r>
        <w:rPr>
          <w:b/>
        </w:rPr>
        <w:t>Panel de lotes y caducidad.</w:t>
      </w:r>
      <w:r>
        <w:t xml:space="preserve"> Mostrar los 208 lotes A vencidos con cantidad positiva y los 29 próximos a vencer en 90 días, con filtros de almacén/producto y distinción de estado. Validar inventario disponible y unidades; cantidades de artículos distintos no se suman como si fueran homogéneas.</w:t>
      </w:r>
    </w:p>
    <w:p>
      <w:pPr>
        <w:ind w:left="317" w:hanging="317"/>
      </w:pPr>
      <w:r>
        <w:t xml:space="preserve">7. </w:t>
      </w:r>
      <w:r>
        <w:rPr>
          <w:b/>
        </w:rPr>
        <w:t>Calidad de costo y margen.</w:t>
      </w:r>
      <w:r>
        <w:t xml:space="preserve"> Los 60 productos activos con existencia sin costo deben tener advertencia de valoración. No denominar utilidad neta a margen comercial. Incorporar devoluciones/notas, costos físicos de kit y cobertura de gastos.</w:t>
      </w:r>
    </w:p>
    <w:p>
      <w:pPr>
        <w:ind w:left="317" w:hanging="317"/>
      </w:pPr>
      <w:r>
        <w:t xml:space="preserve">8. </w:t>
      </w:r>
      <w:r>
        <w:rPr>
          <w:b/>
        </w:rPr>
        <w:t>Conciliaciones navegables.</w:t>
      </w:r>
      <w:r>
        <w:t xml:space="preserve"> Desde un total, abrir fórmula, filtro, documentos contribuyentes y exclusiones. Mostrar XML/cabecera/partida como fuentes distintas y explicar redondeos.</w:t>
      </w:r>
    </w:p>
    <w:p>
      <w:pPr>
        <w:ind w:left="317" w:hanging="317"/>
      </w:pPr>
      <w:r>
        <w:t xml:space="preserve">9. </w:t>
      </w:r>
      <w:r>
        <w:rPr>
          <w:b/>
        </w:rPr>
        <w:t>Compras y CxP.</w:t>
      </w:r>
      <w:r>
        <w:t xml:space="preserve"> Agregar seguimiento de orden–recepción–compra y sus cargos/abonos. El saldo de proveedores ya concilia: usarlo como control de aceptación inicial.</w:t>
      </w:r>
    </w:p>
    <w:p>
      <w:pPr>
        <w:ind w:left="317" w:hanging="317"/>
      </w:pPr>
      <w:r>
        <w:t xml:space="preserve">10. </w:t>
      </w:r>
      <w:r>
        <w:rPr>
          <w:b/>
        </w:rPr>
        <w:t>Sucursales configurables.</w:t>
      </w:r>
      <w:r>
        <w:t xml:space="preserve"> Comparar mapeo de series/almacenes con reglas actuales de prefijos. Toda excepción debe poder revisarse y configurarse; no sustituir códigos por suposiciones.</w:t>
      </w:r>
    </w:p>
    <w:p>
      <w:pPr>
        <w:pStyle w:val="Heading1"/>
      </w:pPr>
      <w:r>
        <w:t>Prioridad 2 explicación y automatización</w:t>
      </w:r>
    </w:p>
    <w:p>
      <w:pPr>
        <w:ind w:left="317" w:hanging="317"/>
      </w:pPr>
      <w:r>
        <w:t xml:space="preserve">11. </w:t>
      </w:r>
      <w:r>
        <w:rPr>
          <w:b/>
        </w:rPr>
        <w:t>IA con evidencia validada.</w:t>
      </w:r>
      <w:r>
        <w:t xml:space="preserve"> Herramientas de consulta acotadas, métricas calculadas por código y respuesta enlazada a documentos. Reportar incertidumbre y fecha de corte; no ejecutar SQL arbitrario generado por el modelo.</w:t>
      </w:r>
    </w:p>
    <w:p>
      <w:pPr>
        <w:ind w:left="317" w:hanging="317"/>
      </w:pPr>
      <w:r>
        <w:t xml:space="preserve">12. </w:t>
      </w:r>
      <w:r>
        <w:rPr>
          <w:b/>
        </w:rPr>
        <w:t>Alertas priorizadas y seguimiento.</w:t>
      </w:r>
      <w:r>
        <w:t xml:space="preserve"> Registrar revisión de alertas en almacenamiento de Opervia, manteniendo SAE en solo lectura. Medir costo y tiempo de resolución, no solo cantidad de alertas.</w:t>
      </w:r>
    </w:p>
    <w:p>
      <w:pPr>
        <w:ind w:left="317" w:hanging="317"/>
      </w:pPr>
      <w:r>
        <w:t xml:space="preserve">13. </w:t>
      </w:r>
      <w:r>
        <w:rPr>
          <w:b/>
        </w:rPr>
        <w:t>Regresiones entre copias.</w:t>
      </w:r>
      <w:r>
        <w:t xml:space="preserve"> Comparar esquema, cantidad y agregados por período/hash. Detectar campos nuevos y cambios de configuración; no tratar toda variación como error.</w:t>
      </w:r>
    </w:p>
    <w:p>
      <w:r>
        <w:t>Este plan propone cambios; no afirma que ya estén implementados. Los fixtures deben ser pequeños, anonimizados y reproducir casos reales sin distribuir la base de la empresa.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Opervia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2" w:lineRule="auto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2" w:lineRule="auto"/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C:\Users\MoisesEduardoJuarezB\Documents\Sistemas\Programacion\Opervia\.analysis\sae-2026-10-05\reports\DICCIONARIO.md" TargetMode="External"/><Relationship Id="rId11" Type="http://schemas.openxmlformats.org/officeDocument/2006/relationships/hyperlink" Target="C:\Users\MoisesEduardoJuarezB\Documents\Sistemas\Programacion\Opervia\.analysis\sae-2026-10-05\reports\RELACIONES.md" TargetMode="External"/><Relationship Id="rId12" Type="http://schemas.openxmlformats.org/officeDocument/2006/relationships/hyperlink" Target="C:\Users\MoisesEduardoJuarezB\Documents\Sistemas\Programacion\Opervia\.analysis\sae-2026-10-05\reports\PLAN_DESARROLLO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la base de datos SAE de la empresa 15</dc:title>
  <dc:subject>Copia del 5 de octubre de 2026 y plan de desarrollo de Opervia</dc:subject>
  <dc:creator>Opervia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