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宋体"/>
          <w:b/>
          <w:color w:val="000000"/>
          <w:sz w:val="24"/>
        </w:rPr>
        <w:t>Week 1–3 Deliverable 2</w:t>
      </w:r>
    </w:p>
    <w:p>
      <w:pPr>
        <w:spacing w:after="80"/>
        <w:jc w:val="center"/>
      </w:pPr>
      <w:r>
        <w:rPr>
          <w:rFonts w:ascii="Times New Roman" w:hAnsi="Times New Roman" w:eastAsia="宋体"/>
          <w:b/>
          <w:color w:val="000000"/>
          <w:sz w:val="32"/>
        </w:rPr>
        <w:t>Planar Five-Bar CAD Sketch and Parameter Table</w:t>
      </w:r>
    </w:p>
    <w:p>
      <w:pPr>
        <w:spacing w:after="200"/>
        <w:jc w:val="center"/>
      </w:pPr>
      <w:r>
        <w:rPr>
          <w:rFonts w:ascii="Times New Roman" w:hAnsi="Times New Roman" w:eastAsia="宋体"/>
          <w:b w:val="0"/>
          <w:color w:val="000000"/>
          <w:sz w:val="22"/>
        </w:rPr>
        <w:t>Bo Zhang (8571260)  |  Supervisor: Dr Chin-Hsing Kuo  |  September 2026</w:t>
      </w:r>
    </w:p>
    <w:p>
      <w:pPr>
        <w:spacing w:after="120"/>
      </w:pPr>
      <w:r>
        <w:rPr>
          <w:rFonts w:ascii="Times New Roman" w:hAnsi="Times New Roman" w:eastAsia="宋体"/>
          <w:b/>
          <w:color w:val="000000"/>
          <w:sz w:val="28"/>
        </w:rPr>
        <w:t>1. What this week freezes</w:t>
      </w:r>
    </w:p>
    <w:p>
      <w:pPr>
        <w:spacing w:after="120"/>
      </w:pPr>
      <w:r>
        <w:rPr>
          <w:rFonts w:ascii="Times New Roman" w:hAnsi="Times New Roman" w:eastAsia="宋体"/>
          <w:b w:val="0"/>
          <w:color w:val="000000"/>
          <w:sz w:val="24"/>
        </w:rPr>
        <w:t>This is a kinematic sketch, not a finished print. Ground link on top, two actuated cranks hanging down, two couplers meeting at the end-effector E. No GSM, gears, or springs are drawn. The numbers below are the baseline that Week 1–3 inverse kinematics and Tw will use. They can still be scaled later, but the ratios and the angle convention should stay.</w:t>
      </w:r>
    </w:p>
    <w:p>
      <w:pPr>
        <w:spacing w:after="120"/>
      </w:pPr>
      <w:r>
        <w:rPr>
          <w:rFonts w:ascii="Times New Roman" w:hAnsi="Times New Roman" w:eastAsia="宋体"/>
          <w:b/>
          <w:color w:val="000000"/>
          <w:sz w:val="28"/>
        </w:rPr>
        <w:t>2. Why these numbers</w:t>
      </w:r>
    </w:p>
    <w:p>
      <w:pPr>
        <w:spacing w:after="120"/>
      </w:pPr>
      <w:r>
        <w:rPr>
          <w:rFonts w:ascii="Times New Roman" w:hAnsi="Times New Roman" w:eastAsia="宋体"/>
          <w:b w:val="0"/>
          <w:color w:val="000000"/>
          <w:sz w:val="24"/>
        </w:rPr>
        <w:t>Desktop size (ground d = 180 mm, cranks 120 mm, couplers 180 mm) fits a bench frame and leaves space later for one GSM on each crank. The design is left–right symmetric so targeted poses collapse to the midline x = 0. Couplers are longer than cranks, which is the usual 5R choice: a useful workspace below the base without an immediate fully-stretched singularity on the midline.</w:t>
      </w:r>
    </w:p>
    <w:p>
      <w:pPr>
        <w:spacing w:after="120"/>
      </w:pPr>
      <w:r>
        <w:rPr>
          <w:rFonts w:ascii="Times New Roman" w:hAnsi="Times New Roman" w:eastAsia="宋体"/>
          <w:b w:val="0"/>
          <w:color w:val="000000"/>
          <w:sz w:val="24"/>
        </w:rPr>
        <w:t>The IMADA PS-10N is 10 N. Estimated moving mass is 0.48 kg (two cranks, two couplers, payload 300 g). If that whole mass were lifted vertically, the force would be about 4.7 N — inside 10 N, with a little margin for friction. Payload is 300 g, not 1 kg. Printed PLA masses are estimates (20 mm × 8 mm bars plus hubs); they will be replaced by weighed parts before Tw is finalised.</w:t>
      </w:r>
    </w:p>
    <w:p>
      <w:pPr>
        <w:spacing w:after="120"/>
      </w:pPr>
      <w:r>
        <w:rPr>
          <w:rFonts w:ascii="Times New Roman" w:hAnsi="Times New Roman" w:eastAsia="宋体"/>
          <w:b w:val="0"/>
          <w:color w:val="000000"/>
          <w:sz w:val="24"/>
        </w:rPr>
        <w:t>On the midline, the outward-elbow inverse kinematics used in the sketch is feasible for y ∈ [-285, -20] mm. The sample pose E = (0, −180) mm sits in the middle of that interval and is the first targeted-configuration candidate.</w:t>
      </w:r>
    </w:p>
    <w:p>
      <w:pPr>
        <w:spacing w:after="120"/>
      </w:pPr>
      <w:r>
        <w:rPr>
          <w:rFonts w:ascii="Times New Roman" w:hAnsi="Times New Roman" w:eastAsia="宋体"/>
          <w:b/>
          <w:color w:val="000000"/>
          <w:sz w:val="28"/>
        </w:rPr>
        <w:t>3. Parameter table (baseline)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宋体"/>
                <w:b/>
                <w:color w:val="000000"/>
                <w:sz w:val="20"/>
              </w:rPr>
              <w:t>Symbol</w:t>
            </w:r>
          </w:p>
        </w:tc>
        <w:tc>
          <w:tcPr>
            <w:tcW w:type="dxa" w:w="2340"/>
          </w:tcPr>
          <w:p>
            <w:r/>
            <w:r>
              <w:rPr>
                <w:rFonts w:ascii="Times New Roman" w:hAnsi="Times New Roman" w:eastAsia="宋体"/>
                <w:b/>
                <w:color w:val="000000"/>
                <w:sz w:val="20"/>
              </w:rPr>
              <w:t>Meaning</w:t>
            </w:r>
          </w:p>
        </w:tc>
        <w:tc>
          <w:tcPr>
            <w:tcW w:type="dxa" w:w="2340"/>
          </w:tcPr>
          <w:p>
            <w:r/>
            <w:r>
              <w:rPr>
                <w:rFonts w:ascii="Times New Roman" w:hAnsi="Times New Roman" w:eastAsia="宋体"/>
                <w:b/>
                <w:color w:val="000000"/>
                <w:sz w:val="20"/>
              </w:rPr>
              <w:t>Value</w:t>
            </w:r>
          </w:p>
        </w:tc>
        <w:tc>
          <w:tcPr>
            <w:tcW w:type="dxa" w:w="2340"/>
          </w:tcPr>
          <w:p>
            <w:r/>
            <w:r>
              <w:rPr>
                <w:rFonts w:ascii="Times New Roman" w:hAnsi="Times New Roman" w:eastAsia="宋体"/>
                <w:b/>
                <w:color w:val="000000"/>
                <w:sz w:val="20"/>
              </w:rPr>
              <w:t>Note</w:t>
            </w:r>
          </w:p>
        </w:tc>
      </w:tr>
      <w:tr>
        <w:tc>
          <w:tcPr>
            <w:tcW w:type="dxa" w:w="2340"/>
          </w:tcPr>
          <w:p>
            <w:r/>
            <w:r>
              <w:rPr>
                <w:rFonts w:ascii="Times New Roman" w:hAnsi="Times New Roman" w:eastAsia="宋体"/>
                <w:b w:val="0"/>
                <w:color w:val="000000"/>
                <w:sz w:val="20"/>
              </w:rPr>
              <w:t>d</w:t>
            </w:r>
          </w:p>
        </w:tc>
        <w:tc>
          <w:tcPr>
            <w:tcW w:type="dxa" w:w="2340"/>
          </w:tcPr>
          <w:p>
            <w:r/>
            <w:r>
              <w:rPr>
                <w:rFonts w:ascii="Times New Roman" w:hAnsi="Times New Roman" w:eastAsia="宋体"/>
                <w:b w:val="0"/>
                <w:color w:val="000000"/>
                <w:sz w:val="20"/>
              </w:rPr>
              <w:t>Ground AB</w:t>
            </w:r>
          </w:p>
        </w:tc>
        <w:tc>
          <w:tcPr>
            <w:tcW w:type="dxa" w:w="2340"/>
          </w:tcPr>
          <w:p>
            <w:r/>
            <w:r>
              <w:rPr>
                <w:rFonts w:ascii="Times New Roman" w:hAnsi="Times New Roman" w:eastAsia="宋体"/>
                <w:b w:val="0"/>
                <w:color w:val="000000"/>
                <w:sz w:val="20"/>
              </w:rPr>
              <w:t>180 mm</w:t>
            </w:r>
          </w:p>
        </w:tc>
        <w:tc>
          <w:tcPr>
            <w:tcW w:type="dxa" w:w="2340"/>
          </w:tcPr>
          <w:p>
            <w:r/>
            <w:r>
              <w:rPr>
                <w:rFonts w:ascii="Times New Roman" w:hAnsi="Times New Roman" w:eastAsia="宋体"/>
                <w:b w:val="0"/>
                <w:color w:val="000000"/>
                <w:sz w:val="20"/>
              </w:rPr>
              <w:t>Top fixed bar; joints A, B</w:t>
            </w:r>
          </w:p>
        </w:tc>
      </w:tr>
      <w:tr>
        <w:tc>
          <w:tcPr>
            <w:tcW w:type="dxa" w:w="2340"/>
          </w:tcPr>
          <w:p>
            <w:r/>
            <w:r>
              <w:rPr>
                <w:rFonts w:ascii="Times New Roman" w:hAnsi="Times New Roman" w:eastAsia="宋体"/>
                <w:b w:val="0"/>
                <w:color w:val="000000"/>
                <w:sz w:val="20"/>
              </w:rPr>
              <w:t>l1 = l2</w:t>
            </w:r>
          </w:p>
        </w:tc>
        <w:tc>
          <w:tcPr>
            <w:tcW w:type="dxa" w:w="2340"/>
          </w:tcPr>
          <w:p>
            <w:r/>
            <w:r>
              <w:rPr>
                <w:rFonts w:ascii="Times New Roman" w:hAnsi="Times New Roman" w:eastAsia="宋体"/>
                <w:b w:val="0"/>
                <w:color w:val="000000"/>
                <w:sz w:val="20"/>
              </w:rPr>
              <w:t>Crank AP, BQ</w:t>
            </w:r>
          </w:p>
        </w:tc>
        <w:tc>
          <w:tcPr>
            <w:tcW w:type="dxa" w:w="2340"/>
          </w:tcPr>
          <w:p>
            <w:r/>
            <w:r>
              <w:rPr>
                <w:rFonts w:ascii="Times New Roman" w:hAnsi="Times New Roman" w:eastAsia="宋体"/>
                <w:b w:val="0"/>
                <w:color w:val="000000"/>
                <w:sz w:val="20"/>
              </w:rPr>
              <w:t>120 mm</w:t>
            </w:r>
          </w:p>
        </w:tc>
        <w:tc>
          <w:tcPr>
            <w:tcW w:type="dxa" w:w="2340"/>
          </w:tcPr>
          <w:p>
            <w:r/>
            <w:r>
              <w:rPr>
                <w:rFonts w:ascii="Times New Roman" w:hAnsi="Times New Roman" w:eastAsia="宋体"/>
                <w:b w:val="0"/>
                <w:color w:val="000000"/>
                <w:sz w:val="20"/>
              </w:rPr>
              <w:t>Actuated links</w:t>
            </w:r>
          </w:p>
        </w:tc>
      </w:tr>
      <w:tr>
        <w:tc>
          <w:tcPr>
            <w:tcW w:type="dxa" w:w="2340"/>
          </w:tcPr>
          <w:p>
            <w:r/>
            <w:r>
              <w:rPr>
                <w:rFonts w:ascii="Times New Roman" w:hAnsi="Times New Roman" w:eastAsia="宋体"/>
                <w:b w:val="0"/>
                <w:color w:val="000000"/>
                <w:sz w:val="20"/>
              </w:rPr>
              <w:t>l3 = l4</w:t>
            </w:r>
          </w:p>
        </w:tc>
        <w:tc>
          <w:tcPr>
            <w:tcW w:type="dxa" w:w="2340"/>
          </w:tcPr>
          <w:p>
            <w:r/>
            <w:r>
              <w:rPr>
                <w:rFonts w:ascii="Times New Roman" w:hAnsi="Times New Roman" w:eastAsia="宋体"/>
                <w:b w:val="0"/>
                <w:color w:val="000000"/>
                <w:sz w:val="20"/>
              </w:rPr>
              <w:t>Coupler PE, QE</w:t>
            </w:r>
          </w:p>
        </w:tc>
        <w:tc>
          <w:tcPr>
            <w:tcW w:type="dxa" w:w="2340"/>
          </w:tcPr>
          <w:p>
            <w:r/>
            <w:r>
              <w:rPr>
                <w:rFonts w:ascii="Times New Roman" w:hAnsi="Times New Roman" w:eastAsia="宋体"/>
                <w:b w:val="0"/>
                <w:color w:val="000000"/>
                <w:sz w:val="20"/>
              </w:rPr>
              <w:t>180 mm</w:t>
            </w:r>
          </w:p>
        </w:tc>
        <w:tc>
          <w:tcPr>
            <w:tcW w:type="dxa" w:w="2340"/>
          </w:tcPr>
          <w:p>
            <w:r/>
            <w:r>
              <w:rPr>
                <w:rFonts w:ascii="Times New Roman" w:hAnsi="Times New Roman" w:eastAsia="宋体"/>
                <w:b w:val="0"/>
                <w:color w:val="000000"/>
                <w:sz w:val="20"/>
              </w:rPr>
              <w:t>Floating links</w:t>
            </w:r>
          </w:p>
        </w:tc>
      </w:tr>
      <w:tr>
        <w:tc>
          <w:tcPr>
            <w:tcW w:type="dxa" w:w="2340"/>
          </w:tcPr>
          <w:p>
            <w:r/>
            <w:r>
              <w:rPr>
                <w:rFonts w:ascii="Times New Roman" w:hAnsi="Times New Roman" w:eastAsia="宋体"/>
                <w:b w:val="0"/>
                <w:color w:val="000000"/>
                <w:sz w:val="20"/>
              </w:rPr>
              <w:t>O</w:t>
            </w:r>
          </w:p>
        </w:tc>
        <w:tc>
          <w:tcPr>
            <w:tcW w:type="dxa" w:w="2340"/>
          </w:tcPr>
          <w:p>
            <w:r/>
            <w:r>
              <w:rPr>
                <w:rFonts w:ascii="Times New Roman" w:hAnsi="Times New Roman" w:eastAsia="宋体"/>
                <w:b w:val="0"/>
                <w:color w:val="000000"/>
                <w:sz w:val="20"/>
              </w:rPr>
              <w:t>Origin</w:t>
            </w:r>
          </w:p>
        </w:tc>
        <w:tc>
          <w:tcPr>
            <w:tcW w:type="dxa" w:w="2340"/>
          </w:tcPr>
          <w:p>
            <w:r/>
            <w:r>
              <w:rPr>
                <w:rFonts w:ascii="Times New Roman" w:hAnsi="Times New Roman" w:eastAsia="宋体"/>
                <w:b w:val="0"/>
                <w:color w:val="000000"/>
                <w:sz w:val="20"/>
              </w:rPr>
              <w:t>midpoint of AB</w:t>
            </w:r>
          </w:p>
        </w:tc>
        <w:tc>
          <w:tcPr>
            <w:tcW w:type="dxa" w:w="2340"/>
          </w:tcPr>
          <w:p>
            <w:r/>
            <w:r>
              <w:rPr>
                <w:rFonts w:ascii="Times New Roman" w:hAnsi="Times New Roman" w:eastAsia="宋体"/>
                <w:b w:val="0"/>
                <w:color w:val="000000"/>
                <w:sz w:val="20"/>
              </w:rPr>
              <w:t>+x right, +y up, g = −y</w:t>
            </w:r>
          </w:p>
        </w:tc>
      </w:tr>
      <w:tr>
        <w:tc>
          <w:tcPr>
            <w:tcW w:type="dxa" w:w="2340"/>
          </w:tcPr>
          <w:p>
            <w:r/>
            <w:r>
              <w:rPr>
                <w:rFonts w:ascii="Times New Roman" w:hAnsi="Times New Roman" w:eastAsia="宋体"/>
                <w:b w:val="0"/>
                <w:color w:val="000000"/>
                <w:sz w:val="20"/>
              </w:rPr>
              <w:t>θ_L, θ_R</w:t>
            </w:r>
          </w:p>
        </w:tc>
        <w:tc>
          <w:tcPr>
            <w:tcW w:type="dxa" w:w="2340"/>
          </w:tcPr>
          <w:p>
            <w:r/>
            <w:r>
              <w:rPr>
                <w:rFonts w:ascii="Times New Roman" w:hAnsi="Times New Roman" w:eastAsia="宋体"/>
                <w:b w:val="0"/>
                <w:color w:val="000000"/>
                <w:sz w:val="20"/>
              </w:rPr>
              <w:t>Crank angles</w:t>
            </w:r>
          </w:p>
        </w:tc>
        <w:tc>
          <w:tcPr>
            <w:tcW w:type="dxa" w:w="2340"/>
          </w:tcPr>
          <w:p>
            <w:r/>
            <w:r>
              <w:rPr>
                <w:rFonts w:ascii="Times New Roman" w:hAnsi="Times New Roman" w:eastAsia="宋体"/>
                <w:b w:val="0"/>
                <w:color w:val="000000"/>
                <w:sz w:val="20"/>
              </w:rPr>
              <w:t>from +x, CCW</w:t>
            </w:r>
          </w:p>
        </w:tc>
        <w:tc>
          <w:tcPr>
            <w:tcW w:type="dxa" w:w="2340"/>
          </w:tcPr>
          <w:p>
            <w:r/>
            <w:r>
              <w:rPr>
                <w:rFonts w:ascii="Times New Roman" w:hAnsi="Times New Roman" w:eastAsia="宋体"/>
                <w:b w:val="0"/>
                <w:color w:val="000000"/>
                <w:sz w:val="20"/>
              </w:rPr>
              <w:t>Also store φ = θ + 90° from downward vertical</w:t>
            </w:r>
          </w:p>
        </w:tc>
      </w:tr>
      <w:tr>
        <w:tc>
          <w:tcPr>
            <w:tcW w:type="dxa" w:w="2340"/>
          </w:tcPr>
          <w:p>
            <w:r/>
            <w:r>
              <w:rPr>
                <w:rFonts w:ascii="Times New Roman" w:hAnsi="Times New Roman" w:eastAsia="宋体"/>
                <w:b w:val="0"/>
                <w:color w:val="000000"/>
                <w:sz w:val="20"/>
              </w:rPr>
              <w:t>m_a</w:t>
            </w:r>
          </w:p>
        </w:tc>
        <w:tc>
          <w:tcPr>
            <w:tcW w:type="dxa" w:w="2340"/>
          </w:tcPr>
          <w:p>
            <w:r/>
            <w:r>
              <w:rPr>
                <w:rFonts w:ascii="Times New Roman" w:hAnsi="Times New Roman" w:eastAsia="宋体"/>
                <w:b w:val="0"/>
                <w:color w:val="000000"/>
                <w:sz w:val="20"/>
              </w:rPr>
              <w:t>Each crank mass</w:t>
            </w:r>
          </w:p>
        </w:tc>
        <w:tc>
          <w:tcPr>
            <w:tcW w:type="dxa" w:w="2340"/>
          </w:tcPr>
          <w:p>
            <w:r/>
            <w:r>
              <w:rPr>
                <w:rFonts w:ascii="Times New Roman" w:hAnsi="Times New Roman" w:eastAsia="宋体"/>
                <w:b w:val="0"/>
                <w:color w:val="000000"/>
                <w:sz w:val="20"/>
              </w:rPr>
              <w:t>40 g (est.)</w:t>
            </w:r>
          </w:p>
        </w:tc>
        <w:tc>
          <w:tcPr>
            <w:tcW w:type="dxa" w:w="2340"/>
          </w:tcPr>
          <w:p>
            <w:r/>
            <w:r>
              <w:rPr>
                <w:rFonts w:ascii="Times New Roman" w:hAnsi="Times New Roman" w:eastAsia="宋体"/>
                <w:b w:val="0"/>
                <w:color w:val="000000"/>
                <w:sz w:val="20"/>
              </w:rPr>
              <w:t>Replace by weighing</w:t>
            </w:r>
          </w:p>
        </w:tc>
      </w:tr>
      <w:tr>
        <w:tc>
          <w:tcPr>
            <w:tcW w:type="dxa" w:w="2340"/>
          </w:tcPr>
          <w:p>
            <w:r/>
            <w:r>
              <w:rPr>
                <w:rFonts w:ascii="Times New Roman" w:hAnsi="Times New Roman" w:eastAsia="宋体"/>
                <w:b w:val="0"/>
                <w:color w:val="000000"/>
                <w:sz w:val="20"/>
              </w:rPr>
              <w:t>m_b</w:t>
            </w:r>
          </w:p>
        </w:tc>
        <w:tc>
          <w:tcPr>
            <w:tcW w:type="dxa" w:w="2340"/>
          </w:tcPr>
          <w:p>
            <w:r/>
            <w:r>
              <w:rPr>
                <w:rFonts w:ascii="Times New Roman" w:hAnsi="Times New Roman" w:eastAsia="宋体"/>
                <w:b w:val="0"/>
                <w:color w:val="000000"/>
                <w:sz w:val="20"/>
              </w:rPr>
              <w:t>Each coupler mass</w:t>
            </w:r>
          </w:p>
        </w:tc>
        <w:tc>
          <w:tcPr>
            <w:tcW w:type="dxa" w:w="2340"/>
          </w:tcPr>
          <w:p>
            <w:r/>
            <w:r>
              <w:rPr>
                <w:rFonts w:ascii="Times New Roman" w:hAnsi="Times New Roman" w:eastAsia="宋体"/>
                <w:b w:val="0"/>
                <w:color w:val="000000"/>
                <w:sz w:val="20"/>
              </w:rPr>
              <w:t>50 g (est.)</w:t>
            </w:r>
          </w:p>
        </w:tc>
        <w:tc>
          <w:tcPr>
            <w:tcW w:type="dxa" w:w="2340"/>
          </w:tcPr>
          <w:p>
            <w:r/>
            <w:r>
              <w:rPr>
                <w:rFonts w:ascii="Times New Roman" w:hAnsi="Times New Roman" w:eastAsia="宋体"/>
                <w:b w:val="0"/>
                <w:color w:val="000000"/>
                <w:sz w:val="20"/>
              </w:rPr>
              <w:t>Replace by weighing</w:t>
            </w:r>
          </w:p>
        </w:tc>
      </w:tr>
      <w:tr>
        <w:tc>
          <w:tcPr>
            <w:tcW w:type="dxa" w:w="2340"/>
          </w:tcPr>
          <w:p>
            <w:r/>
            <w:r>
              <w:rPr>
                <w:rFonts w:ascii="Times New Roman" w:hAnsi="Times New Roman" w:eastAsia="宋体"/>
                <w:b w:val="0"/>
                <w:color w:val="000000"/>
                <w:sz w:val="20"/>
              </w:rPr>
              <w:t>s_a, s_b</w:t>
            </w:r>
          </w:p>
        </w:tc>
        <w:tc>
          <w:tcPr>
            <w:tcW w:type="dxa" w:w="2340"/>
          </w:tcPr>
          <w:p>
            <w:r/>
            <w:r>
              <w:rPr>
                <w:rFonts w:ascii="Times New Roman" w:hAnsi="Times New Roman" w:eastAsia="宋体"/>
                <w:b w:val="0"/>
                <w:color w:val="000000"/>
                <w:sz w:val="20"/>
              </w:rPr>
              <w:t>COM location</w:t>
            </w:r>
          </w:p>
        </w:tc>
        <w:tc>
          <w:tcPr>
            <w:tcW w:type="dxa" w:w="2340"/>
          </w:tcPr>
          <w:p>
            <w:r/>
            <w:r>
              <w:rPr>
                <w:rFonts w:ascii="Times New Roman" w:hAnsi="Times New Roman" w:eastAsia="宋体"/>
                <w:b w:val="0"/>
                <w:color w:val="000000"/>
                <w:sz w:val="20"/>
              </w:rPr>
              <w:t>mid-link</w:t>
            </w:r>
          </w:p>
        </w:tc>
        <w:tc>
          <w:tcPr>
            <w:tcW w:type="dxa" w:w="2340"/>
          </w:tcPr>
          <w:p>
            <w:r/>
            <w:r>
              <w:rPr>
                <w:rFonts w:ascii="Times New Roman" w:hAnsi="Times New Roman" w:eastAsia="宋体"/>
                <w:b w:val="0"/>
                <w:color w:val="000000"/>
                <w:sz w:val="20"/>
              </w:rPr>
              <w:t>Week 1–3 assumption</w:t>
            </w:r>
          </w:p>
        </w:tc>
      </w:tr>
      <w:tr>
        <w:tc>
          <w:tcPr>
            <w:tcW w:type="dxa" w:w="2340"/>
          </w:tcPr>
          <w:p>
            <w:r/>
            <w:r>
              <w:rPr>
                <w:rFonts w:ascii="Times New Roman" w:hAnsi="Times New Roman" w:eastAsia="宋体"/>
                <w:b w:val="0"/>
                <w:color w:val="000000"/>
                <w:sz w:val="20"/>
              </w:rPr>
              <w:t>m_E</w:t>
            </w:r>
          </w:p>
        </w:tc>
        <w:tc>
          <w:tcPr>
            <w:tcW w:type="dxa" w:w="2340"/>
          </w:tcPr>
          <w:p>
            <w:r/>
            <w:r>
              <w:rPr>
                <w:rFonts w:ascii="Times New Roman" w:hAnsi="Times New Roman" w:eastAsia="宋体"/>
                <w:b w:val="0"/>
                <w:color w:val="000000"/>
                <w:sz w:val="20"/>
              </w:rPr>
              <w:t>Payload at E</w:t>
            </w:r>
          </w:p>
        </w:tc>
        <w:tc>
          <w:tcPr>
            <w:tcW w:type="dxa" w:w="2340"/>
          </w:tcPr>
          <w:p>
            <w:r/>
            <w:r>
              <w:rPr>
                <w:rFonts w:ascii="Times New Roman" w:hAnsi="Times New Roman" w:eastAsia="宋体"/>
                <w:b w:val="0"/>
                <w:color w:val="000000"/>
                <w:sz w:val="20"/>
              </w:rPr>
              <w:t>300 g</w:t>
            </w:r>
          </w:p>
        </w:tc>
        <w:tc>
          <w:tcPr>
            <w:tcW w:type="dxa" w:w="2340"/>
          </w:tcPr>
          <w:p>
            <w:r/>
            <w:r>
              <w:rPr>
                <w:rFonts w:ascii="Times New Roman" w:hAnsi="Times New Roman" w:eastAsia="宋体"/>
                <w:b w:val="0"/>
                <w:color w:val="000000"/>
                <w:sz w:val="20"/>
              </w:rPr>
              <w:t>Hook at E; PS-10N range</w:t>
            </w:r>
          </w:p>
        </w:tc>
      </w:tr>
      <w:tr>
        <w:tc>
          <w:tcPr>
            <w:tcW w:type="dxa" w:w="2340"/>
          </w:tcPr>
          <w:p>
            <w:r/>
            <w:r>
              <w:rPr>
                <w:rFonts w:ascii="Times New Roman" w:hAnsi="Times New Roman" w:eastAsia="宋体"/>
                <w:b w:val="0"/>
                <w:color w:val="000000"/>
                <w:sz w:val="20"/>
              </w:rPr>
              <w:t>shaft</w:t>
            </w:r>
          </w:p>
        </w:tc>
        <w:tc>
          <w:tcPr>
            <w:tcW w:type="dxa" w:w="2340"/>
          </w:tcPr>
          <w:p>
            <w:r/>
            <w:r>
              <w:rPr>
                <w:rFonts w:ascii="Times New Roman" w:hAnsi="Times New Roman" w:eastAsia="宋体"/>
                <w:b w:val="0"/>
                <w:color w:val="000000"/>
                <w:sz w:val="20"/>
              </w:rPr>
              <w:t>Revolute pins</w:t>
            </w:r>
          </w:p>
        </w:tc>
        <w:tc>
          <w:tcPr>
            <w:tcW w:type="dxa" w:w="2340"/>
          </w:tcPr>
          <w:p>
            <w:r/>
            <w:r>
              <w:rPr>
                <w:rFonts w:ascii="Times New Roman" w:hAnsi="Times New Roman" w:eastAsia="宋体"/>
                <w:b w:val="0"/>
                <w:color w:val="000000"/>
                <w:sz w:val="20"/>
              </w:rPr>
              <w:t>8 mm</w:t>
            </w:r>
          </w:p>
        </w:tc>
        <w:tc>
          <w:tcPr>
            <w:tcW w:type="dxa" w:w="2340"/>
          </w:tcPr>
          <w:p>
            <w:r/>
            <w:r>
              <w:rPr>
                <w:rFonts w:ascii="Times New Roman" w:hAnsi="Times New Roman" w:eastAsia="宋体"/>
                <w:b w:val="0"/>
                <w:color w:val="000000"/>
                <w:sz w:val="20"/>
              </w:rPr>
              <w:t>Ball bearings later</w:t>
            </w:r>
          </w:p>
        </w:tc>
      </w:tr>
      <w:tr>
        <w:tc>
          <w:tcPr>
            <w:tcW w:type="dxa" w:w="2340"/>
          </w:tcPr>
          <w:p>
            <w:r/>
            <w:r>
              <w:rPr>
                <w:rFonts w:ascii="Times New Roman" w:hAnsi="Times New Roman" w:eastAsia="宋体"/>
                <w:b w:val="0"/>
                <w:color w:val="000000"/>
                <w:sz w:val="20"/>
              </w:rPr>
              <w:t>bar section</w:t>
            </w:r>
          </w:p>
        </w:tc>
        <w:tc>
          <w:tcPr>
            <w:tcW w:type="dxa" w:w="2340"/>
          </w:tcPr>
          <w:p>
            <w:r/>
            <w:r>
              <w:rPr>
                <w:rFonts w:ascii="Times New Roman" w:hAnsi="Times New Roman" w:eastAsia="宋体"/>
                <w:b w:val="0"/>
                <w:color w:val="000000"/>
                <w:sz w:val="20"/>
              </w:rPr>
              <w:t>Link section</w:t>
            </w:r>
          </w:p>
        </w:tc>
        <w:tc>
          <w:tcPr>
            <w:tcW w:type="dxa" w:w="2340"/>
          </w:tcPr>
          <w:p>
            <w:r/>
            <w:r>
              <w:rPr>
                <w:rFonts w:ascii="Times New Roman" w:hAnsi="Times New Roman" w:eastAsia="宋体"/>
                <w:b w:val="0"/>
                <w:color w:val="000000"/>
                <w:sz w:val="20"/>
              </w:rPr>
              <w:t>20 × 8 mm</w:t>
            </w:r>
          </w:p>
        </w:tc>
        <w:tc>
          <w:tcPr>
            <w:tcW w:type="dxa" w:w="2340"/>
          </w:tcPr>
          <w:p>
            <w:r/>
            <w:r>
              <w:rPr>
                <w:rFonts w:ascii="Times New Roman" w:hAnsi="Times New Roman" w:eastAsia="宋体"/>
                <w:b w:val="0"/>
                <w:color w:val="000000"/>
                <w:sz w:val="20"/>
              </w:rPr>
              <w:t>3D-print starting size</w:t>
            </w:r>
          </w:p>
        </w:tc>
      </w:tr>
      <w:tr>
        <w:tc>
          <w:tcPr>
            <w:tcW w:type="dxa" w:w="2340"/>
          </w:tcPr>
          <w:p>
            <w:r/>
            <w:r>
              <w:rPr>
                <w:rFonts w:ascii="Times New Roman" w:hAnsi="Times New Roman" w:eastAsia="宋体"/>
                <w:b w:val="0"/>
                <w:color w:val="000000"/>
                <w:sz w:val="20"/>
              </w:rPr>
              <w:t>GSM</w:t>
            </w:r>
          </w:p>
        </w:tc>
        <w:tc>
          <w:tcPr>
            <w:tcW w:type="dxa" w:w="2340"/>
          </w:tcPr>
          <w:p>
            <w:r/>
            <w:r>
              <w:rPr>
                <w:rFonts w:ascii="Times New Roman" w:hAnsi="Times New Roman" w:eastAsia="宋体"/>
                <w:b w:val="0"/>
                <w:color w:val="000000"/>
                <w:sz w:val="20"/>
              </w:rPr>
              <w:t>Gear-spring module</w:t>
            </w:r>
          </w:p>
        </w:tc>
        <w:tc>
          <w:tcPr>
            <w:tcW w:type="dxa" w:w="2340"/>
          </w:tcPr>
          <w:p>
            <w:r/>
            <w:r>
              <w:rPr>
                <w:rFonts w:ascii="Times New Roman" w:hAnsi="Times New Roman" w:eastAsia="宋体"/>
                <w:b w:val="0"/>
                <w:color w:val="000000"/>
                <w:sz w:val="20"/>
              </w:rPr>
              <w:t>not this week</w:t>
            </w:r>
          </w:p>
        </w:tc>
        <w:tc>
          <w:tcPr>
            <w:tcW w:type="dxa" w:w="2340"/>
          </w:tcPr>
          <w:p>
            <w:r/>
            <w:r>
              <w:rPr>
                <w:rFonts w:ascii="Times New Roman" w:hAnsi="Times New Roman" w:eastAsia="宋体"/>
                <w:b w:val="0"/>
                <w:color w:val="000000"/>
                <w:sz w:val="20"/>
              </w:rPr>
              <w:t>Mass later added into m_a</w:t>
            </w:r>
          </w:p>
        </w:tc>
      </w:tr>
    </w:tbl>
    <w:p/>
    <w:p>
      <w:pPr>
        <w:spacing w:after="120"/>
      </w:pPr>
      <w:r>
        <w:rPr>
          <w:rFonts w:ascii="Times New Roman" w:hAnsi="Times New Roman" w:eastAsia="宋体"/>
          <w:b/>
          <w:color w:val="000000"/>
          <w:sz w:val="28"/>
        </w:rPr>
        <w:t>4. Sample pose used in the drawing</w:t>
      </w:r>
    </w:p>
    <w:p>
      <w:pPr>
        <w:spacing w:after="120"/>
      </w:pPr>
      <w:r>
        <w:rPr>
          <w:rFonts w:ascii="Times New Roman" w:hAnsi="Times New Roman" w:eastAsia="宋体"/>
          <w:b w:val="0"/>
          <w:color w:val="000000"/>
          <w:sz w:val="24"/>
        </w:rPr>
        <w:t>E = (0, −180) mm. Inverse kinematics (outward elbows): θ_L = -125.7°, θ_R = -54.3° (from +x). From the downward vertical: φ_L = -35.7°, φ_R = 35.7°. P ≈ (-160.0, -97.5) mm, Q ≈ (160.0, -97.5) mm.</w:t>
      </w:r>
    </w:p>
    <w:p>
      <w:pPr>
        <w:spacing w:after="120"/>
      </w:pPr>
      <w:r>
        <w:rPr>
          <w:rFonts w:ascii="Times New Roman" w:hAnsi="Times New Roman" w:eastAsia="宋体"/>
          <w:b/>
          <w:color w:val="000000"/>
          <w:sz w:val="28"/>
        </w:rPr>
        <w:t>5. Drawings</w:t>
      </w:r>
    </w:p>
    <w:p>
      <w:pPr>
        <w:spacing w:after="80"/>
      </w:pPr>
      <w:r>
        <w:rPr>
          <w:rFonts w:ascii="Times New Roman" w:hAnsi="Times New Roman" w:eastAsia="宋体"/>
          <w:b w:val="0"/>
          <w:color w:val="000000"/>
          <w:sz w:val="24"/>
        </w:rPr>
        <w:t>Figure 1. Dimensioned skeleton at the sample midline pose.</w:t>
      </w:r>
    </w:p>
    <w:p>
      <w:r>
        <w:drawing>
          <wp:inline xmlns:a="http://schemas.openxmlformats.org/drawingml/2006/main" xmlns:pic="http://schemas.openxmlformats.org/drawingml/2006/picture">
            <wp:extent cx="5760720" cy="4199371"/>
            <wp:docPr id="1" name="Picture 1"/>
            <wp:cNvGraphicFramePr>
              <a:graphicFrameLocks noChangeAspect="1"/>
            </wp:cNvGraphicFramePr>
            <a:graphic>
              <a:graphicData uri="http://schemas.openxmlformats.org/drawingml/2006/picture">
                <pic:pic>
                  <pic:nvPicPr>
                    <pic:cNvPr id="0" name="five_bar_dimensioned_skeleton.png"/>
                    <pic:cNvPicPr/>
                  </pic:nvPicPr>
                  <pic:blipFill>
                    <a:blip r:embed="rId9"/>
                    <a:stretch>
                      <a:fillRect/>
                    </a:stretch>
                  </pic:blipFill>
                  <pic:spPr>
                    <a:xfrm>
                      <a:off x="0" y="0"/>
                      <a:ext cx="5760720" cy="4199371"/>
                    </a:xfrm>
                    <a:prstGeom prst="rect"/>
                  </pic:spPr>
                </pic:pic>
              </a:graphicData>
            </a:graphic>
          </wp:inline>
        </w:drawing>
      </w:r>
    </w:p>
    <w:p>
      <w:pPr>
        <w:spacing w:after="80"/>
      </w:pPr>
      <w:r>
        <w:rPr>
          <w:rFonts w:ascii="Times New Roman" w:hAnsi="Times New Roman" w:eastAsia="宋体"/>
          <w:b w:val="0"/>
          <w:color w:val="000000"/>
          <w:sz w:val="24"/>
        </w:rPr>
        <w:t>Figure 2. Layout, coordinate frame, and what is frozen this week.</w:t>
      </w:r>
    </w:p>
    <w:p>
      <w:r>
        <w:drawing>
          <wp:inline xmlns:a="http://schemas.openxmlformats.org/drawingml/2006/main" xmlns:pic="http://schemas.openxmlformats.org/drawingml/2006/picture">
            <wp:extent cx="5760720" cy="3707394"/>
            <wp:docPr id="2" name="Picture 2"/>
            <wp:cNvGraphicFramePr>
              <a:graphicFrameLocks noChangeAspect="1"/>
            </wp:cNvGraphicFramePr>
            <a:graphic>
              <a:graphicData uri="http://schemas.openxmlformats.org/drawingml/2006/picture">
                <pic:pic>
                  <pic:nvPicPr>
                    <pic:cNvPr id="0" name="five_bar_layout_convention.png"/>
                    <pic:cNvPicPr/>
                  </pic:nvPicPr>
                  <pic:blipFill>
                    <a:blip r:embed="rId10"/>
                    <a:stretch>
                      <a:fillRect/>
                    </a:stretch>
                  </pic:blipFill>
                  <pic:spPr>
                    <a:xfrm>
                      <a:off x="0" y="0"/>
                      <a:ext cx="5760720" cy="3707394"/>
                    </a:xfrm>
                    <a:prstGeom prst="rect"/>
                  </pic:spPr>
                </pic:pic>
              </a:graphicData>
            </a:graphic>
          </wp:inline>
        </w:drawing>
      </w:r>
    </w:p>
    <w:p>
      <w:pPr>
        <w:spacing w:after="120"/>
      </w:pPr>
      <w:r>
        <w:rPr>
          <w:rFonts w:ascii="Times New Roman" w:hAnsi="Times New Roman" w:eastAsia="宋体"/>
          <w:b/>
          <w:color w:val="000000"/>
          <w:sz w:val="28"/>
        </w:rPr>
        <w:t>6. Files</w:t>
      </w:r>
    </w:p>
    <w:p>
      <w:pPr>
        <w:spacing w:after="120"/>
      </w:pPr>
      <w:r>
        <w:rPr>
          <w:rFonts w:ascii="Times New Roman" w:hAnsi="Times New Roman" w:eastAsia="宋体"/>
          <w:b w:val="0"/>
          <w:color w:val="000000"/>
          <w:sz w:val="24"/>
        </w:rPr>
        <w:t>OpenSCAD sketch (bars and holes only): cad/five_bar_week1_sketch.scad. Machine-readable parameters: docs/week1-3/five_bar_parameters.json. Next Week 1–3 task: inverse-kinematics program using these lengths, then Tw.</w:t>
      </w:r>
    </w:p>
    <w:p>
      <w:pPr>
        <w:spacing w:after="120"/>
      </w:pPr>
      <w:r>
        <w:rPr>
          <w:rFonts w:ascii="Times New Roman" w:hAnsi="Times New Roman" w:eastAsia="宋体"/>
          <w:b/>
          <w:color w:val="000000"/>
          <w:sz w:val="28"/>
        </w:rPr>
        <w:t>7. What not to change without a reason</w:t>
      </w:r>
    </w:p>
    <w:p>
      <w:pPr>
        <w:spacing w:after="120"/>
      </w:pPr>
      <w:r>
        <w:rPr>
          <w:rFonts w:ascii="Times New Roman" w:hAnsi="Times New Roman" w:eastAsia="宋体"/>
          <w:b w:val="0"/>
          <w:color w:val="000000"/>
          <w:sz w:val="24"/>
        </w:rPr>
        <w:t>Keep symmetry (l1 = l2, l3 = l4). Keep payload ≤ 300 g until a trial on the mechanical gauge says otherwise. Do not add GSM mass into Tw until the module size is chosen in Week 4. If a later print needs a scale factor, multiply all of d, l1, l3 by the same factor so the kinematics stay similar.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