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8"/>
        </w:rPr>
        <w:t>GLOSS &amp; GLOW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Owner's Equity Statement</w:t>
      </w:r>
    </w:p>
    <w:p>
      <w:pPr>
        <w:spacing w:after="0" w:before="0"/>
        <w:jc w:val="center"/>
        <w:pBdr>
          <w:bottom w:val="single" w:sz="12" w:space="1" w:color="000000"/>
        </w:pBdr>
      </w:pPr>
      <w:r>
        <w:rPr>
          <w:rFonts w:ascii="Times New Roman" w:hAnsi="Times New Roman" w:eastAsia="Times New Roman"/>
          <w:b/>
          <w:sz w:val="24"/>
        </w:rPr>
        <w:t>For the Month Ended September 30, 2027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Owner's capital, September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$57,126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Add: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    Net income</w:t>
            </w:r>
          </w:p>
        </w:tc>
        <w:tc>
          <w:tcPr>
            <w:tcW w:type="dxa" w:w="1872"/>
          </w:tcPr>
          <w:p>
            <w:pPr>
              <w:jc w:val="right"/>
              <w:pBdr>
                <w:bottom w:val="single" w:sz="12" w:space="1" w:color="000000"/>
              </w:pBd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55,850</w:t>
            </w:r>
          </w:p>
        </w:tc>
        <w:tc>
          <w:tcPr>
            <w:tcW w:type="dxa" w:w="1872"/>
          </w:tcPr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55,850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112,976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Less: Drawings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jc w:val="right"/>
              <w:pBdr>
                <w:bottom w:val="single" w:sz="12" w:space="1" w:color="000000"/>
              </w:pBd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6,000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2880"/>
      </w:tblGrid>
      <w:tr>
        <w:tc>
          <w:tcPr>
            <w:tcW w:type="dxa" w:w="6048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Owner's capital, September 30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jc w:val="right"/>
              <w:pBdr>
                <w:bottom w:val="double" w:sz="12" w:space="1" w:color="000000"/>
              </w:pBdr>
            </w:pPr>
            <w:r>
              <w:rPr>
                <w:rFonts w:ascii="Times New Roman" w:hAnsi="Times New Roman" w:eastAsia="Times New Roman"/>
                <w:b/>
                <w:sz w:val="24"/>
              </w:rPr>
              <w:t>$106,976</w:t>
            </w:r>
          </w:p>
        </w:tc>
      </w:tr>
    </w:tbl>
    <w:p>
      <w:pPr>
        <w:spacing w:before="360"/>
      </w:pPr>
      <w:r>
        <w:rPr>
          <w:rFonts w:ascii="Times New Roman" w:hAnsi="Times New Roman" w:eastAsia="Times New Roman"/>
          <w:b w:val="0"/>
          <w:sz w:val="20"/>
        </w:rPr>
        <w:t>Format note: Matches the Divine Designs Co. lecture layout (addends in the middle money column; running totals in the right-hand column; single underline above a subtotal/total; double underline under ending capital). No additional investments occurred in September, so only Net income appears under “Add:”.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