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 w:start="0" w:end="0"/>
        <w:jc w:val="center"/>
        <w:rPr>
          <w:bCs/>
          <w:color w:val="595959"/>
          <w:sz w:val="22"/>
          <w:lang w:val="ru-RU" w:eastAsia="ru-RU"/>
        </w:rPr>
      </w:pPr>
      <w:r>
        <w:rPr>
          <w:bCs/>
          <w:color w:val="595959"/>
          <w:sz w:val="22"/>
          <w:lang w:val="ru-RU" w:eastAsia="ru-RU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-848360</wp:posOffset>
            </wp:positionH>
            <wp:positionV relativeFrom="paragraph">
              <wp:posOffset>-502920</wp:posOffset>
            </wp:positionV>
            <wp:extent cx="7106920" cy="10586085"/>
            <wp:effectExtent l="0" t="0" r="0" b="0"/>
            <wp:wrapNone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6920" cy="10586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  <w:t>МИНИСТЕРСТВО НАУКИ И ВЫСШЕГО ОБРАЗОВАНИЯ РОССИЙСКОЙ ФЕДЕРАЦИИ</w:t>
      </w:r>
    </w:p>
    <w:p>
      <w:pPr>
        <w:pStyle w:val="Normal"/>
        <w:ind w:hanging="0" w:start="0" w:end="0"/>
        <w:jc w:val="center"/>
        <w:rPr>
          <w:bCs/>
          <w:sz w:val="22"/>
        </w:rPr>
      </w:pPr>
      <w:r>
        <w:rPr>
          <w:bCs/>
          <w:sz w:val="22"/>
        </w:rPr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 xml:space="preserve">Федеральное государственное бюджетное образовательное учреждение </w:t>
      </w:r>
    </w:p>
    <w:p>
      <w:pPr>
        <w:pStyle w:val="211"/>
        <w:shd w:val="clear" w:fill="auto"/>
        <w:spacing w:lineRule="auto" w:line="240"/>
        <w:jc w:val="center"/>
        <w:rPr>
          <w:b w:val="false"/>
          <w:sz w:val="22"/>
          <w:szCs w:val="22"/>
        </w:rPr>
      </w:pPr>
      <w:r>
        <w:rPr>
          <w:b w:val="false"/>
          <w:sz w:val="22"/>
          <w:szCs w:val="22"/>
        </w:rPr>
        <w:t>высшего образования «Северо-Осетинский государственный университет</w:t>
      </w:r>
    </w:p>
    <w:p>
      <w:pPr>
        <w:pStyle w:val="211"/>
        <w:shd w:val="clear" w:fill="auto"/>
        <w:spacing w:lineRule="auto" w:line="240"/>
        <w:jc w:val="center"/>
        <w:rPr>
          <w:b/>
          <w:i/>
          <w:i/>
          <w:sz w:val="22"/>
          <w:szCs w:val="22"/>
        </w:rPr>
      </w:pPr>
      <w:r>
        <w:rPr>
          <w:b w:val="false"/>
          <w:sz w:val="22"/>
          <w:szCs w:val="22"/>
        </w:rPr>
        <w:t>имени Коста Левановича Хетагурова»</w:t>
      </w:r>
    </w:p>
    <w:p>
      <w:pPr>
        <w:pStyle w:val="Normal"/>
        <w:ind w:hanging="0" w:start="0" w:end="0"/>
        <w:jc w:val="center"/>
        <w:rPr>
          <w:b/>
          <w:i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ind w:hanging="0" w:start="0" w:end="0"/>
        <w:jc w:val="center"/>
        <w:rPr>
          <w:b/>
          <w:i/>
          <w:i/>
          <w:color w:val="595959"/>
          <w:sz w:val="22"/>
          <w:szCs w:val="22"/>
        </w:rPr>
      </w:pPr>
      <w:r>
        <w:rPr>
          <w:b/>
          <w:i/>
          <w:color w:val="595959"/>
          <w:sz w:val="22"/>
          <w:szCs w:val="22"/>
        </w:rPr>
      </w:r>
    </w:p>
    <w:p>
      <w:pPr>
        <w:pStyle w:val="Normal"/>
        <w:ind w:hanging="0" w:start="0" w:end="0"/>
        <w:jc w:val="center"/>
        <w:rPr>
          <w:i/>
          <w:i/>
          <w:color w:val="595959"/>
          <w:sz w:val="22"/>
        </w:rPr>
      </w:pPr>
      <w:r>
        <w:rPr>
          <w:i/>
          <w:color w:val="595959"/>
          <w:sz w:val="22"/>
        </w:rPr>
      </w:r>
    </w:p>
    <w:tbl>
      <w:tblPr>
        <w:tblW w:w="97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860"/>
        <w:gridCol w:w="4880"/>
      </w:tblGrid>
      <w:tr>
        <w:trPr/>
        <w:tc>
          <w:tcPr>
            <w:tcW w:w="4860" w:type="dxa"/>
            <w:tcBorders/>
          </w:tcPr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Принято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Решением Ученого совета</w:t>
            </w:r>
          </w:p>
          <w:p>
            <w:pPr>
              <w:pStyle w:val="Style27"/>
              <w:spacing w:lineRule="auto" w:line="264"/>
              <w:rPr>
                <w:szCs w:val="24"/>
              </w:rPr>
            </w:pPr>
            <w:r>
              <w:rPr>
                <w:szCs w:val="24"/>
              </w:rPr>
              <w:t>27 апреля 2023 г.</w:t>
            </w:r>
          </w:p>
          <w:p>
            <w:pPr>
              <w:pStyle w:val="Style27"/>
              <w:spacing w:lineRule="auto" w:line="264"/>
              <w:rPr>
                <w:szCs w:val="24"/>
                <w:u w:val="single"/>
                <w:lang w:val="en-US"/>
              </w:rPr>
            </w:pPr>
            <w:r>
              <w:rPr>
                <w:szCs w:val="24"/>
              </w:rPr>
              <w:t>Протокол № 9</w:t>
            </w:r>
          </w:p>
          <w:p>
            <w:pPr>
              <w:pStyle w:val="Normal"/>
              <w:spacing w:lineRule="auto" w:line="264"/>
              <w:jc w:val="start"/>
              <w:rPr>
                <w:szCs w:val="24"/>
                <w:u w:val="single"/>
                <w:lang w:val="en-US"/>
              </w:rPr>
            </w:pPr>
            <w:r>
              <w:rPr>
                <w:szCs w:val="24"/>
                <w:u w:val="single"/>
                <w:lang w:val="en-US"/>
              </w:rPr>
            </w:r>
          </w:p>
        </w:tc>
        <w:tc>
          <w:tcPr>
            <w:tcW w:w="4880" w:type="dxa"/>
            <w:tcBorders/>
          </w:tcPr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Утверждаю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Проректор по учебной работе</w:t>
            </w:r>
          </w:p>
          <w:p>
            <w:pPr>
              <w:pStyle w:val="Normal"/>
              <w:spacing w:lineRule="auto" w:line="264" w:before="120" w:after="120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____________ З.А. Загалова</w:t>
            </w:r>
          </w:p>
          <w:p>
            <w:pPr>
              <w:pStyle w:val="Normal"/>
              <w:spacing w:lineRule="auto" w:line="264"/>
              <w:ind w:hanging="0" w:start="669" w:end="0"/>
              <w:jc w:val="start"/>
              <w:rPr>
                <w:szCs w:val="24"/>
              </w:rPr>
            </w:pPr>
            <w:r>
              <w:rPr>
                <w:szCs w:val="24"/>
              </w:rPr>
              <w:t>28 апреля 2023 г.</w:t>
            </w:r>
          </w:p>
        </w:tc>
      </w:tr>
    </w:tbl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p>
      <w:pPr>
        <w:pStyle w:val="Normal"/>
        <w:rPr>
          <w:vanish/>
        </w:rPr>
      </w:pPr>
      <w:r>
        <w:rPr>
          <w:vanish/>
        </w:rPr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4"/>
      </w:tblGrid>
      <w:tr>
        <w:trPr/>
        <w:tc>
          <w:tcPr>
            <w:tcW w:w="4785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  <w:tc>
          <w:tcPr>
            <w:tcW w:w="4784" w:type="dxa"/>
            <w:tcBorders/>
          </w:tcPr>
          <w:p>
            <w:pPr>
              <w:pStyle w:val="Style27"/>
              <w:snapToGrid w:val="false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  <w:p>
            <w:pPr>
              <w:pStyle w:val="Style27"/>
              <w:spacing w:lineRule="auto" w:line="288"/>
              <w:rPr>
                <w:color w:val="595959"/>
                <w:szCs w:val="24"/>
              </w:rPr>
            </w:pPr>
            <w:r>
              <w:rPr>
                <w:color w:val="595959"/>
                <w:szCs w:val="24"/>
              </w:rPr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ОСНОВНАЯ ПРОФЕССИОНАЛЬНАЯ ОБРАЗОВАТЕЛЬНАЯ </w:t>
      </w:r>
    </w:p>
    <w:p>
      <w:pPr>
        <w:pStyle w:val="Normal"/>
        <w:widowControl w:val="false"/>
        <w:numPr>
          <w:ilvl w:val="0"/>
          <w:numId w:val="0"/>
        </w:numPr>
        <w:spacing w:lineRule="auto" w:line="288"/>
        <w:ind w:hanging="0" w:start="0" w:end="0"/>
        <w:jc w:val="center"/>
        <w:outlineLvl w:val="2"/>
        <w:rPr>
          <w:b/>
          <w:bCs/>
          <w:sz w:val="28"/>
          <w:szCs w:val="28"/>
        </w:rPr>
      </w:pPr>
      <w:r>
        <w:rPr>
          <w:bCs/>
          <w:sz w:val="28"/>
          <w:szCs w:val="28"/>
        </w:rPr>
        <w:t>ПРОГРАММА ВЫСШЕГО ОБРАЗОВАНИЯ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Направление подготовки: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01.03.02 «Прикладная математика и информатика»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bookmarkStart w:id="0" w:name="_Hlk58498310"/>
      <w:bookmarkEnd w:id="0"/>
      <w:r>
        <w:rPr>
          <w:sz w:val="28"/>
          <w:szCs w:val="28"/>
        </w:rPr>
        <w:t xml:space="preserve">Профиль: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«Программирование, анализ данных и </w:t>
      </w:r>
    </w:p>
    <w:p>
      <w:pPr>
        <w:pStyle w:val="Normal"/>
        <w:spacing w:lineRule="auto" w:line="288"/>
        <w:ind w:hanging="0" w:start="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математическое моделирование»</w:t>
      </w:r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bookmarkStart w:id="1" w:name="_Hlk58498310_Копия_1"/>
      <w:bookmarkStart w:id="2" w:name="_Hlk58498310_Копия_1"/>
      <w:bookmarkEnd w:id="2"/>
    </w:p>
    <w:p>
      <w:pPr>
        <w:pStyle w:val="Normal"/>
        <w:spacing w:lineRule="auto" w:line="288"/>
        <w:ind w:hanging="0" w:start="0" w:end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88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Квалификация выпускника – </w:t>
      </w:r>
      <w:r>
        <w:rPr>
          <w:b/>
          <w:sz w:val="28"/>
          <w:szCs w:val="28"/>
        </w:rPr>
        <w:t>бакалавр</w:t>
      </w:r>
    </w:p>
    <w:p>
      <w:pPr>
        <w:pStyle w:val="Normal"/>
        <w:spacing w:lineRule="auto" w:line="360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Форма обучения – </w:t>
      </w:r>
      <w:r>
        <w:rPr>
          <w:b/>
          <w:bCs/>
          <w:sz w:val="28"/>
          <w:szCs w:val="28"/>
        </w:rPr>
        <w:t>очная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hanging="0" w:start="0" w:end="0"/>
        <w:jc w:val="center"/>
        <w:rPr>
          <w:b/>
          <w:sz w:val="28"/>
          <w:szCs w:val="24"/>
        </w:rPr>
      </w:pPr>
      <w:r>
        <w:rPr>
          <w:sz w:val="28"/>
          <w:szCs w:val="28"/>
        </w:rPr>
        <w:t>Год начала подготовки 2023</w:t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 w:val="28"/>
          <w:szCs w:val="24"/>
        </w:rPr>
      </w:pPr>
      <w:r>
        <w:rPr>
          <w:b/>
          <w:sz w:val="28"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rPr>
          <w:b/>
          <w:szCs w:val="24"/>
        </w:rPr>
      </w:pPr>
      <w:r>
        <w:rPr>
          <w:b/>
          <w:szCs w:val="24"/>
        </w:rPr>
      </w:r>
    </w:p>
    <w:p>
      <w:pPr>
        <w:pStyle w:val="Normal"/>
        <w:ind w:hanging="0" w:start="0" w:end="0"/>
        <w:jc w:val="center"/>
        <w:rPr>
          <w:sz w:val="28"/>
          <w:szCs w:val="28"/>
        </w:rPr>
      </w:pPr>
      <w:r>
        <w:rPr>
          <w:sz w:val="28"/>
          <w:szCs w:val="28"/>
        </w:rPr>
        <w:t>Владикавказ</w:t>
      </w:r>
    </w:p>
    <w:p>
      <w:pPr>
        <w:pStyle w:val="Normal"/>
        <w:ind w:hanging="0" w:start="0" w:end="0"/>
        <w:jc w:val="center"/>
        <w:rPr>
          <w:bCs/>
          <w:sz w:val="28"/>
          <w:szCs w:val="28"/>
        </w:rPr>
      </w:pPr>
      <w:r>
        <w:rPr>
          <w:sz w:val="28"/>
          <w:szCs w:val="28"/>
        </w:rPr>
        <w:t>2023</w:t>
      </w:r>
      <w:r>
        <w:br w:type="page"/>
      </w:r>
    </w:p>
    <w:p>
      <w:pPr>
        <w:pStyle w:val="Normal"/>
        <w:spacing w:before="0" w:after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>
          <w:i/>
          <w:i/>
          <w:iCs/>
          <w:color w:val="404040"/>
        </w:rPr>
      </w:pPr>
      <w:r>
        <w:rPr>
          <w:color w:val="404040"/>
        </w:rPr>
        <w:t>ОПОП ВО:</w:t>
      </w:r>
    </w:p>
    <w:p>
      <w:pPr>
        <w:pStyle w:val="Normal"/>
        <w:rPr>
          <w:bCs/>
          <w:i/>
          <w:i/>
          <w:iCs/>
          <w:color w:val="404040"/>
        </w:rPr>
      </w:pPr>
      <w:r>
        <w:t xml:space="preserve">разработана в соответствии с Федеральным государственным образовательным стандартом высшего образования – бакалавриат по направлению подготовки 01.03.01 Математика, утвержденным приказом Министерства образования и науки Российской Федерации от 10.01.2018 № № 8, </w:t>
      </w:r>
    </w:p>
    <w:p>
      <w:pPr>
        <w:pStyle w:val="Normal"/>
        <w:rPr>
          <w:bCs/>
          <w:color w:val="404040"/>
        </w:rPr>
      </w:pPr>
      <w:r>
        <w:t>обсуждена и рекомендована к утверждению на заседании совета факультета математики и компьютерных наук (протокол № 13 от 31.05.2022 г.).</w:t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bCs/>
          <w:color w:val="404040"/>
        </w:rPr>
      </w:pPr>
      <w:r>
        <w:rPr>
          <w:bCs/>
          <w:color w:val="404040"/>
        </w:rPr>
      </w:r>
    </w:p>
    <w:p>
      <w:pPr>
        <w:pStyle w:val="Default"/>
        <w:jc w:val="both"/>
        <w:rPr>
          <w:color w:val="404040"/>
        </w:rPr>
      </w:pPr>
      <w:r>
        <w:rPr>
          <w:color w:val="404040"/>
        </w:rPr>
        <w:drawing>
          <wp:anchor behindDoc="0" distT="0" distB="0" distL="0" distR="0" simplePos="0" locked="0" layoutInCell="1" allowOverlap="1" relativeHeight="30">
            <wp:simplePos x="0" y="0"/>
            <wp:positionH relativeFrom="column">
              <wp:posOffset>3772535</wp:posOffset>
            </wp:positionH>
            <wp:positionV relativeFrom="paragraph">
              <wp:posOffset>736600</wp:posOffset>
            </wp:positionV>
            <wp:extent cx="1352550" cy="1257300"/>
            <wp:effectExtent l="0" t="0" r="0" b="0"/>
            <wp:wrapNone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52" t="-56" r="-52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215" w:type="dxa"/>
        <w:jc w:val="start"/>
        <w:tblInd w:w="56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29"/>
        <w:gridCol w:w="1843"/>
        <w:gridCol w:w="1843"/>
      </w:tblGrid>
      <w:tr>
        <w:trPr/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Разработчики ОПОП ВО: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drawing>
                <wp:anchor behindDoc="0" distT="0" distB="0" distL="0" distR="0" simplePos="0" locked="0" layoutInCell="1" allowOverlap="1" relativeHeight="29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76835</wp:posOffset>
                  </wp:positionV>
                  <wp:extent cx="1007110" cy="717550"/>
                  <wp:effectExtent l="0" t="0" r="0" b="0"/>
                  <wp:wrapNone/>
                  <wp:docPr id="3" name="Изображение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Изображение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43" t="-200" r="-143" b="-2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110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pacing w:before="120" w:after="0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Заведующий кафедрой прикладной математики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и информатики, к.ф.-м.н.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Е.К. Басаева</w:t>
            </w:r>
          </w:p>
        </w:tc>
      </w:tr>
      <w:tr>
        <w:trPr/>
        <w:tc>
          <w:tcPr>
            <w:tcW w:w="5529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jc w:val="start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</w:tc>
      </w:tr>
      <w:tr>
        <w:trPr>
          <w:trHeight w:val="967" w:hRule="atLeast"/>
        </w:trPr>
        <w:tc>
          <w:tcPr>
            <w:tcW w:w="5529" w:type="dxa"/>
            <w:tcBorders/>
          </w:tcPr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Декан факультета математики и компьютерных</w:t>
            </w:r>
          </w:p>
          <w:p>
            <w:pPr>
              <w:pStyle w:val="Normal"/>
              <w:ind w:hanging="0" w:start="0" w:end="0"/>
              <w:rPr>
                <w:color w:val="404040"/>
              </w:rPr>
            </w:pPr>
            <w:r>
              <w:rPr>
                <w:color w:val="404040"/>
              </w:rPr>
              <w:t>наук, д.ф.-м.н.</w:t>
            </w:r>
          </w:p>
        </w:tc>
        <w:tc>
          <w:tcPr>
            <w:tcW w:w="1843" w:type="dxa"/>
            <w:tcBorders/>
          </w:tcPr>
          <w:p>
            <w:pPr>
              <w:pStyle w:val="Normal"/>
              <w:snapToGrid w:val="false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</w:r>
          </w:p>
          <w:p>
            <w:pPr>
              <w:pStyle w:val="Normal"/>
              <w:ind w:hanging="0" w:start="0" w:end="0"/>
              <w:rPr>
                <w:b/>
                <w:bCs/>
                <w:color w:val="404040"/>
              </w:rPr>
            </w:pPr>
            <w:r>
              <w:rPr>
                <w:b/>
                <w:bCs/>
                <w:color w:val="404040"/>
              </w:rPr>
              <w:t>_____________</w:t>
            </w:r>
          </w:p>
        </w:tc>
        <w:tc>
          <w:tcPr>
            <w:tcW w:w="1843" w:type="dxa"/>
            <w:tcBorders/>
          </w:tcPr>
          <w:p>
            <w:r>
              <w:br/>
              <w:t>Р.Ч. Кулаев</w:t>
            </w:r>
          </w:p>
        </w:tc>
      </w:tr>
    </w:tbl>
    <w:p>
      <w:pPr>
        <w:pStyle w:val="Heading1"/>
        <w:numPr>
          <w:ilvl w:val="0"/>
          <w:numId w:val="1"/>
        </w:numPr>
        <w:ind w:hanging="0" w:start="0" w:end="0"/>
        <w:rPr>
          <w:bCs w:val="false"/>
          <w:color w:val="595959"/>
        </w:rPr>
      </w:pPr>
      <w:r>
        <w:rPr>
          <w:bCs w:val="false"/>
          <w:color w:val="595959"/>
        </w:rPr>
      </w:r>
      <w:r>
        <w:br w:type="page"/>
      </w:r>
    </w:p>
    <w:p>
      <w:pPr>
        <w:pStyle w:val="Heading5"/>
        <w:numPr>
          <w:ilvl w:val="4"/>
          <w:numId w:val="1"/>
        </w:numPr>
        <w:spacing w:before="0" w:after="0"/>
        <w:ind w:firstLine="709" w:start="0" w:end="0"/>
        <w:jc w:val="center"/>
        <w:rPr>
          <w:rFonts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/>
          </w:pPr>
          <w:r>
            <w:fldChar w:fldCharType="begin"/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instrText xml:space="preserve"> TOC \z \o "1-2" \u \h</w:instrText>
          </w:r>
          <w:r>
            <w:rPr>
              <w:webHidden/>
              <w:rStyle w:val="Style22"/>
              <w:caps/>
              <w:sz w:val="24"/>
              <w:b/>
              <w:szCs w:val="24"/>
              <w:bCs/>
              <w:vanish w:val="false"/>
              <w:rFonts w:cs="Times New Roman" w:ascii="Times New Roman" w:hAnsi="Times New Roman"/>
              <w:lang w:val="ru-RU" w:eastAsia="ru-RU"/>
            </w:rPr>
            <w:fldChar w:fldCharType="separate"/>
          </w:r>
          <w:hyperlink w:anchor="__RefHeading___Toc14627176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1. Общие положения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1.1.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Нормативные документы для разработки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6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1.2.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</w:r>
            <w:r>
              <w:rPr>
                <w:rStyle w:val="Style22"/>
                <w:rFonts w:cs="Times New Roman" w:ascii="Times New Roman" w:hAnsi="Times New Roman"/>
                <w:smallCaps/>
                <w:sz w:val="24"/>
                <w:szCs w:val="24"/>
                <w:lang w:val="ru-RU" w:eastAsia="ru-RU"/>
              </w:rPr>
              <w:t>Общая характеристика ОПОП ВО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4</w:t>
            </w:r>
          </w:hyperlink>
        </w:p>
        <w:p>
          <w:pPr>
            <w:pStyle w:val="TOC2"/>
            <w:rPr/>
          </w:pPr>
          <w:hyperlink w:anchor="__RefHeading___Toc14627177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1.3. Требования к абитуриенту (бакалавриат)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1"/>
            <w:rPr/>
          </w:pPr>
          <w:hyperlink w:anchor="__RefHeading___Toc14627177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2. Характеристика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2.1. Области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2.2. Объекты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5</w:t>
            </w:r>
          </w:hyperlink>
        </w:p>
        <w:p>
          <w:pPr>
            <w:pStyle w:val="TOC2"/>
            <w:rPr/>
          </w:pPr>
          <w:hyperlink w:anchor="__RefHeading___Toc14627177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2.3. Типы задач и задачи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2"/>
            <w:rPr/>
          </w:pPr>
          <w:hyperlink w:anchor="__RefHeading___Toc146271775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2.4. Профессиональные стандарты, соответствующие профессиональной деятельности выпускника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6</w:t>
            </w:r>
          </w:hyperlink>
        </w:p>
        <w:p>
          <w:pPr>
            <w:pStyle w:val="TOC1"/>
            <w:rPr/>
          </w:pPr>
          <w:hyperlink w:anchor="__RefHeading___Toc146271776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3. Компетенции выпускника, формируемые в результате освоения данной        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7</w:t>
            </w:r>
          </w:hyperlink>
        </w:p>
        <w:p>
          <w:pPr>
            <w:pStyle w:val="TOC1"/>
            <w:rPr/>
          </w:pPr>
          <w:hyperlink w:anchor="__RefHeading___Toc146271777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4. Документы, регламентирующие содержание и организацию образовательного процесса при реализации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4.1. Учебный план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13</w:t>
            </w:r>
          </w:hyperlink>
        </w:p>
        <w:p>
          <w:pPr>
            <w:pStyle w:val="TOC2"/>
            <w:rPr/>
          </w:pPr>
          <w:hyperlink w:anchor="__RefHeading___Toc14627177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4.2. Календарный учебный график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0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shd w:fill="FFFFFF" w:val="clear"/>
                <w:lang w:val="ru-RU" w:eastAsia="ru-RU"/>
              </w:rPr>
              <w:t>4.3. Рабочие программы учебных дисциплин (модулей)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1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4.4. Программы практик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14</w:t>
            </w:r>
          </w:hyperlink>
        </w:p>
        <w:p>
          <w:pPr>
            <w:pStyle w:val="TOC2"/>
            <w:rPr/>
          </w:pPr>
          <w:hyperlink w:anchor="__RefHeading___Toc146271782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4.5. Программа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3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4.6. Оценочные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2"/>
            <w:rPr/>
          </w:pPr>
          <w:hyperlink w:anchor="__RefHeading___Toc146271784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4.7. Методические материалы по дисциплинам (модулям), практикам, государственной итоговой аттестации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15</w:t>
            </w:r>
          </w:hyperlink>
        </w:p>
        <w:p>
          <w:pPr>
            <w:pStyle w:val="TOC1"/>
            <w:rPr/>
          </w:pPr>
          <w:hyperlink w:anchor="__RefHeading___Toc146271785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5. Фактическое ресурсное обеспечение ОПОП ВО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6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5.1. Кадровое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7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5.2. Материально-техническое и учебно-методическое обеспечение образовательного процесса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16</w:t>
            </w:r>
          </w:hyperlink>
        </w:p>
        <w:p>
          <w:pPr>
            <w:pStyle w:val="TOC2"/>
            <w:rPr/>
          </w:pPr>
          <w:hyperlink w:anchor="__RefHeading___Toc146271788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5.3. 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17</w:t>
            </w:r>
          </w:hyperlink>
        </w:p>
        <w:p>
          <w:pPr>
            <w:pStyle w:val="TOC2"/>
            <w:rPr/>
          </w:pPr>
          <w:hyperlink w:anchor="__RefHeading___Toc146271789">
            <w:r>
              <w:rPr>
                <w:webHidden/>
                <w:rStyle w:val="Style22"/>
                <w:rFonts w:cs="Times New Roman" w:ascii="Times New Roman" w:hAnsi="Times New Roman"/>
                <w:smallCaps/>
                <w:vanish w:val="false"/>
                <w:sz w:val="24"/>
                <w:szCs w:val="24"/>
                <w:lang w:val="ru-RU" w:eastAsia="ru-RU"/>
              </w:rPr>
              <w:t>5.4. Финансовое обеспечение</w:t>
            </w:r>
            <w:r>
              <w:rPr>
                <w:rStyle w:val="Style22"/>
                <w:rFonts w:cs="Times New Roman" w:ascii="Times New Roman" w:hAnsi="Times New Roman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0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6. Характеристика среды вуза, обеспечивающая развитие общекультурных и социально-личностных компетенций выпускников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18</w:t>
            </w:r>
          </w:hyperlink>
        </w:p>
        <w:p>
          <w:pPr>
            <w:pStyle w:val="TOC1"/>
            <w:rPr/>
          </w:pPr>
          <w:hyperlink w:anchor="__RefHeading___Toc146271791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</w:p>
        <w:p>
          <w:pPr>
            <w:pStyle w:val="TOC1"/>
            <w:rPr/>
          </w:pPr>
          <w:hyperlink w:anchor="__RefHeading___Toc146271792">
            <w:r>
              <w:rPr>
                <w:webHidden/>
                <w:rStyle w:val="Style22"/>
                <w:rFonts w:cs="Times New Roman" w:ascii="Times New Roman" w:hAnsi="Times New Roman"/>
                <w:b/>
                <w:bCs/>
                <w:caps/>
                <w:vanish w:val="false"/>
                <w:sz w:val="24"/>
                <w:szCs w:val="24"/>
                <w:lang w:val="ru-RU" w:eastAsia="ru-RU"/>
              </w:rPr>
              <w:t>8. Содержание и организация учебного процесса для инвалидов и лиц с ограниченными возможностями здоровья</w:t>
            </w:r>
            <w:r>
              <w:rPr>
                <w:rStyle w:val="Style22"/>
                <w:rFonts w:cs="Times New Roman" w:ascii="Times New Roman" w:hAnsi="Times New Roman"/>
                <w:b w:val="false"/>
                <w:bCs w:val="false"/>
                <w:sz w:val="24"/>
                <w:szCs w:val="24"/>
                <w:lang w:val="ru-RU" w:eastAsia="ru-RU"/>
              </w:rPr>
              <w:tab/>
              <w:t>20</w:t>
            </w:r>
          </w:hyperlink>
          <w:r>
            <w:rPr>
              <w:rStyle w:val="Style22"/>
              <w:sz w:val="24"/>
              <w:b w:val="false"/>
              <w:szCs w:val="24"/>
              <w:bCs w:val="false"/>
              <w:rFonts w:cs="Times New Roman" w:ascii="Times New Roman" w:hAnsi="Times New Roman"/>
              <w:lang w:val="ru-RU" w:eastAsia="ru-RU"/>
            </w:rPr>
            <w:fldChar w:fldCharType="end"/>
          </w:r>
        </w:p>
      </w:sdtContent>
    </w:sdt>
    <w:p>
      <w:pPr>
        <w:pStyle w:val="Normal"/>
        <w:tabs>
          <w:tab w:val="clear" w:pos="708"/>
          <w:tab w:val="left" w:pos="284" w:leader="none"/>
        </w:tabs>
        <w:rPr>
          <w:szCs w:val="24"/>
          <w:lang w:val="ru-RU" w:eastAsia="ru-RU"/>
        </w:rPr>
      </w:pPr>
      <w:r>
        <w:rPr>
          <w:szCs w:val="24"/>
          <w:lang w:val="ru-RU" w:eastAsia="ru-RU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before="0" w:after="40"/>
        <w:ind w:hanging="0" w:start="0" w:end="0"/>
        <w:rPr/>
      </w:pPr>
      <w:bookmarkStart w:id="3" w:name="__RefHeading___Toc146271767"/>
      <w:bookmarkEnd w:id="3"/>
      <w:r>
        <w:rPr/>
        <w:t>1. Общие положения</w:t>
      </w:r>
    </w:p>
    <w:p>
      <w:pPr>
        <w:pStyle w:val="Normal"/>
        <w:rPr/>
      </w:pPr>
      <w:r>
        <w:t>Основная профессиональная образовательная программа бакалавриата, реализуемая федеральным государственным бюджетным образовательным учреждением высшего образования «Северо-Осетинский государственный университет имени Коста Левановича Хетагурова» по направлению подготовки 01.03.01 Математика, профиль «Кибербезопасность», представляет собой комплекс основных характеристик образования, разработанных и утвержденных с учетом требований рынка труда на основе Федерального государственного образовательного стандарта по соответствующему направлению подготовки высшего образования.</w:t>
      </w:r>
    </w:p>
    <w:p>
      <w:pPr>
        <w:pStyle w:val="Normal"/>
        <w:rPr/>
      </w:pPr>
      <w:r>
        <w:rPr/>
        <w:t xml:space="preserve">ОПОП регламентирует цели, ожидаемые результаты, содержание, условия и технологии реализации образовательного процесса, оценку качества подготовки выпускника по данному направлению подготовки и включает в себя: учебный план, рабочие программы учебных курсов, предметов, дисциплин (модулей) и другие материалы, обеспечивающие качество подготовки обучающихся, а также программы учебной и производственной практик, календарный учебный график и методические материалы, обеспечивающие реализацию соответствующих образовательных технологий. 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szCs w:val="24"/>
        </w:rPr>
      </w:pPr>
      <w:bookmarkStart w:id="4" w:name="__RefHeading___Toc146271768"/>
      <w:bookmarkEnd w:id="4"/>
      <w:r>
        <w:rPr/>
        <w:t>Нормативные документы для разработки ОПОП ВО</w:t>
      </w:r>
    </w:p>
    <w:p>
      <w:pPr>
        <w:pStyle w:val="Normal"/>
        <w:ind w:firstLine="720" w:start="0" w:end="0"/>
        <w:rPr>
          <w:szCs w:val="24"/>
          <w:highlight w:val="green"/>
        </w:rPr>
      </w:pPr>
      <w:bookmarkStart w:id="5" w:name="_Hlk58665426"/>
      <w:bookmarkEnd w:id="5"/>
      <w:r>
        <w:rPr>
          <w:szCs w:val="24"/>
        </w:rPr>
        <w:t>Нормативную правовую базу разработки ОПОП бакалавриата составляют:</w:t>
      </w:r>
    </w:p>
    <w:p>
      <w:pPr>
        <w:pStyle w:val="Style26"/>
        <w:jc w:val="both"/>
      </w:pPr>
      <w:r>
        <w:t>Федеральный закон от 29 декабря 2012 года № 273-ФЗ «Об образовании в Российской Федерации» (в действующей редакции).</w:t>
      </w:r>
    </w:p>
    <w:p>
      <w:pPr>
        <w:pStyle w:val="Style26"/>
        <w:jc w:val="both"/>
      </w:pPr>
      <w:r>
        <w:t>Федеральный государственный образовательный стандарт высшего образования – бакалавриат по направлению подготовки 01.03.02 Прикладная математика и информатика, утвержденный приказом Министерства образования и науки Российской Федерации от 10.01.2018 № 9 (в действующей редакции).</w:t>
      </w:r>
    </w:p>
    <w:p>
      <w:pPr>
        <w:pStyle w:val="Style26"/>
        <w:jc w:val="both"/>
      </w:pPr>
      <w:r>
        <w:t>Приказ Минобрнауки России «Об утверждении Порядка организации и осуществления образовательной деятельности по образовательным программам высшего образования – программам бакалавриата, программам специалитета, программам магистратуры» от 06 апреля 2021 года № 245 (в действующей редакции).</w:t>
      </w:r>
    </w:p>
    <w:p>
      <w:pPr>
        <w:pStyle w:val="Style26"/>
        <w:jc w:val="both"/>
      </w:pPr>
      <w:r>
        <w:t>Порядок проведения государственной итоговой аттестации по образовательным программам высшего образования – программам бакалавриата, программам специалитета и программам магистратуры, утвержденный приказом Минобрнауки России от 29 июня 2015 г. № 636 (в действующей редакции).</w:t>
      </w:r>
    </w:p>
    <w:p>
      <w:pPr>
        <w:pStyle w:val="Style26"/>
        <w:jc w:val="both"/>
      </w:pPr>
      <w:r>
        <w:t xml:space="preserve">Приказ Минобрнауки России, Минпросвещения России «О практической подготовке обучающихся» от 5 августа 2020 г. № 885/390 (в действующей редакции). </w:t>
      </w:r>
    </w:p>
    <w:p>
      <w:pPr>
        <w:pStyle w:val="Style26"/>
        <w:jc w:val="both"/>
      </w:pPr>
      <w:r>
        <w:t>Устав федерального государственного бюджетного образовательного учреждения высшего образования «Северо-Осетинский государственный университет имени Коста Левановича Хетагурова» (утвержден приказом Министерства науки и высшего образования Российской Федерации от 28.11.2018 г. № 1069).</w:t>
      </w:r>
    </w:p>
    <w:p>
      <w:pPr>
        <w:pStyle w:val="Style26"/>
        <w:jc w:val="both"/>
      </w:pPr>
      <w:r>
        <w:t>Положение о разработке и реализации основных профессиональных образовательных программ СОГУ, утвержденное приказом № 382 от 28.12.2018 г. (в действующей редакции).</w:t>
      </w:r>
    </w:p>
    <w:p>
      <w:pPr>
        <w:pStyle w:val="Style26"/>
        <w:jc w:val="both"/>
      </w:pPr>
      <w:r>
        <w:t xml:space="preserve">Другие нормативно-методические документы. </w:t>
      </w:r>
    </w:p>
    <w:p>
      <w:pPr>
        <w:pStyle w:val="Heading2"/>
        <w:numPr>
          <w:ilvl w:val="1"/>
          <w:numId w:val="7"/>
        </w:numPr>
        <w:tabs>
          <w:tab w:val="clear" w:pos="708"/>
          <w:tab w:val="left" w:pos="1134" w:leader="none"/>
        </w:tabs>
        <w:ind w:firstLine="709" w:start="0" w:end="0"/>
        <w:rPr>
          <w:lang w:bidi="ru-RU"/>
        </w:rPr>
      </w:pPr>
      <w:bookmarkStart w:id="6" w:name="__RefHeading___Toc146271769"/>
      <w:bookmarkStart w:id="7" w:name="_Hlk58665553_Копия_1"/>
      <w:bookmarkEnd w:id="6"/>
      <w:bookmarkEnd w:id="7"/>
      <w:r>
        <w:rPr/>
        <w:t>Общая характеристика ОПОП ВО</w:t>
      </w:r>
    </w:p>
    <w:p>
      <w:pPr>
        <w:pStyle w:val="Normal"/>
        <w:rPr>
          <w:b/>
          <w:bCs/>
          <w:lang w:bidi="ru-RU"/>
        </w:rPr>
      </w:pPr>
      <w:r>
        <w:t>Программа бакалавриата по направлению подготовки 01.03.01 Математика, профиль «Кибербезопасность», реализуется на государственном языке Российской Федерации – русском языке.</w:t>
      </w:r>
    </w:p>
    <w:p>
      <w:pPr>
        <w:pStyle w:val="Normal"/>
        <w:rPr>
          <w:b/>
          <w:bCs/>
          <w:lang w:bidi="ru-RU"/>
        </w:rPr>
      </w:pPr>
      <w:r>
        <w:rPr>
          <w:b/>
          <w:bCs/>
          <w:lang w:bidi="ru-RU"/>
        </w:rPr>
        <w:t>Квалификация,</w:t>
      </w:r>
      <w:r>
        <w:rPr>
          <w:lang w:bidi="ru-RU"/>
        </w:rPr>
        <w:t xml:space="preserve"> присваиваемая выпускникам ОПОП: бакалавр. </w:t>
      </w:r>
    </w:p>
    <w:p>
      <w:pPr>
        <w:pStyle w:val="Normal"/>
        <w:rPr>
          <w:lang w:bidi="ru-RU"/>
        </w:rPr>
      </w:pPr>
      <w:r>
        <w:rPr>
          <w:b/>
          <w:bCs/>
          <w:lang w:bidi="ru-RU"/>
        </w:rPr>
        <w:t>Программа подготовки:</w:t>
      </w:r>
      <w:r>
        <w:rPr>
          <w:lang w:bidi="ru-RU"/>
        </w:rPr>
        <w:t xml:space="preserve"> академический бакалавриат.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>
          <w:lang w:bidi="ru-RU"/>
        </w:rPr>
        <w:t>При реализации программы бакалавриата организация вправе применять электронное обучение и дистанционные образовательные технологии.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rStyle w:val="21"/>
          <w:b w:val="false"/>
        </w:rPr>
      </w:pPr>
      <w:bookmarkStart w:id="9" w:name="_Hlk58498896_Копия_1"/>
      <w:bookmarkEnd w:id="9"/>
      <w:r>
        <w:rPr>
          <w:b/>
          <w:bCs/>
          <w:color w:val="000000"/>
          <w:szCs w:val="24"/>
          <w:lang w:bidi="ru-RU"/>
        </w:rPr>
        <w:t>Цель ОПОП ВО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t>Целью ОПОП является формирование у студентов универсальных, общепрофессиональных и профессиональных компетенций, в соответствии с требованиями ФГОС ВО по направлению подготовки 01.03.01 Математика, позволяющих выпускнику успешно осуществлять свою профессиональную деятельность в области математического моделирования, вычислительной математики, программирования, а также  проектирования и разработке информационных систем, с учетом требований регионального рынка труда, способности к адаптации в профессиональной среде, потребности к самообразованию и повышению профессиональной квалификации.</w:t>
      </w:r>
    </w:p>
    <w:p>
      <w:pPr>
        <w:pStyle w:val="Normal"/>
        <w:numPr>
          <w:ilvl w:val="2"/>
          <w:numId w:val="4"/>
        </w:numPr>
        <w:tabs>
          <w:tab w:val="clear" w:pos="708"/>
          <w:tab w:val="left" w:pos="1276" w:leader="none"/>
        </w:tabs>
        <w:spacing w:lineRule="auto" w:line="276" w:before="120" w:after="0"/>
        <w:ind w:firstLine="709" w:start="0" w:end="0"/>
        <w:rPr/>
      </w:pPr>
      <w:r>
        <w:rPr>
          <w:b/>
          <w:bCs/>
          <w:color w:val="000000"/>
          <w:szCs w:val="24"/>
          <w:lang w:bidi="ru-RU"/>
        </w:rPr>
        <w:t>Срок освоения ОПОП ВО</w:t>
      </w:r>
    </w:p>
    <w:p>
      <w:pPr>
        <w:pStyle w:val="Normal"/>
        <w:rPr/>
      </w:pPr>
      <w:r>
        <w:rPr/>
        <w:t>Срок получения образования по программе бакалавриата:</w:t>
      </w:r>
    </w:p>
    <w:p>
      <w:pPr>
        <w:pStyle w:val="Normal"/>
        <w:rPr/>
      </w:pPr>
      <w:r>
        <w:rPr/>
        <w:t>в очной форме обучения, включая каникулы, предоставляемые после прохождения государственной итоговой аттестации, вне зависимости от применяемых образовательных технологий, составляет 4 года. Объем программы бакалавриата в очной форме обучения, реализуемый за один учебный год, составляет 60 зачетных единиц (далее – з.е.);</w:t>
      </w:r>
    </w:p>
    <w:p>
      <w:pPr>
        <w:pStyle w:val="Normal"/>
        <w:rPr/>
      </w:pPr>
      <w:r>
        <w:rPr/>
        <w:t xml:space="preserve">при обучении по индивидуальному учебному плану, вне зависимости от формы обучения, составляет не более срока получения образования, установленного для соответствующей формы обучения, а при обучении по индивидуальному плану лиц с ограниченными возможностями здоровья может быть увеличен по их желанию не более чем на 1 год по сравнению со сроком получения образования для соответствующей формы обучения. </w:t>
      </w:r>
    </w:p>
    <w:p>
      <w:pPr>
        <w:pStyle w:val="Normal"/>
        <w:rPr>
          <w:b/>
          <w:bCs/>
          <w:color w:val="000000"/>
          <w:szCs w:val="24"/>
          <w:lang w:bidi="ru-RU"/>
        </w:rPr>
      </w:pPr>
      <w:r>
        <w:rPr/>
        <w:t>Объем программы бакалавриата за один учебный год при обучении по индивидуальному плану (за исключением ускоренного обучения) вне зависимости от формы обучения составляет не более 70 з.е., а при ускоренном обучении – не более 80 з.е.</w:t>
      </w:r>
    </w:p>
    <w:p>
      <w:pPr>
        <w:pStyle w:val="Normal"/>
        <w:numPr>
          <w:ilvl w:val="2"/>
          <w:numId w:val="4"/>
        </w:numPr>
        <w:spacing w:lineRule="auto" w:line="276" w:before="120" w:after="0"/>
        <w:ind w:hanging="567" w:start="1276" w:end="0"/>
        <w:rPr>
          <w:lang w:bidi="ru-RU"/>
        </w:rPr>
      </w:pPr>
      <w:r>
        <w:rPr>
          <w:b/>
          <w:bCs/>
          <w:color w:val="000000"/>
          <w:szCs w:val="24"/>
          <w:lang w:bidi="ru-RU"/>
        </w:rPr>
        <w:t>Трудоемкость ОПОП ВО</w:t>
      </w:r>
    </w:p>
    <w:p>
      <w:pPr>
        <w:pStyle w:val="Normal"/>
        <w:rPr>
          <w:lang w:bidi="ru-RU"/>
        </w:rPr>
      </w:pPr>
      <w:r>
        <w:rPr>
          <w:lang w:bidi="ru-RU"/>
        </w:rPr>
        <w:t>Объем программы бакалавриата составляет 240 зачетных единиц вне зависимости от формы обучения, применяемых образовательных технологий, реализации программы бакалавриата с использованием сетевой формы, реализации программы бакалавриата по индивидуальному учебному плану, в том числе ускоренному обучению.</w:t>
      </w:r>
    </w:p>
    <w:p>
      <w:pPr>
        <w:pStyle w:val="Heading2"/>
        <w:numPr>
          <w:ilvl w:val="1"/>
          <w:numId w:val="1"/>
        </w:numPr>
        <w:ind w:firstLine="709" w:start="0" w:end="0"/>
        <w:rPr>
          <w:lang w:bidi="ru-RU"/>
        </w:rPr>
      </w:pPr>
      <w:bookmarkStart w:id="10" w:name="__RefHeading___Toc146271770"/>
      <w:bookmarkEnd w:id="10"/>
      <w:r>
        <w:rPr/>
        <w:t>1.3. Требования к абитуриенту (бакалавриат)</w:t>
      </w:r>
    </w:p>
    <w:p>
      <w:pPr>
        <w:pStyle w:val="Normal"/>
        <w:rPr>
          <w:lang w:bidi="ru-RU"/>
        </w:rPr>
      </w:pPr>
      <w:r>
        <w:rPr>
          <w:lang w:bidi="ru-RU"/>
        </w:rPr>
        <w:t>Абитуриент должен иметь документ государственного образца о среднем (полном) общем образовании или среднем профессиональном образовании.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11" w:name="__RefHeading___Toc146271771"/>
      <w:bookmarkEnd w:id="11"/>
      <w:r>
        <w:rPr/>
        <w:t>2. Характеристика профессиональной деятельности выпускника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2" w:name="__RefHeading___Toc146271772"/>
      <w:bookmarkEnd w:id="12"/>
      <w:r>
        <w:rPr/>
        <w:t xml:space="preserve">2.1. Области профессиональной деятельности выпускника </w:t>
      </w:r>
    </w:p>
    <w:p>
      <w:pPr>
        <w:pStyle w:val="Normal"/>
        <w:rPr/>
      </w:pPr>
      <w:r>
        <w:rPr/>
        <w:t xml:space="preserve">Основные области профессиональной деятельности и (или) сферы профессиональной деятельности, в которых выпускники, освоившие программу, могут осуществлять профессиональную деятельность: </w:t>
      </w:r>
    </w:p>
    <w:p>
      <w:pPr>
        <w:pStyle w:val="Normal"/>
        <w:rPr>
          <w:highlight w:val="none"/>
          <w:shd w:fill="auto" w:val="clear"/>
        </w:rPr>
      </w:pPr>
      <w:r>
        <w:t>– 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систем);</w:t>
      </w:r>
    </w:p>
    <w:p>
      <w:pPr>
        <w:pStyle w:val="Normal"/>
        <w:rPr>
          <w:highlight w:val="none"/>
          <w:shd w:fill="auto" w:val="clear"/>
        </w:rPr>
      </w:pPr>
      <w:r>
        <w:t>– 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</w:r>
    </w:p>
    <w:p>
      <w:pPr>
        <w:pStyle w:val="Normal"/>
        <w:rPr/>
      </w:pPr>
      <w:bookmarkStart w:id="13" w:name="_Hlk58499252"/>
      <w:bookmarkEnd w:id="13"/>
      <w:r>
        <w:rPr>
          <w:shd w:fill="auto" w:val="clear"/>
        </w:rPr>
        <w:t>Выпускник</w:t>
      </w:r>
      <w:r>
        <w:rPr/>
        <w:t>и также могут осуществлять профессиональную деятельность в других областях профессиональной деятельности и (или) сферах профессиональной деятельности при условии соответствия уровня их образования и полученных компетенций требованиям к квалификации работника.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4" w:name="__RefHeading___Toc146271773"/>
      <w:bookmarkStart w:id="15" w:name="_Hlk58499252_Копия_1"/>
      <w:bookmarkEnd w:id="14"/>
      <w:bookmarkEnd w:id="15"/>
      <w:r>
        <w:rPr/>
        <w:t>2.2. Объекты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sz w:val="24"/>
          <w:szCs w:val="24"/>
          <w:highlight w:val="green"/>
        </w:rPr>
      </w:pPr>
      <w:r>
        <w:rPr/>
        <w:t>Основными объектами профессиональной деятельности выпускников, освоивших программу бакалавриата, являются:</w:t>
      </w:r>
    </w:p>
    <w:p>
      <w:pPr>
        <w:pStyle w:val="Style38"/>
      </w:pPr>
      <w:r>
        <w:t xml:space="preserve">математические и компьютерные модели; </w:t>
      </w:r>
    </w:p>
    <w:p>
      <w:pPr>
        <w:pStyle w:val="Style38"/>
      </w:pPr>
      <w:r>
        <w:t xml:space="preserve">математические и компьютерные методы обработки и анализа данных; </w:t>
      </w:r>
    </w:p>
    <w:p>
      <w:pPr>
        <w:pStyle w:val="Style38"/>
      </w:pPr>
      <w:r>
        <w:t xml:space="preserve">алгоритмы, вычислительные модели и методы, модели данных; </w:t>
      </w:r>
    </w:p>
    <w:p>
      <w:pPr>
        <w:pStyle w:val="Style38"/>
      </w:pPr>
      <w:r>
        <w:t xml:space="preserve">прикладное программное обеспечение; </w:t>
      </w:r>
    </w:p>
    <w:p>
      <w:pPr>
        <w:pStyle w:val="Style38"/>
      </w:pPr>
      <w:r>
        <w:t xml:space="preserve">методы и инструменты разработки программного обеспечения. </w:t>
      </w:r>
    </w:p>
    <w:p>
      <w:pPr>
        <w:pStyle w:val="Style38"/>
      </w:pPr>
      <w:r>
        <w:t xml:space="preserve">информационные и интеллектуальные системы. 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16" w:name="__RefHeading___Toc146271774"/>
      <w:bookmarkEnd w:id="16"/>
      <w:r>
        <w:rPr/>
        <w:t>2.3. Типы задач и задачи профессиональной деятельности выпускника</w:t>
      </w:r>
    </w:p>
    <w:p>
      <w:pPr>
        <w:pStyle w:val="Normal"/>
        <w:rPr>
          <w:rFonts w:ascii="Times New Roman" w:hAnsi="Times New Roman" w:cs="Times New Roman"/>
          <w:b/>
          <w:i/>
          <w:i/>
          <w:sz w:val="24"/>
          <w:szCs w:val="24"/>
          <w:shd w:fill="FFFFFF" w:val="clear"/>
        </w:rPr>
      </w:pPr>
      <w:bookmarkStart w:id="17" w:name="_Hlk58499435"/>
      <w:bookmarkEnd w:id="17"/>
      <w:r>
        <w:rPr/>
        <w:t>В рамках освоения программы бакалавриата выпускники готовятся к решению задач профессиональной деятельности следующих типов: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 xml:space="preserve">Научно-исследовательский: </w:t>
      </w:r>
    </w:p>
    <w:p>
      <w:pPr>
        <w:pStyle w:val="Style38"/>
        <w:jc w:val="both"/>
      </w:pPr>
      <w:r>
        <w:t>–</w:t>
        <w:tab/>
        <w:t>участие в научно-исследовательских проектах в соответствии с профилем объекта профессиональной деятельности;</w:t>
      </w:r>
    </w:p>
    <w:p>
      <w:pPr>
        <w:pStyle w:val="Style38"/>
        <w:jc w:val="both"/>
      </w:pPr>
      <w:r>
        <w:t>– применение наукоемких технологий и пакетов программ для решения прикладных задач в естественных науках, промышленности и бизнесе;</w:t>
      </w:r>
    </w:p>
    <w:p>
      <w:pPr>
        <w:pStyle w:val="Style38"/>
        <w:jc w:val="both"/>
      </w:pPr>
      <w:r>
        <w:t xml:space="preserve">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b w:val="false"/>
          <w:bCs w:val="false"/>
          <w:i w:val="false"/>
          <w:i w:val="false"/>
          <w:iCs w:val="false"/>
        </w:rPr>
      </w:pPr>
      <w:r>
        <w:t>Проектный:</w:t>
      </w:r>
    </w:p>
    <w:p>
      <w:pPr>
        <w:pStyle w:val="Normal"/>
      </w:pPr>
      <w:r>
        <w:t>− разработка архитектуры, алгоритмических и программных решений прикладного программного обеспечения;</w:t>
      </w:r>
    </w:p>
    <w:p>
      <w:pPr>
        <w:pStyle w:val="Normal"/>
      </w:pPr>
      <w:r>
        <w:t>–</w:t>
        <w:tab/>
        <w:t xml:space="preserve">изучение и использование различных языков программирования, алгоритмов, библиотек и пакетов программ при разработке программного обеспечения; </w:t>
      </w:r>
    </w:p>
    <w:p>
      <w:pPr>
        <w:pStyle w:val="Style38"/>
        <w:tabs>
          <w:tab w:val="clear" w:pos="708"/>
          <w:tab w:val="left" w:pos="993" w:leader="none"/>
        </w:tabs>
        <w:ind w:firstLine="709" w:end="0"/>
        <w:rPr>
          <w:i w:val="false"/>
          <w:i w:val="false"/>
          <w:iCs w:val="false"/>
        </w:rPr>
      </w:pPr>
      <w:r>
        <w:t xml:space="preserve">Производственно-технологический: </w:t>
      </w:r>
    </w:p>
    <w:p>
      <w:pPr>
        <w:pStyle w:val="Style38"/>
        <w:jc w:val="both"/>
      </w:pPr>
      <w:r>
        <w:t>–</w:t>
        <w:tab/>
        <w:t xml:space="preserve">разработка программного и информационного обеспечения компьютерных систем, автоматизированных систем, сервисов и распределенных баз данных. </w:t>
      </w:r>
    </w:p>
    <w:p>
      <w:pPr>
        <w:pStyle w:val="Style38"/>
        <w:jc w:val="both"/>
      </w:pPr>
      <w:r>
        <w:t xml:space="preserve"> </w:t>
      </w:r>
    </w:p>
    <w:p>
      <w:pPr>
        <w:pStyle w:val="Heading2"/>
        <w:numPr>
          <w:ilvl w:val="1"/>
          <w:numId w:val="1"/>
        </w:numPr>
        <w:ind w:firstLine="709" w:start="0" w:end="0"/>
        <w:jc w:val="both"/>
        <w:rPr>
          <w:szCs w:val="24"/>
          <w:shd w:fill="FFFFFF" w:val="clear"/>
        </w:rPr>
      </w:pPr>
      <w:bookmarkStart w:id="18" w:name="__RefHeading___Toc146271775"/>
      <w:bookmarkEnd w:id="18"/>
      <w:r>
        <w:rPr>
          <w:shd w:fill="FFFFFF" w:val="clear"/>
        </w:rPr>
        <w:t>2.4. Профессиональные стандарты,</w:t>
      </w:r>
      <w:r>
        <w:rPr/>
        <w:t xml:space="preserve"> соответствующие профессиональной деят</w:t>
      </w:r>
      <w:r>
        <w:rPr>
          <w:shd w:fill="auto" w:val="clear"/>
        </w:rPr>
        <w:t>ельности выпускника: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09" w:start="0" w:end="0"/>
        <w:rPr>
          <w:highlight w:val="none"/>
          <w:shd w:fill="auto" w:val="clear"/>
        </w:rPr>
      </w:pPr>
      <w:r>
        <w:t>профессиональный стандарт 06.001. Программист (утвержден приказом Министерства труда и социальной защиты РФ от 22.07.2022 № 424н);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06.015. Специалист по информационным системам (утвержден приказом Министерства труда и социальной защиты РФ от 18.11.2014 № 896н (ред. от 12.12.2016));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993" w:leader="none"/>
        </w:tabs>
        <w:ind w:firstLine="720" w:start="0" w:end="0"/>
        <w:rPr>
          <w:highlight w:val="none"/>
          <w:shd w:fill="auto" w:val="clear"/>
        </w:rPr>
      </w:pPr>
      <w:r>
        <w:t>профессиональный стандарт 40.011. Специалист по научно-исследовательским и опытно-конструкторским разработкам (утвержден приказом Министерства труда и социальной защиты РФ от 4.03.2014 № 121н (ред. от 12.12.2016)).</w:t>
      </w:r>
    </w:p>
    <w:p>
      <w:pPr>
        <w:pStyle w:val="Normal"/>
        <w:rPr/>
      </w:pPr>
      <w:bookmarkStart w:id="20" w:name="_Hlk146273380"/>
      <w:bookmarkEnd w:id="20"/>
      <w:r>
        <w:rPr>
          <w:shd w:fill="auto" w:val="clear"/>
        </w:rPr>
        <w:t>В соответствии с основн</w:t>
      </w:r>
      <w:r>
        <w:rPr/>
        <w:t xml:space="preserve">ыми областями профессиональной деятельности ОПОП ВО, в которых выпускники, освоившие программу, могут осуществлять профессиональную деятельность и выбранными профессиональными стандартами выпускник готовиться к выполнению следующих обобщенных трудовых функций: </w:t>
      </w:r>
    </w:p>
    <w:p>
      <w:pPr>
        <w:pStyle w:val="Normal"/>
        <w:rPr/>
      </w:pPr>
      <w:r>
        <w:rPr/>
      </w:r>
      <w:bookmarkStart w:id="21" w:name="_Hlk146273380_Копия_1"/>
      <w:bookmarkStart w:id="22" w:name="_Hlk146273380_Копия_1"/>
      <w:bookmarkEnd w:id="22"/>
    </w:p>
    <w:tbl>
      <w:tblPr>
        <w:tblW w:w="957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84"/>
        <w:gridCol w:w="3026"/>
        <w:gridCol w:w="2919"/>
        <w:gridCol w:w="1249"/>
      </w:tblGrid>
      <w:tr>
        <w:trPr/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bookmarkStart w:id="23" w:name="_Hlk146273423"/>
            <w:bookmarkEnd w:id="23"/>
            <w:r>
              <w:rPr>
                <w:color w:val="26282F"/>
                <w:sz w:val="22"/>
              </w:rPr>
              <w:t>Профессиональный стандарт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Обобщенные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Трудовые функции</w:t>
            </w:r>
          </w:p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(код и наименование)</w:t>
            </w:r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center"/>
              <w:rPr>
                <w:color w:val="26282F"/>
                <w:sz w:val="22"/>
              </w:rPr>
            </w:pPr>
            <w:r>
              <w:rPr>
                <w:color w:val="26282F"/>
                <w:sz w:val="22"/>
              </w:rPr>
              <w:t>Уровень квалификации</w:t>
            </w:r>
          </w:p>
        </w:tc>
      </w:tr>
      <w:tr>
        <w:trPr>
          <w:trHeight w:val="870" w:hRule="atLeast"/>
        </w:trPr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/>
            </w:pPr>
            <w:r>
              <w:rPr>
                <w:color w:val="26282F"/>
                <w:sz w:val="22"/>
              </w:rPr>
              <w:t>Область профессиональной деятельности:</w:t>
            </w:r>
            <w:r>
              <w:rPr>
                <w:i/>
                <w:iCs/>
                <w:color w:val="26282F"/>
                <w:sz w:val="22"/>
              </w:rPr>
              <w:t xml:space="preserve"> </w:t>
            </w:r>
            <w:r>
              <w:rPr>
                <w:i/>
                <w:iCs/>
                <w:sz w:val="22"/>
              </w:rPr>
              <w:t>06 Связь, информационные и коммуникационные технологии (в сфере проектирования, разработки и тестирования программного обеспечения, в сфере разработки и обслуживания информационных систем)</w:t>
            </w:r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06.001. Программист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D. Разработка требований и проектирование программного обеспечения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>
          <w:trHeight w:val="274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06.015. Специалист по информационным системам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C. Выполнение работ и управление работами по созданию (модификации) и сопровождению ИС, автоматизирующих задачи организационного управления и бизнес-процессы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57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93" w:leader="none"/>
              </w:tabs>
              <w:ind w:hanging="0" w:start="0" w:end="0"/>
              <w:jc w:val="start"/>
              <w:rPr>
                <w:highlight w:val="none"/>
                <w:shd w:fill="auto" w:val="clear"/>
              </w:rPr>
            </w:pPr>
            <w:r>
              <w:rPr>
                <w:color w:val="26282F"/>
                <w:sz w:val="22"/>
                <w:shd w:fill="auto" w:val="clear"/>
              </w:rPr>
              <w:t xml:space="preserve">Область профессиональной деятельности: </w:t>
            </w:r>
            <w:r>
              <w:rPr>
                <w:i/>
                <w:iCs/>
                <w:sz w:val="22"/>
                <w:shd w:fill="auto" w:val="clear"/>
              </w:rPr>
              <w:t>40 Сквозные виды профессиональной деятельности в промышленности (в сфере научно-исследовательских разработок и опытно-конструкторских разработок).</w:t>
            </w:r>
          </w:p>
        </w:tc>
      </w:tr>
      <w:tr>
        <w:trPr>
          <w:trHeight w:val="458" w:hRule="atLeast"/>
        </w:trPr>
        <w:tc>
          <w:tcPr>
            <w:tcW w:w="23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40.011. Специалист по научно-исследовательским и опытно-конструкторским разработкам</w:t>
            </w:r>
          </w:p>
        </w:tc>
        <w:tc>
          <w:tcPr>
            <w:tcW w:w="30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A. Проведение научно-исследовательских и опытно-конструкторских разработок по отдельным разделам темы</w:t>
            </w:r>
          </w:p>
        </w:tc>
        <w:tc>
          <w:tcPr>
            <w:tcW w:w="2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1134" w:leader="none"/>
        </w:tabs>
        <w:spacing w:before="240" w:after="120"/>
        <w:ind w:hanging="0" w:start="851" w:end="851"/>
        <w:rPr/>
      </w:pPr>
      <w:bookmarkStart w:id="24" w:name="__RefHeading___Toc146271776"/>
      <w:bookmarkEnd w:id="24"/>
      <w:r>
        <w:rPr/>
        <w:t>3. Компетенции выпускника, формируемые в результате освоения данной ОПОП ВО</w:t>
      </w:r>
    </w:p>
    <w:p>
      <w:pPr>
        <w:pStyle w:val="Normal"/>
        <w:rPr/>
      </w:pPr>
      <w:r>
        <w:rPr/>
        <w:t xml:space="preserve">Результаты освоения ОПОП бакалавриата определяются приобретаемыми выпускником компетенциями, т.е. его способностью применять знания, умения и личные качества в соответствии с задачами профессиональной деятельности. </w:t>
      </w:r>
    </w:p>
    <w:p>
      <w:pPr>
        <w:pStyle w:val="Normal"/>
        <w:rPr/>
      </w:pPr>
      <w:r>
        <w:rPr/>
        <w:t xml:space="preserve">В результате освоения данной ОПОП бакалавриата выпускник должен обладать следующими компетенциями: </w:t>
      </w:r>
    </w:p>
    <w:p>
      <w:pPr>
        <w:pStyle w:val="Normal"/>
        <w:spacing w:before="0" w:after="120"/>
        <w:rPr>
          <w:bCs/>
          <w:szCs w:val="24"/>
        </w:rPr>
      </w:pPr>
      <w:r>
        <w:rPr/>
        <w:t>а) универсальные компетенции выпускников и индикаторы их достижения:</w:t>
      </w:r>
    </w:p>
    <w:tbl>
      <w:tblPr>
        <w:tblW w:w="974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51"/>
        <w:gridCol w:w="2552"/>
        <w:gridCol w:w="5244"/>
      </w:tblGrid>
      <w:tr>
        <w:trPr>
          <w:trHeight w:val="776" w:hRule="atLeast"/>
        </w:trPr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Наименование категории универсальных компетенций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универсальной компетенции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Код и наименование индикатора достижения универсальной компетенции</w:t>
            </w:r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УК-1 -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УК-2 -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УК-3 - Способен осуществлять социальное взаимодействие и реализовывать свою роль в команде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УК-4 -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УК-5 - Способен воспринимать межкультурное разнообразие общества в социально-историческом, этическом и философском контекстах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УК-6 - Способен управлять своим временем, выстраивать и реализовывать траекторию саморазвития на основе принципов образования в течение всей жизни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УК-7 -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УК-8 - Способен создавать и поддерживать безопасные условия жизнедеятельности, в том числе при возникновении чрезвычайных ситуаций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УК-9 -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УК-10 - Способен формировать нетерпимое отношение к коррупционному поведению</w:t>
            </w:r>
          </w:p>
        </w:tc>
        <w:tc>
          <w:tcPr>
            <w:tcW w:w="5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120" w:after="120"/>
        <w:ind w:firstLine="142" w:start="0" w:end="0"/>
        <w:rPr>
          <w:rFonts w:eastAsia="Calibri"/>
          <w:bCs/>
          <w:i/>
          <w:i/>
          <w:color w:val="000000"/>
          <w:szCs w:val="24"/>
          <w:lang w:eastAsia="en-US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б) Общепрофессиональные компетенции выпускников и индикаторы их достижения:</w:t>
      </w:r>
    </w:p>
    <w:tbl>
      <w:tblPr>
        <w:tblW w:w="9781" w:type="dxa"/>
        <w:jc w:val="start"/>
        <w:tblInd w:w="-80" w:type="dxa"/>
        <w:tblLayout w:type="fixed"/>
        <w:tblCellMar>
          <w:top w:w="102" w:type="dxa"/>
          <w:start w:w="62" w:type="dxa"/>
          <w:bottom w:w="102" w:type="dxa"/>
          <w:end w:w="62" w:type="dxa"/>
        </w:tblCellMar>
      </w:tblPr>
      <w:tblGrid>
        <w:gridCol w:w="1972"/>
        <w:gridCol w:w="2706"/>
        <w:gridCol w:w="5103"/>
      </w:tblGrid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>
                <w:color w:val="1C1C1C"/>
              </w:rPr>
            </w:pPr>
            <w:r>
              <w:rPr>
                <w:color w:val="1C1C1C"/>
              </w:rPr>
              <w:t>Наименование категории общепрофессиональных компетенций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 общепрофессиональной компетенции выпускника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Код и наименование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индикатора достижения</w:t>
            </w:r>
          </w:p>
          <w:p>
            <w:pPr>
              <w:pStyle w:val="Normal"/>
              <w:ind w:hanging="11" w:start="11" w:end="0"/>
              <w:jc w:val="center"/>
              <w:rPr/>
            </w:pPr>
            <w:r>
              <w:rPr/>
              <w:t>общепрофессиональной компетенции</w:t>
            </w:r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ОПК-1 - 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ОПК-2 - Способен разрабатывать, анализировать и внедрять новые математические модели в современных естествознании, технике, экономике и управлении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ОПК-3 - Способен использовать в педагогической деятельности научные знания в сфере математики и информатики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ОПК-4 - Способен решать задачи профессиональной деятельности с использованием существующих информационно-коммуникационных технологий и с учетом основных требований информационной безопасности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ОПК-5 - Способен разрабатывать алгоритмы и компьютерные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ОПК-6 - Способен разрабатывать бизнес-планы и технические задания на оснащение отделов, лабораторий, офисов компьютерным и сетевым оборудованием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ОПК-7 - Способен участвовать в настройке и наладке программно-аппаратных комплексов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ОПК-8 - Способен разрабатывать алгоритмы и программы, пригодные для практического применения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ОПК-9 - Способен осваивать методики использования программных средств для решения практических задач</w:t>
            </w:r>
          </w:p>
        </w:tc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Normal"/>
        <w:spacing w:before="0" w:after="120"/>
        <w:rPr>
          <w:rFonts w:eastAsia="Calibri"/>
          <w:sz w:val="20"/>
          <w:szCs w:val="20"/>
        </w:rPr>
      </w:pPr>
      <w:r>
        <w:rPr>
          <w:rFonts w:eastAsia="Calibri"/>
          <w:bCs/>
          <w:i/>
          <w:color w:val="000000"/>
          <w:szCs w:val="24"/>
          <w:lang w:eastAsia="en-US"/>
        </w:rPr>
        <w:t>в) Обязательные профессиональные компетенции выпускников и индикаторы их достижения:</w:t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84"/>
        <w:gridCol w:w="2057"/>
        <w:gridCol w:w="2174"/>
        <w:gridCol w:w="2060"/>
        <w:gridCol w:w="1679"/>
      </w:tblGrid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Задача ПД</w:t>
            </w:r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Объект или область знания</w:t>
            </w:r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профессиональной компетенции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 w:end="0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Код и наименование индикатора достижения профессиональной компетенции</w:t>
            </w:r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0" w:start="0" w:end="0"/>
              <w:jc w:val="start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Основание (ПС, анализ опыта)</w:t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Научно-исследовательский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ПК-1 -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ПК-4 - Способен использовать педагогически обоснованные формы, методы и приемы организации деятельности обучающихся, применять современные технические средства обучения и образовательные технологии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Проектный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ПК-2 - Способен к программной реализации алгоритмов решения типовых задач обеспечения информационной безопасности и к применению программных средств системного, прикладного и специального назначения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ПК-5 - Способен администрировать средства защиты информации в компьютерных системах и сетях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Тип задач профессиональной деятельности: Производственно-технологический</w:t>
            </w:r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ПК-3 - Способен проводить научно-исследовательские и опытно-конструкторские разработки по отдельным разделам темы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  <w:tr>
        <w:trPr/>
        <w:tc>
          <w:tcPr>
            <w:tcW w:w="1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0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21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t>ПК-6 - Способен создавать и исследовать новые математические модели в промышленности и бизнесе, в том числе с использованием современных информационных технологий и программирования</w:t>
            </w:r>
          </w:p>
        </w:tc>
        <w:tc>
          <w:tcPr>
            <w:tcW w:w="2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  <w:tc>
          <w:tcPr>
            <w:tcW w:w="16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/>
          </w:p>
        </w:tc>
      </w:tr>
    </w:tbl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spacing w:before="240" w:after="120"/>
        <w:ind w:hanging="0" w:start="709" w:end="707"/>
        <w:rPr/>
      </w:pPr>
      <w:bookmarkStart w:id="25" w:name="__RefHeading___Toc146271777"/>
      <w:bookmarkEnd w:id="25"/>
      <w:r>
        <w:rPr/>
        <w:t>4. Документы, регламентирующие содержание и организацию образовательного процесса при реализации ОПОП ВО</w:t>
      </w:r>
    </w:p>
    <w:p>
      <w:pPr>
        <w:pStyle w:val="Normal"/>
        <w:rPr>
          <w:shd w:fill="FFFFFF" w:val="clear"/>
        </w:rPr>
      </w:pPr>
      <w:r>
        <w:t xml:space="preserve">В соответствии с ФГОС ВО бакалавриата по направлению подготовки 01.03.01 Математика содержание и организация образовательного процесса при реализации данной ОПОП регламентируется учебным планом бакалавра с учетом его профиля; рабочими программами учебных курсов, предметов, дисциплин (модулей); материалами, обеспечивающими качество подготовки и воспитания обучающихся; программами учебных и производственных практик; календарным учебным графиком, а также методическими материалами, обеспечивающими реализацию соответствующих образовательных технологий.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26" w:name="__RefHeading___Toc146271778"/>
      <w:bookmarkEnd w:id="26"/>
      <w:r>
        <w:rPr>
          <w:shd w:fill="FFFFFF" w:val="clear"/>
        </w:rPr>
        <w:t xml:space="preserve">4.1. Учебный план </w:t>
      </w:r>
    </w:p>
    <w:p>
      <w:pPr>
        <w:pStyle w:val="Normal"/>
        <w:rPr/>
      </w:pPr>
      <w:r>
        <w:rPr/>
        <w:t>В учебном плане отражена логическая последовательность освоения циклов и разделов ОПОП (дисциплин, модулей, практик), обеспечивающих формирование универсальных, общепрофессиональных и профессиональных компетенций; указана общая трудоемкость дисциплин, модулей, практик в зачетных единицах, а также их общая и аудиторная трудоемкость в часах; виды учебной работы и формы промежуточной аттестации.</w:t>
      </w:r>
    </w:p>
    <w:p>
      <w:pPr>
        <w:pStyle w:val="Normal"/>
        <w:rPr/>
      </w:pPr>
      <w:r>
        <w:rPr/>
        <w:t xml:space="preserve">Основная образовательная программа бакалавриата предусматривает изучение следующих учебных циклов: 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/>
        <w:t>Б1</w:t>
        <w:tab/>
        <w:t>Блок 1 «Дисциплины (модули)»: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Б1.О. Обязательная часть Блока 1;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Б1.В.</w:t>
      </w:r>
      <w:r>
        <w:rPr>
          <w:szCs w:val="24"/>
        </w:rPr>
        <w:tab/>
      </w:r>
      <w:r>
        <w:rPr>
          <w:bCs/>
          <w:iCs/>
          <w:szCs w:val="24"/>
        </w:rPr>
        <w:t>Часть Блока 1,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iCs/>
          <w:szCs w:val="24"/>
        </w:rPr>
      </w:pPr>
      <w:r>
        <w:rPr>
          <w:bCs/>
          <w:szCs w:val="24"/>
        </w:rPr>
        <w:t>Б2</w:t>
      </w:r>
      <w:r>
        <w:rPr>
          <w:szCs w:val="24"/>
        </w:rPr>
        <w:tab/>
      </w:r>
      <w:r>
        <w:rPr>
          <w:bCs/>
          <w:szCs w:val="24"/>
        </w:rPr>
        <w:t>Блок 2. «</w:t>
      </w:r>
      <w:r>
        <w:rPr/>
        <w:t>Практика</w:t>
      </w:r>
      <w:r>
        <w:rPr>
          <w:bCs/>
          <w:szCs w:val="24"/>
        </w:rPr>
        <w:t>»: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iCs/>
          <w:szCs w:val="24"/>
        </w:rPr>
      </w:pPr>
      <w:r>
        <w:rPr>
          <w:bCs/>
          <w:iCs/>
          <w:szCs w:val="24"/>
        </w:rPr>
        <w:t>Б2.О.</w:t>
      </w:r>
      <w:r>
        <w:rPr>
          <w:szCs w:val="24"/>
        </w:rPr>
        <w:tab/>
      </w:r>
      <w:r>
        <w:rPr>
          <w:bCs/>
          <w:iCs/>
          <w:szCs w:val="24"/>
        </w:rPr>
        <w:t>Обязательная часть Блока 2;</w:t>
      </w:r>
    </w:p>
    <w:p>
      <w:pPr>
        <w:pStyle w:val="Normal"/>
        <w:tabs>
          <w:tab w:val="clear" w:pos="708"/>
          <w:tab w:val="left" w:pos="1701" w:leader="none"/>
        </w:tabs>
        <w:spacing w:lineRule="auto" w:line="276"/>
        <w:ind w:firstLine="709" w:start="426" w:end="0"/>
        <w:rPr>
          <w:bCs/>
          <w:szCs w:val="24"/>
        </w:rPr>
      </w:pPr>
      <w:r>
        <w:rPr>
          <w:bCs/>
          <w:iCs/>
          <w:szCs w:val="24"/>
        </w:rPr>
        <w:t>Б2.В.</w:t>
        <w:tab/>
        <w:t>Часть Блока 2, формируемая участниками образовательных отношений.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  <w:t>Б3</w:t>
      </w:r>
      <w:r>
        <w:rPr>
          <w:szCs w:val="24"/>
        </w:rPr>
        <w:tab/>
      </w:r>
      <w:r>
        <w:rPr>
          <w:bCs/>
          <w:szCs w:val="24"/>
        </w:rPr>
        <w:t xml:space="preserve">Блок 3. «Государственная </w:t>
      </w:r>
      <w:r>
        <w:rPr/>
        <w:t>итоговая</w:t>
      </w:r>
      <w:r>
        <w:rPr>
          <w:szCs w:val="24"/>
        </w:rPr>
        <w:t xml:space="preserve"> </w:t>
      </w:r>
      <w:r>
        <w:rPr>
          <w:bCs/>
          <w:szCs w:val="24"/>
        </w:rPr>
        <w:t>аттестация».</w:t>
      </w:r>
    </w:p>
    <w:p>
      <w:pPr>
        <w:pStyle w:val="Normal"/>
        <w:tabs>
          <w:tab w:val="clear" w:pos="708"/>
          <w:tab w:val="left" w:pos="1134" w:leader="none"/>
        </w:tabs>
        <w:rPr>
          <w:bCs/>
          <w:szCs w:val="24"/>
        </w:rPr>
      </w:pPr>
      <w:r>
        <w:rPr>
          <w:bCs/>
          <w:szCs w:val="24"/>
        </w:rPr>
      </w:r>
    </w:p>
    <w:tbl>
      <w:tblPr>
        <w:tblW w:w="8924" w:type="dxa"/>
        <w:jc w:val="start"/>
        <w:tblInd w:w="817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40"/>
        <w:gridCol w:w="1583"/>
        <w:gridCol w:w="2101"/>
      </w:tblGrid>
      <w:tr>
        <w:trPr/>
        <w:tc>
          <w:tcPr>
            <w:tcW w:w="52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  <w:p>
            <w:pPr>
              <w:pStyle w:val="Normal"/>
              <w:spacing w:lineRule="auto" w:line="276"/>
              <w:ind w:firstLine="41" w:start="0" w:end="0"/>
              <w:jc w:val="center"/>
              <w:rPr>
                <w:bCs/>
                <w:szCs w:val="24"/>
              </w:rPr>
            </w:pPr>
            <w:r>
              <w:rPr>
                <w:bCs/>
                <w:szCs w:val="24"/>
              </w:rPr>
              <w:t>Структура программы бакалавриата</w:t>
            </w:r>
          </w:p>
        </w:tc>
        <w:tc>
          <w:tcPr>
            <w:tcW w:w="368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jc w:val="start"/>
              <w:rPr>
                <w:bCs/>
                <w:szCs w:val="24"/>
              </w:rPr>
            </w:pPr>
            <w:r>
              <w:rPr>
                <w:bCs/>
                <w:szCs w:val="24"/>
              </w:rPr>
              <w:t>Объем программы бакалавриата и ее блоков в з.е.</w:t>
            </w:r>
          </w:p>
        </w:tc>
      </w:tr>
      <w:tr>
        <w:trPr/>
        <w:tc>
          <w:tcPr>
            <w:tcW w:w="52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фактически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по стандарту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1 «Дисциплины (модули)»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block_1_credits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165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Cs/>
                <w:szCs w:val="24"/>
              </w:rPr>
            </w:pPr>
            <w:r>
              <w:rPr>
                <w:bCs/>
                <w:szCs w:val="24"/>
              </w:rPr>
              <w:t>Блок 2 «Практика»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block_2_credits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15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/>
            </w:pPr>
            <w:r>
              <w:rPr>
                <w:bCs/>
                <w:szCs w:val="24"/>
              </w:rPr>
              <w:t>Блок 3 «Государственная итоговая</w:t>
            </w:r>
            <w:r>
              <w:rPr>
                <w:szCs w:val="24"/>
              </w:rPr>
              <w:t xml:space="preserve"> </w:t>
            </w:r>
            <w:r>
              <w:rPr>
                <w:bCs/>
                <w:szCs w:val="24"/>
              </w:rPr>
              <w:t>аттестация»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{{</w:t>
            </w:r>
            <w:r>
              <w:rPr>
                <w:rFonts w:ascii="Consolas;Courier New;monospace" w:hAnsi="Consolas;Courier New;monospace"/>
                <w:b w:val="false"/>
                <w:bCs/>
                <w:color w:val="111111"/>
                <w:sz w:val="21"/>
                <w:szCs w:val="24"/>
                <w:shd w:fill="FF0000" w:val="clear"/>
                <w:lang w:val="en-US"/>
              </w:rPr>
              <w:t>block_3_credits</w:t>
            </w:r>
          </w:p>
          <w:p>
            <w:pPr>
              <w:pStyle w:val="Normal"/>
              <w:spacing w:lineRule="auto" w:line="276"/>
              <w:ind w:hanging="0" w:start="0" w:end="343"/>
              <w:jc w:val="end"/>
              <w:rPr>
                <w:highlight w:val="none"/>
                <w:shd w:fill="FF0000" w:val="clear"/>
              </w:rPr>
            </w:pPr>
            <w:r>
              <w:rPr>
                <w:bCs/>
                <w:color w:val="111111"/>
                <w:szCs w:val="24"/>
                <w:shd w:fill="FF0000" w:val="clear"/>
                <w:lang w:val="en-US"/>
              </w:rPr>
              <w:t>}}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Cs/>
                <w:szCs w:val="24"/>
              </w:rPr>
            </w:pPr>
            <w:r>
              <w:rPr>
                <w:bCs/>
                <w:szCs w:val="24"/>
              </w:rPr>
              <w:t>не менее 3</w:t>
            </w:r>
          </w:p>
        </w:tc>
      </w:tr>
      <w:tr>
        <w:trPr/>
        <w:tc>
          <w:tcPr>
            <w:tcW w:w="5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Объем программы бакалавриата</w:t>
            </w:r>
          </w:p>
        </w:tc>
        <w:tc>
          <w:tcPr>
            <w:tcW w:w="1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43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  <w:tc>
          <w:tcPr>
            <w:tcW w:w="2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ind w:firstLine="41" w:start="0" w:end="312"/>
              <w:jc w:val="end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240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lineRule="auto" w:line="276"/>
        <w:rPr>
          <w:szCs w:val="24"/>
        </w:rPr>
      </w:pPr>
      <w:r>
        <w:rPr>
          <w:szCs w:val="24"/>
        </w:rPr>
      </w:r>
    </w:p>
    <w:p>
      <w:pPr>
        <w:pStyle w:val="Normal"/>
        <w:rPr/>
      </w:pPr>
      <w:r>
        <w:rPr/>
        <w:t xml:space="preserve">Объем обязательной части, без учета объема государственной итоговой аттестации, составляет </w:t>
      </w:r>
      <w:r>
        <w:rPr>
          <w:color w:val="111111"/>
          <w:shd w:fill="FF0000" w:val="clear"/>
          <w:lang w:val="en-US"/>
        </w:rPr>
        <w:t>{{volume_excluding_state_final_attestation}}</w:t>
      </w:r>
      <w:r>
        <w:rPr>
          <w:color w:val="111111"/>
          <w:shd w:fill="FFFFFF" w:val="clear"/>
        </w:rPr>
        <w:t>%</w:t>
      </w:r>
      <w:r>
        <w:rPr/>
        <w:t xml:space="preserve"> общего объема программы бакалавриата. </w:t>
      </w:r>
    </w:p>
    <w:p>
      <w:pPr>
        <w:pStyle w:val="Normal"/>
        <w:rPr>
          <w:shd w:fill="FFFFFF" w:val="clear"/>
        </w:rPr>
      </w:pPr>
      <w:r>
        <w:rPr/>
        <w:t>ФГБОУ ВО «СОГУ» предоставляет инвалидам и лицам с ОВЗ, по их заявлению, возможность обучения по программе бакалавриата, учитывающую особенности их психофизического развития, индивидуальные возможности и при необходимости обеспечивающую коррекцию нарушений развития и социальную адаптацию указанных лиц.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7" w:name="__RefHeading___Toc146271779"/>
      <w:bookmarkEnd w:id="27"/>
      <w:r>
        <w:rPr>
          <w:shd w:fill="FFFFFF" w:val="clear"/>
        </w:rPr>
        <w:t>4.2. Календарный учебный график</w:t>
      </w:r>
    </w:p>
    <w:p>
      <w:pPr>
        <w:pStyle w:val="Normal"/>
        <w:rPr>
          <w:shd w:fill="FFFFFF" w:val="clear"/>
        </w:rPr>
      </w:pPr>
      <w:bookmarkStart w:id="28" w:name="_Hlk58500628"/>
      <w:bookmarkEnd w:id="28"/>
      <w:r>
        <w:rPr>
          <w:shd w:fill="FFFFFF" w:val="clear"/>
        </w:rPr>
        <w:t>В календарном учебном графике указана последовательность реализации ОПОП ВО по годам, включая теоретическое обучение, экзаменационные сессии, практики, государственную итоговую аттестацию, каникулы.</w:t>
      </w:r>
    </w:p>
    <w:p>
      <w:pPr>
        <w:pStyle w:val="Heading2"/>
        <w:numPr>
          <w:ilvl w:val="1"/>
          <w:numId w:val="1"/>
        </w:numPr>
        <w:ind w:firstLine="709" w:start="0" w:end="0"/>
        <w:rPr>
          <w:shd w:fill="FFFFFF" w:val="clear"/>
        </w:rPr>
      </w:pPr>
      <w:bookmarkStart w:id="29" w:name="__RefHeading___Toc146271780"/>
      <w:bookmarkStart w:id="30" w:name="_Hlk58500628_Копия_1"/>
      <w:bookmarkEnd w:id="29"/>
      <w:bookmarkEnd w:id="30"/>
      <w:r>
        <w:rPr>
          <w:shd w:fill="FFFFFF" w:val="clear"/>
        </w:rPr>
        <w:t>4.3. Рабочие программы учебных дисциплин (модулей)</w:t>
      </w:r>
      <w:r>
        <w:rPr/>
        <w:t xml:space="preserve"> 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>В состав ОПОП ВО входят рабочие программы всех учебных дисциплин (модулей) учебного плана. Рабочие программы определяют содержание дисциплин (модулей) в целом и каждого занятия в отдельности, тип и форму проведения занятий, распределение самостоятельной работы обучающихся, форму проведения текущего и промежуточного контроля, результаты освоения дисциплин (модулей) и др.</w:t>
      </w:r>
    </w:p>
    <w:p>
      <w:pPr>
        <w:pStyle w:val="Normal"/>
        <w:rPr>
          <w:shd w:fill="FFFFFF" w:val="clear"/>
        </w:rPr>
      </w:pPr>
      <w:r>
        <w:rPr>
          <w:shd w:fill="FFFFFF" w:val="clear"/>
        </w:rPr>
        <w:t xml:space="preserve">В состав рабочих программы дисциплин (модулей) входят оценочные средства, позволяющие оценить уровень сформированности компетенций (см. п. 4.6).  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1" w:name="__RefHeading___Toc146271781"/>
      <w:bookmarkEnd w:id="31"/>
      <w:r>
        <w:rPr/>
        <w:t>4.4. Программы практик</w:t>
      </w:r>
    </w:p>
    <w:p>
      <w:pPr>
        <w:pStyle w:val="Normal"/>
        <w:rPr/>
      </w:pPr>
      <w:r>
        <w:rPr/>
        <w:t xml:space="preserve">В Блок 2. «Практики» входят </w:t>
      </w:r>
      <w:r>
        <w:rPr>
          <w:shd w:fill="FFFFFF" w:val="clear"/>
        </w:rPr>
        <w:t>учебная и производственная, в том числе преддипломная практики.</w:t>
      </w:r>
      <w:r>
        <w:rPr/>
        <w:t xml:space="preserve"> </w:t>
      </w:r>
    </w:p>
    <w:p>
      <w:pPr>
        <w:pStyle w:val="Normal"/>
        <w:rPr/>
      </w:pPr>
      <w:r>
        <w:rPr/>
        <w:t>Типы учебной практики:</w:t>
      </w:r>
    </w:p>
    <w:p>
      <w:pPr>
        <w:pStyle w:val="Normal"/>
        <w:rPr/>
      </w:pPr>
      <w:r>
        <w:rPr/>
        <w:t>Конкретные типы учебной практики указаны в учебных планах.</w:t>
      </w:r>
    </w:p>
    <w:p>
      <w:pPr>
        <w:pStyle w:val="Normal"/>
        <w:rPr/>
      </w:pPr>
      <w:r>
        <w:rPr/>
        <w:t>Типы производственной практики:</w:t>
      </w:r>
    </w:p>
    <w:p>
      <w:pPr>
        <w:pStyle w:val="Normal"/>
        <w:rPr/>
      </w:pPr>
      <w:r>
        <w:rPr/>
        <w:t>Конкретные типы производственной практики указаны в учебных планах.</w:t>
      </w:r>
    </w:p>
    <w:p>
      <w:pPr>
        <w:pStyle w:val="Normal"/>
        <w:rPr/>
      </w:pPr>
      <w:r>
        <w:rPr/>
        <w:t>Программа практики включает в себя: указание вида практики, способа и формы (форм) ее проведения; перечень планируемых результатов обучения при прохождении практики, соотнесенных с планируемыми результатами освоения образовательной программы; указание места практики в структуре образовательной программы; указание объема практики в зачетных единицах и ее продолжительности в неделях либо в академических или астрономических часах; содержание практики; указание форм отчетности по практике; фонд оценочных средств для проведения промежуточной аттестации обучающихся по практике; перечень учебной литературы и ресурсов сети «Интернет», необходимых для проведения практики; перечень информационных технологий, используемых при проведении практики, включая перечень программного обеспечения и информационных справочных систем (при необходимости); описание материально-технической базы, необходимой для проведения практики.</w:t>
      </w:r>
    </w:p>
    <w:p>
      <w:pPr>
        <w:pStyle w:val="Normal"/>
        <w:rPr/>
      </w:pPr>
      <w:r>
        <w:rPr/>
        <w:t>Для лиц с ограниченными возможностями здоровья выбор мест прохождения практик проводится с учетом состояния здоровья и требований по доступности.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2" w:name="__RefHeading___Toc146271782"/>
      <w:bookmarkEnd w:id="32"/>
      <w:r>
        <w:rPr/>
        <w:t>4.5. Программа Государственной итоговой аттестации</w:t>
      </w:r>
    </w:p>
    <w:p>
      <w:pPr>
        <w:pStyle w:val="Normal"/>
        <w:rPr/>
      </w:pPr>
      <w:r>
        <w:rPr/>
        <w:t xml:space="preserve">В </w:t>
      </w:r>
      <w:r>
        <w:fldChar w:fldCharType="begin"/>
      </w:r>
      <w:r>
        <w:rPr>
          <w:rStyle w:val="Hyperlink"/>
        </w:rPr>
        <w:instrText xml:space="preserve"> HYPERLINK "https://www.garant.ru/products/ipo/prime/doc/71165458/" \l "103"</w:instrText>
      </w:r>
      <w:r>
        <w:rPr>
          <w:rStyle w:val="Hyperlink"/>
        </w:rPr>
        <w:fldChar w:fldCharType="separate"/>
      </w:r>
      <w:r>
        <w:rPr>
          <w:rStyle w:val="Hyperlink"/>
        </w:rPr>
        <w:t>Блок 3</w:t>
      </w:r>
      <w:r>
        <w:rPr>
          <w:rStyle w:val="Hyperlink"/>
        </w:rPr>
        <w:fldChar w:fldCharType="end"/>
      </w:r>
      <w:r>
        <w:rPr/>
        <w:t xml:space="preserve"> «Государственная итоговая аттестация» входят подготовка к сдаче и сдача государственного экзамена и выполнение и защита выпускной квалификационной работы.</w:t>
      </w:r>
    </w:p>
    <w:p>
      <w:pPr>
        <w:pStyle w:val="Normal"/>
        <w:rPr/>
      </w:pPr>
      <w:bookmarkStart w:id="33" w:name="_Hlk58503040"/>
      <w:r>
        <w:rPr/>
        <w:t xml:space="preserve">К государственной итоговой аттестации допускается обучающийся, не имеющий академической задолженности и в полном объеме выполнивший учебный план или индивидуальный учебный план, если иное не установлено порядком проведения государственной итоговой аттестации по соответствующим образовательным программам. </w:t>
      </w:r>
      <w:bookmarkEnd w:id="33"/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4" w:name="__RefHeading___Toc146271783"/>
      <w:bookmarkEnd w:id="34"/>
      <w:r>
        <w:rPr/>
        <w:t>4.6. Оценочные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>В соответствии с требованиями ФГОС ВО для аттестации обучающихся на соответствие их персональных достижений поэтапным требованиям соответствующей ОПОП университет создает оценочные материалы для проведения текущего контроля успеваемости, промежуточной и государственной итоговой аттестации.</w:t>
      </w:r>
    </w:p>
    <w:p>
      <w:pPr>
        <w:pStyle w:val="Normal"/>
        <w:rPr/>
      </w:pPr>
      <w:r>
        <w:rPr/>
        <w:t>Оценочные материалы по ОПОП ВО позволяют оценить уровень сформированности компетенций и формируются в соответствии с нормативной базой университета.</w:t>
      </w:r>
    </w:p>
    <w:p>
      <w:pPr>
        <w:pStyle w:val="Normal"/>
        <w:rPr/>
      </w:pPr>
      <w:r>
        <w:rPr/>
        <w:t>Оценочные материалы включают: контрольные вопросы и типовые задания для практических и лабораторных занятий, для письменных работ, контрольных работ, подготовки докладов, рефератов, сообщений, зачетов и экзаменов; тесты, примерную тематику курсовых работ, рефератов и т.п., а также иные формы контроля, позволяющие оценить степень сформированности компетенций обучающихся.</w:t>
      </w:r>
    </w:p>
    <w:p>
      <w:pPr>
        <w:pStyle w:val="Normal"/>
        <w:rPr/>
      </w:pPr>
      <w:r>
        <w:rPr/>
        <w:t>Для каждого результата обучения по дисциплине или практике определены показатели и критерии оценивания сформированности компетенций, шкалы и процедуры оценивания.</w:t>
      </w:r>
    </w:p>
    <w:p>
      <w:pPr>
        <w:pStyle w:val="Normal"/>
        <w:rPr/>
      </w:pPr>
      <w:r>
        <w:rPr/>
        <w:t>Оценочные материалы для государственной итоговой аттестации включают в себя перечень компетенций, которыми должны овладеть обучающиеся в результате освоения образовательной программы: описание показателей и критериев оценивания компетенций, типовые вопросы и задания, иные материалы, необходимые для оценки результатов освоения образовательной программы. Оценочные материалы по каждой дисциплине (модулю), практике, государственной аттестации приведены в программах дисциплин (модулей), практик, ГИА соответственно.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5" w:name="__RefHeading___Toc146271784"/>
      <w:bookmarkEnd w:id="35"/>
      <w:r>
        <w:rPr/>
        <w:t>4.7. Методические материалы по дисциплинам (модулям), практикам, государственной итоговой аттестации</w:t>
      </w:r>
    </w:p>
    <w:p>
      <w:pPr>
        <w:pStyle w:val="Normal"/>
        <w:rPr/>
      </w:pPr>
      <w:r>
        <w:rPr/>
        <w:t xml:space="preserve">Методические материалы представляют собой комплект методических рекомендаций, указаний, материалов по дисциплине (модулю, практике, ГИА), сформированный в соответствии со структурой и содержанием дисциплины (модуля, практики), используемыми образовательными технологиями и формами организации учебного процесса. </w:t>
      </w:r>
    </w:p>
    <w:p>
      <w:pPr>
        <w:pStyle w:val="Normal"/>
        <w:rPr/>
      </w:pPr>
      <w:r>
        <w:rPr/>
        <w:t>Организационно-методические материалы позволяют обучающимся оптимальным образом спланировать и организовать процесс освоения учебного материала.</w:t>
      </w:r>
    </w:p>
    <w:p>
      <w:pPr>
        <w:pStyle w:val="Normal"/>
        <w:rPr/>
      </w:pPr>
      <w:r>
        <w:rPr/>
        <w:t>Учебно-методические материалы направлены на усвоение обучающимся содержания дисциплины (модуля, практики, ГИА), а также направлены на проверку и соответствующую оценку сформированности компетенций обучающихся на различных этапах освоения учебного материала.</w:t>
      </w:r>
    </w:p>
    <w:p>
      <w:pPr>
        <w:pStyle w:val="Normal"/>
        <w:rPr/>
      </w:pPr>
      <w:r>
        <w:rPr/>
        <w:t>В качестве учебных изданий используются учебники, учебные пособия, учебно-методические пособия.</w:t>
      </w:r>
    </w:p>
    <w:p>
      <w:pPr>
        <w:pStyle w:val="Heading1"/>
        <w:numPr>
          <w:ilvl w:val="0"/>
          <w:numId w:val="1"/>
        </w:numPr>
        <w:ind w:hanging="0" w:start="0" w:end="0"/>
        <w:rPr/>
      </w:pPr>
      <w:bookmarkStart w:id="36" w:name="__RefHeading___Toc146271785"/>
      <w:bookmarkEnd w:id="36"/>
      <w:r>
        <w:rPr/>
        <w:t>5. Фактическое ресурсное обеспечение ОПОП ВО</w:t>
      </w:r>
    </w:p>
    <w:p>
      <w:pPr>
        <w:pStyle w:val="Normal"/>
        <w:rPr/>
      </w:pPr>
      <w:r>
        <w:t>Ресурсное обеспечение данной ОПОП формируется на основе требований к условиям реализации ОПОП, определяемыми ФГОС ВО бакалавриата по направлению подготовки 01.03.01 Математика.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38" w:name="__RefHeading___Toc146271786"/>
      <w:bookmarkEnd w:id="38"/>
      <w:r>
        <w:rPr/>
        <w:t>5.1. Кадровое обеспечение</w:t>
      </w:r>
    </w:p>
    <w:p>
      <w:pPr>
        <w:pStyle w:val="Normal"/>
        <w:rPr/>
      </w:pPr>
      <w:r>
        <w:t>Реализация образовательной программы бакалавриата по направлению подготовки 01.03.01 Математика, профиль «{{profile_name}}» в соответствии с п 4.4 ФГОС ВО обеспечивается педагогическими работниками организации, а также лицами, привлекаемыми к реализации программы бакалавриата на условиях гражданско-правовых договоров.</w:t>
      </w:r>
    </w:p>
    <w:p>
      <w:pPr>
        <w:pStyle w:val="Normal"/>
        <w:rPr/>
      </w:pPr>
      <w:r>
        <w:rPr/>
        <w:t>Реализация образовательной программы бакалавриата обеспечивается педагогическими работниками, квалификация которых отвечает квалификационным требованиям, указанным в квалификационных справочниках и (или) профессиональных стандартах (при наличии).</w:t>
      </w:r>
    </w:p>
    <w:p>
      <w:pPr>
        <w:pStyle w:val="Normal"/>
        <w:rPr/>
      </w:pPr>
      <w:r>
        <w:rPr/>
        <w:t>Доля педагогических работников организации и лиц, привлекаемых к реализации программы бакалавриата на иных условиях (в приведенных к целочисленным значениям ставок), ведущих научную, учебно-методическую и/или практическую работу по профилю преподаваемой дисциплины, в общем числе научно-педагогических работников, реализующих программу бакалавриата, составляет не менее 70%.</w:t>
      </w:r>
    </w:p>
    <w:p>
      <w:pPr>
        <w:pStyle w:val="Normal"/>
        <w:rPr/>
      </w:pPr>
      <w:r>
        <w:rPr/>
        <w:t>Доля работников (в приведенных к целочисленным значениям ставок) из числа руководителей и (или) работников организаций, деятельность которых связана с направленностью (профилем) реализуемой программы бакалавриата (имеющих стаж работы в данной профессиональной области не менее 3 лет) в общем числе работников, реализующих программу бакалавриата, составляет не менее 5%.</w:t>
      </w:r>
    </w:p>
    <w:p>
      <w:pPr>
        <w:pStyle w:val="Normal"/>
        <w:rPr/>
      </w:pPr>
      <w:r>
        <w:rPr/>
        <w:t>Доля научно-педагогических работников (в приведенных к целочисленным значениям ставок), имеющих ученую степень (в том числе ученую степень, присвоенную за рубежом и признаваемую в Российской Федерации) и (или) ученое звание (в том числе ученое звание, полученное за рубежом и признаваемое в Российской Федерации), в общем числе научно-педагогических работников, реализующих программу бакалавриата, составляет не менее 65%.</w:t>
      </w:r>
    </w:p>
    <w:p>
      <w:pPr>
        <w:pStyle w:val="Heading2"/>
        <w:numPr>
          <w:ilvl w:val="1"/>
          <w:numId w:val="1"/>
        </w:numPr>
        <w:ind w:firstLine="709" w:start="0" w:end="0"/>
        <w:rPr>
          <w:bCs/>
        </w:rPr>
      </w:pPr>
      <w:bookmarkStart w:id="39" w:name="__RefHeading___Toc146271787"/>
      <w:bookmarkStart w:id="40" w:name="bookmark39"/>
      <w:bookmarkEnd w:id="39"/>
      <w:bookmarkEnd w:id="40"/>
      <w:r>
        <w:rPr/>
        <w:t xml:space="preserve">5.2. Материально-техническое и учебно-методическое обеспечение образовательного процесса </w:t>
      </w:r>
    </w:p>
    <w:p>
      <w:pPr>
        <w:pStyle w:val="Normal"/>
        <w:rPr/>
      </w:pPr>
      <w:r>
        <w:rPr>
          <w:bCs/>
        </w:rPr>
        <w:t xml:space="preserve">Университет располагает </w:t>
      </w:r>
      <w:r>
        <w:rPr/>
        <w:t>материально-технической базой, соответствующей действующим противопожарным правилам и нормам и обеспечивающей проведение всех видов дисциплинарной и междисциплинарной подготовки, практической и научно-исследовательской деятельности обучающихся, предусмотренных учебным планом.</w:t>
      </w:r>
    </w:p>
    <w:p>
      <w:pPr>
        <w:pStyle w:val="Normal"/>
        <w:rPr/>
      </w:pPr>
      <w:r>
        <w:rPr/>
        <w:t>Специальные помещения представляют собой учебные аудитории для проведения занятий лекционного типа, занятий семинарского типа, курсового проектирования (выполнения курсовых работ), групповых и индивидуальных консультаций, текущего контроля и промежуточной аттестации, а также помещения для самостоятельной работы и помещения для хранения и профилактического обслуживания учебного оборудования. Специальные помещения укомплектованы специализированной мебелью и техническими средствами обучения, служащими для представления учебной информации большой аудитории.</w:t>
      </w:r>
    </w:p>
    <w:p>
      <w:pPr>
        <w:pStyle w:val="Normal"/>
        <w:rPr/>
      </w:pPr>
      <w:r>
        <w:rPr/>
        <w:t>Для проведения занятий лекционного типа имеются наборы демонстрационного оборудования и учебно-наглядных пособий, обеспечивающие тематические иллюстрации, соответствующие рабочим программам дисциплин (модулей).</w:t>
      </w:r>
    </w:p>
    <w:p>
      <w:pPr>
        <w:pStyle w:val="Normal"/>
        <w:rPr/>
      </w:pPr>
      <w:r>
        <w:rPr/>
        <w:t>Помещения для самостоятельной работы обучающихся оснащены компьютерной техникой с возможностью подключения к сети «Интернет» и обеспечением доступа в электронную информационно-образовательную среду организации.</w:t>
      </w:r>
    </w:p>
    <w:p>
      <w:pPr>
        <w:pStyle w:val="Normal"/>
        <w:rPr/>
      </w:pPr>
      <w:r>
        <w:rPr/>
        <w:t>Университет обеспечен необходимым</w:t>
      </w:r>
      <w:r>
        <w:rPr>
          <w:bCs/>
        </w:rPr>
        <w:t xml:space="preserve"> комплектом лицензионного программного обеспечения (состав которого определяется в рабочих программах дисциплин (модулей) и ежегодно обновляется).</w:t>
      </w:r>
    </w:p>
    <w:p>
      <w:pPr>
        <w:pStyle w:val="Normal"/>
        <w:rPr/>
      </w:pPr>
      <w:r>
        <w:rPr/>
        <w:t>Электронно-библиотечные системы (электронная библиотека) и электронная информационно-образовательная среда обеспечивают одновременный доступ не менее 25 процентов обучающихся по программе бакалавриата.</w:t>
      </w:r>
    </w:p>
    <w:p>
      <w:pPr>
        <w:pStyle w:val="Normal"/>
        <w:rPr/>
      </w:pPr>
      <w:r>
        <w:rPr/>
        <w:t xml:space="preserve">Обучающимся обеспечен доступ (удаленный доступ), в том числе в случае применении электронного обучения, дистанционных образовательных технологий, к современным профессиональным базам данных и информационным справочным системам, состав которых определен в рабочих программах дисциплин (модулей) и ежегодно обновляется. </w:t>
      </w:r>
    </w:p>
    <w:p>
      <w:pPr>
        <w:pStyle w:val="Normal"/>
        <w:rPr/>
      </w:pPr>
      <w:r>
        <w:rPr/>
        <w:t>Обучающиеся из числа лиц с ограниченными возможностями здоровья обеспечены печатными и (или) электронными образовательными ресурсами в формах, адаптированных к ограничениям их здоровья.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1" w:name="__RefHeading___Toc146271788"/>
      <w:bookmarkStart w:id="42" w:name="_Hlk58502511"/>
      <w:bookmarkStart w:id="43" w:name="bookmark39_Копия_1"/>
      <w:bookmarkEnd w:id="41"/>
      <w:bookmarkEnd w:id="42"/>
      <w:bookmarkEnd w:id="43"/>
      <w:r>
        <w:rPr/>
        <w:t>5.3. 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 (ФГОС ВО).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>
          <w:rFonts w:eastAsia="Calibri"/>
        </w:rPr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>
          <w:rFonts w:eastAsia="Calibri"/>
        </w:rPr>
        <w:t xml:space="preserve">Для инвалидов и лиц с ограниченными </w:t>
      </w:r>
      <w:r>
        <w:rPr/>
        <w:t>возможностями</w:t>
      </w:r>
      <w:r>
        <w:rPr>
          <w:rFonts w:eastAsia="Calibri"/>
        </w:rPr>
        <w:t xml:space="preserve"> здоровья установлен особый порядок освоения дисциплин (модулей) по физической культуре и спорту с учетом состояния их здоровья.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p>
      <w:pPr>
        <w:pStyle w:val="Heading2"/>
        <w:numPr>
          <w:ilvl w:val="1"/>
          <w:numId w:val="1"/>
        </w:numPr>
        <w:ind w:firstLine="709" w:start="0" w:end="0"/>
        <w:rPr/>
      </w:pPr>
      <w:bookmarkStart w:id="44" w:name="__RefHeading___Toc146271789"/>
      <w:bookmarkStart w:id="45" w:name="_Hlk58502511_Копия_1"/>
      <w:bookmarkEnd w:id="44"/>
      <w:bookmarkEnd w:id="45"/>
      <w:r>
        <w:rPr/>
        <w:t xml:space="preserve">5.4. Финансовое обеспечение </w:t>
      </w:r>
    </w:p>
    <w:p>
      <w:pPr>
        <w:pStyle w:val="Normal"/>
        <w:rPr/>
      </w:pPr>
      <w:bookmarkStart w:id="46" w:name="_Hlk58502624"/>
      <w:bookmarkEnd w:id="46"/>
      <w:r>
        <w:rPr/>
        <w:t>Финансовое обеспечение реализации программы бакалавриата осуществляется в объеме не ниже значений базовых нормативов затрат на оказание государственных услуг по реализации образовательных программ высшего образования – программ бакалавриата с учетом корректирующих коэффициентов, определяемых Министерством высшего образования и науки РФ.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282"/>
        <w:rPr/>
      </w:pPr>
      <w:bookmarkStart w:id="47" w:name="__RefHeading___Toc146271790"/>
      <w:bookmarkEnd w:id="47"/>
      <w:r>
        <w:rPr/>
        <w:t>6. Характеристика среды вуза, обеспечивающая развитие общекультурных и социально-личностных компетенций выпускников</w:t>
      </w:r>
    </w:p>
    <w:p>
      <w:pPr>
        <w:pStyle w:val="Normal"/>
        <w:rPr>
          <w:color w:val="000000"/>
          <w:spacing w:val="-4"/>
          <w:szCs w:val="24"/>
        </w:rPr>
      </w:pPr>
      <w:bookmarkStart w:id="48" w:name="_Hlk58502700"/>
      <w:bookmarkStart w:id="49" w:name="_Hlk58502624_Копия_1"/>
      <w:bookmarkEnd w:id="49"/>
      <w:r>
        <w:rPr/>
        <w:t>Социокультурная среда университета представляет собой совокупность концептуальных, содержательных, кадровых, организационных и методических ресурсов, направленных на создание гуманитарной среды в учебном заведении, которая обеспечивает развитие универсальных компетенций обучающихся.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Воспитательная деятельность и внеучебная общекультурная работа в университете организована по ряду направлений: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1) «Гражданско-патриотическое воспитание». Организовываются и проводятся праздничные мероприятия, посвященные государственным праздникам, памятным датам истории России: дню защитника Отечества; дню Победы и др. Проводятся открытые лекции, концерты, военно-спортивные игры, кинопоказы. Студенты принимают активное участие в акциях и конкурсах, посвященных Великой Отечественной войне – «Бессмертный полк», «Час памяти», «Вечный огонь Победы» и др.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2) «Творческое воспитание». Осуществляется реализация творческих способностей обучающихся в творческих коллективах СОГУ: ансамбль народного танца «Иристон», Лига КВН, центр молодежного инновационного творчества </w:t>
      </w:r>
      <w:r>
        <w:rPr>
          <w:color w:val="000000"/>
          <w:spacing w:val="-4"/>
          <w:szCs w:val="24"/>
          <w:lang w:val="en-US"/>
        </w:rPr>
        <w:t>FabLab</w:t>
      </w:r>
      <w:r>
        <w:rPr>
          <w:color w:val="000000"/>
          <w:spacing w:val="-4"/>
          <w:szCs w:val="24"/>
        </w:rPr>
        <w:t xml:space="preserve"> Алания и др. Проводятся мастер-классы по изобразительному искусству преподавателями факультета искусств. Студенты принимают участие в ежегодных фестивалях «Студенческая весна» и «Зеленое яблоко».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3) «Культурно-нравственное воспитание». Значительный вклад в воспитательную работу вносят воспитательный отдел, музеи, культурные центры и Научная библиотека университета, на базе которых регулярно проводятся книжные выставки, курсы языковой подготовки, литературно-музыкальные композиции, способствующие культурному развитию личности обучающегося и профилактике негативных социальных явлений. В университете действует просветительский проект «Лекториум».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 xml:space="preserve">4) «Социальное взаимодействие». Осуществляется участие обучающихся СОГУ в волонтерских отрядах и регулярных акциях «День донора». В университете успешно действует студенческая команда эко-движения </w:t>
      </w:r>
      <w:r>
        <w:rPr>
          <w:color w:val="000000"/>
          <w:spacing w:val="-4"/>
          <w:szCs w:val="24"/>
          <w:lang w:val="en-US"/>
        </w:rPr>
        <w:t>SANSARA</w:t>
      </w:r>
      <w:r>
        <w:rPr>
          <w:color w:val="000000"/>
          <w:spacing w:val="-4"/>
          <w:szCs w:val="24"/>
        </w:rPr>
        <w:t>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color w:val="000000"/>
          <w:spacing w:val="-4"/>
          <w:szCs w:val="24"/>
        </w:rPr>
        <w:t>5) «Психологическое воспитание». Ведется активная работа и осуществляется деятельность по следующим направлениям: психологическое просвещение, комплексная работа по социально-психологической адаптации студентов-первокурсников и др.</w:t>
      </w:r>
    </w:p>
    <w:p>
      <w:pPr>
        <w:pStyle w:val="Normal"/>
        <w:rPr>
          <w:szCs w:val="28"/>
        </w:rPr>
      </w:pPr>
      <w:r>
        <w:rPr>
          <w:color w:val="000000"/>
          <w:spacing w:val="-4"/>
          <w:szCs w:val="24"/>
        </w:rPr>
        <w:t xml:space="preserve">6) «Физическое воспитание». Значительный вклад в физическое воспитание вносит студенческий спортивный клуб «Атлант». Организуется межфакультетские спартакиады по различным видам спорта, учебно-практические экспедиции студентов университета в горные ущелья Северной Осетии. Работают секции по </w:t>
      </w:r>
      <w:r>
        <w:rPr>
          <w:szCs w:val="28"/>
        </w:rPr>
        <w:t>игровым видам спорта, борьбе, тяжелой атлетике, гимнастике, аэробике, шахматам, горному туризму. Работает спортивно-оздоровительный комплекс с бассейном «Дельфин».</w:t>
      </w:r>
    </w:p>
    <w:p>
      <w:pPr>
        <w:pStyle w:val="Normal"/>
        <w:rPr>
          <w:szCs w:val="28"/>
        </w:rPr>
      </w:pPr>
      <w:r>
        <w:rPr>
          <w:szCs w:val="28"/>
        </w:rPr>
        <w:t xml:space="preserve">7) «Студенческое самоуправление». Особое значение в СОГУ придается развитию студенческого самоуправления, в котором важную роль играет Студенческий совет СОГУ. Представители Студсовета есть на каждом факультете и в каждом общежитии. </w:t>
      </w:r>
      <w:r>
        <w:rPr>
          <w:szCs w:val="24"/>
        </w:rPr>
        <w:t>Студенческое самоуправление в СОГУ рассматривается как: условие реализации творческой активности и самодеятельности в учебно-познавательном, научно-профессиональном и культурном отношении; реальная форма студенческой демократии с соответствующими правами, возможностями и ответственностью; средство (ресурс) социально-правовой самозащиты. Студенческое самоуправление в СОГУ призвано помочь студентам реализовать права и свободу, вовлечь их в обсуждение и решение важнейших вопросов деятельности вуза, развивать инициативу и самостоятельность студентов, повышать ответственность за качество знаний и социальное поведение будущих специалистов. Деятельность всех органов студенческого самоуправления направлена на содействие повышения успеваемости и укрепления учебной дисциплины студентов, реализацию из профессиональных и социальных интересов, творческого потенциала и общественно-значимых инициатив, на демократизацию внутривузовской жизни, формирование активной жизненной позиции студентов, создание благоприятного социально-психологического климата в студенческой среде.</w:t>
      </w:r>
    </w:p>
    <w:p>
      <w:pPr>
        <w:pStyle w:val="Normal"/>
        <w:rPr>
          <w:color w:val="000000"/>
          <w:spacing w:val="-4"/>
          <w:szCs w:val="24"/>
        </w:rPr>
      </w:pPr>
      <w:r>
        <w:rPr>
          <w:szCs w:val="28"/>
        </w:rPr>
        <w:t>Важная роль в общекультурном развитии обучающихся отведена Первичной профсоюзной организации студентов и аспирантов СОГУ, которая объединяет студентов для реализации актуальных задач. К таким задачам относятся: защита профессиональных, трудовых, социально-экономических прав и интересов членов профсоюза правовой и социальной защитой; ведение переговоров с администрацией университета, заключение коллективного договора и его реализация, оказание материальной и консультационной помощи членам профсоюза и др.</w:t>
      </w:r>
    </w:p>
    <w:p>
      <w:pPr>
        <w:pStyle w:val="Normal"/>
        <w:rPr>
          <w:szCs w:val="24"/>
        </w:rPr>
      </w:pPr>
      <w:r>
        <w:rPr>
          <w:color w:val="000000"/>
          <w:spacing w:val="-4"/>
          <w:szCs w:val="24"/>
        </w:rPr>
        <w:t xml:space="preserve">В университете функционирует </w:t>
      </w:r>
      <w:r>
        <w:rPr>
          <w:szCs w:val="28"/>
        </w:rPr>
        <w:t>Центр довузовской подготовки и трудоустройства выпускников, который проводит информационно-аналитическую и профориентационную работу, осуществляет временную занятость студентов и трудоустройство выпускников.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Равноправными субъектами воспитательного пространства Северо-Осетинского государственного университета являются администрация, профессорско-преподавательский состав, студенты. При этом ведущая роль в формировании воспитательного пространства вуза отводится ректорату, заместителям деканов факультетов по воспитательной работе, кураторам учебных групп, органам студенческого самоуправления. </w:t>
      </w:r>
    </w:p>
    <w:p>
      <w:pPr>
        <w:pStyle w:val="Normal"/>
        <w:rPr>
          <w:szCs w:val="24"/>
        </w:rPr>
      </w:pPr>
      <w:r>
        <w:rPr>
          <w:szCs w:val="28"/>
        </w:rPr>
        <w:t>Университет бережно хранит свою историю и историю родного края, уникальные археологические коллекции представлены в экспозициях «Музея древностей Алании».</w:t>
      </w:r>
    </w:p>
    <w:p>
      <w:pPr>
        <w:pStyle w:val="Normal"/>
        <w:rPr>
          <w:szCs w:val="28"/>
        </w:rPr>
      </w:pPr>
      <w:r>
        <w:rPr>
          <w:szCs w:val="24"/>
        </w:rPr>
        <w:t xml:space="preserve">На уровне факультетов воспитательная работа со студентами проводится на основе плана учебно-воспитательной работы. Для координации и организации этой работы на факультете назначается заместитель декана по воспитательной работе из числа профессорско-преподавательского состава. На уровне кафедры для организации воспитательной работы со студентами академических групп назначается куратор группы. </w:t>
      </w:r>
    </w:p>
    <w:p>
      <w:pPr>
        <w:pStyle w:val="Normal"/>
        <w:rPr>
          <w:szCs w:val="28"/>
        </w:rPr>
      </w:pPr>
      <w:r>
        <w:rPr>
          <w:szCs w:val="28"/>
        </w:rPr>
        <w:t xml:space="preserve">Для проживания обучающихся и сотрудников университет имеет благоустроенные общежития (общежитие №1 на 240 мест, общежитие №2 на 96 мест), расположенные в непосредственной близости от учебно-лабораторных корпусов. </w:t>
      </w:r>
      <w:r>
        <w:rPr>
          <w:szCs w:val="24"/>
        </w:rPr>
        <w:t xml:space="preserve">Для организации питания студентов имеются столовые и буфеты. Квалифицированную медицинскую помощь и консультации специалистов студенты </w:t>
      </w:r>
      <w:r>
        <w:rPr>
          <w:spacing w:val="4"/>
          <w:szCs w:val="24"/>
        </w:rPr>
        <w:t>получают в здравпункте СОГУ. Здесь регулярно проводятся санитарно-просветительные, лечебно-профилактические, противоэпидемические мероприятия, флюорографическое и другие обследования.</w:t>
      </w:r>
    </w:p>
    <w:p>
      <w:pPr>
        <w:pStyle w:val="Normal"/>
        <w:rPr>
          <w:szCs w:val="24"/>
        </w:rPr>
      </w:pPr>
      <w:r>
        <w:rPr>
          <w:szCs w:val="28"/>
        </w:rPr>
        <w:t>В университете неукоснительно соблюдается принцип выделения материальной помощи всем малообеспеченным и нуждающимся студентам. Организована социальная   поддержка обучающихся в университете (дети-сироты, дети-инвалиды, иногородние студенты, студенческие семьи). Студенты университета поощряются рядом именных стипендий, действует утвержденная система премирования студентов.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На сайте университета организована возможность задать вопрос руководству вуза, что позволяет своевременно решать многие проблемы. </w:t>
      </w:r>
    </w:p>
    <w:p>
      <w:pPr>
        <w:pStyle w:val="Normal"/>
        <w:rPr>
          <w:szCs w:val="24"/>
        </w:rPr>
      </w:pPr>
      <w:r>
        <w:rPr>
          <w:szCs w:val="24"/>
        </w:rPr>
        <w:t>В вузе создана социокультурная среда, необходимая для формирования гражданской, правовой и профессиональной позиции обучающегося, готовности всех членов коллектива к общению и сотрудничеству, к способности толерантно воспринимать социальные, личностные и культурные различия.</w:t>
      </w:r>
    </w:p>
    <w:p>
      <w:pPr>
        <w:pStyle w:val="Normal"/>
        <w:rPr>
          <w:szCs w:val="24"/>
        </w:rPr>
      </w:pPr>
      <w:r>
        <w:rPr>
          <w:szCs w:val="24"/>
        </w:rPr>
        <w:t xml:space="preserve">Информация о проведении внеучебной работы размещается на сайте университета. Активно в этом направлении используются социальные сети. </w:t>
      </w:r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0" w:name="__RefHeading___Toc146271791"/>
      <w:bookmarkEnd w:id="50"/>
      <w:r>
        <w:rPr/>
        <w:t>7. Требования к применяемым механизмам оценки качества образовательной деятельности и подготовки обучающихся по образовательной программе</w:t>
      </w:r>
    </w:p>
    <w:p>
      <w:pPr>
        <w:pStyle w:val="Normal"/>
        <w:rPr/>
      </w:pPr>
      <w:r>
        <w:rPr/>
        <w:t xml:space="preserve">Качество образовательной деятельности и подготовки обучающихся по программе бакалавриата по данному направлению подготовки определяется в рамках системы внутренней оценки и включает текущий контроль успеваемости, промежуточную и итоговую (государственную итоговую) аттестацию обучающихся. </w:t>
      </w:r>
    </w:p>
    <w:p>
      <w:pPr>
        <w:pStyle w:val="Normal"/>
        <w:rPr/>
      </w:pPr>
      <w:r>
        <w:rPr/>
        <w:t>В целях совершенствования программы бакалавриата организация при проведении регулярной внутренней оценки качества образовательной деятельности и подготовки обучающихся по программе бакалавриата привлекает работодателей и (или) их объединения, иных юридических и (или) физических лиц, включая педагогических работников организации.</w:t>
      </w:r>
    </w:p>
    <w:p>
      <w:pPr>
        <w:pStyle w:val="Normal"/>
        <w:rPr/>
      </w:pPr>
      <w:r>
        <w:rPr/>
        <w:t>Внутренняя оценка качества образовательной деятельности по программе бакалавриата проходит в соответствии с Положением о внутренней системе оценки качества образования Университета, утвержденного приказом ректора А.У. Огоева от 07.12.2018 г. № 350.</w:t>
      </w:r>
    </w:p>
    <w:p>
      <w:pPr>
        <w:pStyle w:val="Normal"/>
        <w:rPr/>
      </w:pPr>
      <w:r>
        <w:rPr/>
        <w:t>В рамках внутренней системы оценки качества образовательной деятельности по программе бакалавриата обучающимся предоставляется возможность оценивания условий, содержания, организации и качества образовательного процесса в целом и отдельных дисциплин (модулей) и практик.</w:t>
      </w:r>
    </w:p>
    <w:p>
      <w:pPr>
        <w:pStyle w:val="Normal"/>
        <w:rPr/>
      </w:pPr>
      <w:r>
        <w:rPr/>
        <w:t>Внешняя оценка качества реализации ОП по данному направлению подготовки определяется в ходе следующих мероприятий: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рецензирование образовательной программы руководителями и/или работниками организаций, деятельность которых связана с направленностью (профилем) реализуемой программы бакалавриата и имеющих стаж работы в данной профессиональной области не менее 3-х лет;</w:t>
      </w:r>
    </w:p>
    <w:p>
      <w:pPr>
        <w:pStyle w:val="Normal"/>
        <w:tabs>
          <w:tab w:val="clear" w:pos="708"/>
          <w:tab w:val="left" w:pos="993" w:leader="none"/>
        </w:tabs>
        <w:rPr/>
      </w:pPr>
      <w:r>
        <w:rPr/>
        <w:t>•</w:t>
      </w:r>
      <w:r>
        <w:rPr/>
        <w:tab/>
        <w:t>оценивание профессиональной деятельности бакалавров работодателями в ходе прохождения практики.</w:t>
      </w:r>
      <w:bookmarkEnd w:id="48"/>
    </w:p>
    <w:p>
      <w:pPr>
        <w:pStyle w:val="Heading1"/>
        <w:numPr>
          <w:ilvl w:val="0"/>
          <w:numId w:val="1"/>
        </w:numPr>
        <w:tabs>
          <w:tab w:val="clear" w:pos="284"/>
          <w:tab w:val="left" w:pos="993" w:leader="none"/>
        </w:tabs>
        <w:ind w:hanging="0" w:start="709" w:end="566"/>
        <w:rPr/>
      </w:pPr>
      <w:bookmarkStart w:id="51" w:name="__RefHeading___Toc146271792"/>
      <w:bookmarkEnd w:id="51"/>
      <w:r>
        <w:rPr/>
        <w:t>8. Содержание и организация учебного процесса для инвалидов и лиц с ограниченными возможностями здоровья</w:t>
      </w:r>
    </w:p>
    <w:p>
      <w:pPr>
        <w:pStyle w:val="Normal"/>
        <w:rPr/>
      </w:pPr>
      <w:r>
        <w:rPr/>
        <w:t xml:space="preserve">Содержание и организация учебного процесса для инвалидов и лиц с ограниченными возможностями здоровья определяется требованиями федерального государственного образовательного стандарта высшего образования. </w:t>
      </w:r>
    </w:p>
    <w:p>
      <w:pPr>
        <w:pStyle w:val="Normal"/>
        <w:rPr/>
      </w:pPr>
      <w:r>
        <w:rPr/>
        <w:t xml:space="preserve">Обучение по образовательным программам инвалидов и обучающихся с ОВЗ осуществляется с учетом особенностей психофизического развития, индивидуальных возможностей и состояния здоровья таких обучающихся. </w:t>
      </w:r>
    </w:p>
    <w:p>
      <w:pPr>
        <w:pStyle w:val="Normal"/>
        <w:rPr/>
      </w:pPr>
      <w:r>
        <w:rPr/>
        <w:t xml:space="preserve">Выбор методов обучения в каждом отдельном случае обуславливается целями обучения, содержанием обучения, уровнем профессиональной подготовки педагогов, методического и материально-технического обеспечения, наличием времени на подготовку, с учетом особенностей психофизического развития, индивидуальных возможностей и состояния здоровья обучающихся. </w:t>
      </w:r>
    </w:p>
    <w:p>
      <w:pPr>
        <w:pStyle w:val="Normal"/>
        <w:rPr/>
      </w:pPr>
      <w:r>
        <w:rPr/>
        <w:t xml:space="preserve">Инвалиды и лица с ограниченными возможностями слуха и речи, с ограниченными возможностями зрения и ограниченными возможностями опорно-двигательной системы могут получить образование в Университете по очной или заочной формам обучения, индивидуально или с использованием дистанционных образовательных технологий. </w:t>
      </w:r>
    </w:p>
    <w:p>
      <w:pPr>
        <w:pStyle w:val="Normal"/>
        <w:rPr/>
      </w:pPr>
      <w:r>
        <w:rPr/>
        <w:t xml:space="preserve">При выборе мест прохождения практик для инвалидов и лиц с ограниченными возможностями здоровья учитывается состояние здоровья и требования по доступности. </w:t>
      </w:r>
    </w:p>
    <w:p>
      <w:pPr>
        <w:pStyle w:val="Normal"/>
        <w:rPr/>
      </w:pPr>
      <w:r>
        <w:rPr/>
        <w:t xml:space="preserve">Университет обеспечивает создание безбарьерной образовательной среды для инвалидов и студентов с ОВЗ в Университет, а также обеспечение организации образовательного процесса специальными средствами: </w:t>
      </w:r>
    </w:p>
    <w:p>
      <w:pPr>
        <w:pStyle w:val="Normal"/>
        <w:rPr/>
      </w:pPr>
      <w:r>
        <w:rPr/>
        <w:t xml:space="preserve">– </w:t>
      </w:r>
      <w:r>
        <w:rPr/>
        <w:t xml:space="preserve">архитектурная доступность; </w:t>
      </w:r>
    </w:p>
    <w:p>
      <w:pPr>
        <w:pStyle w:val="Normal"/>
        <w:rPr/>
      </w:pPr>
      <w:r>
        <w:rPr/>
        <w:t xml:space="preserve">– </w:t>
      </w:r>
      <w:r>
        <w:rPr/>
        <w:t xml:space="preserve">материально-техническое оснащение учебного процесса, с учетом особых образовательных потребностей; </w:t>
      </w:r>
    </w:p>
    <w:p>
      <w:pPr>
        <w:pStyle w:val="Normal"/>
        <w:rPr/>
      </w:pPr>
      <w:r>
        <w:rPr/>
        <w:t xml:space="preserve">– </w:t>
      </w:r>
      <w:r>
        <w:rPr/>
        <w:t xml:space="preserve">формирование комфортной психологической среды, позволяющей обучающимся с ОВЗ и инвалидам комфортно чувствовать себя в Университете; </w:t>
      </w:r>
    </w:p>
    <w:p>
      <w:pPr>
        <w:pStyle w:val="Normal"/>
        <w:rPr/>
      </w:pPr>
      <w:r>
        <w:rPr/>
        <w:t xml:space="preserve">– </w:t>
      </w:r>
      <w:r>
        <w:rPr/>
        <w:t xml:space="preserve">доступ инвалидов и студентов с ОВЗ новым информационно-коммуникационным технологиям и системам, включая Интернет; </w:t>
      </w:r>
    </w:p>
    <w:p>
      <w:pPr>
        <w:pStyle w:val="Normal"/>
        <w:rPr/>
      </w:pPr>
      <w:r>
        <w:rPr/>
        <w:t xml:space="preserve">– </w:t>
      </w:r>
      <w:r>
        <w:rPr/>
        <w:t xml:space="preserve">коррекция поведения студентов с ОВЗ, инвалидов и студентов с нормальным развитием в условиях Университета; </w:t>
      </w:r>
    </w:p>
    <w:p>
      <w:pPr>
        <w:pStyle w:val="Normal"/>
        <w:rPr/>
      </w:pPr>
      <w:r>
        <w:rPr/>
        <w:t xml:space="preserve">– </w:t>
      </w:r>
      <w:r>
        <w:rPr/>
        <w:t>обеспечение доступа инвалидов к местам отдыха и занятий спорта.</w:t>
      </w:r>
    </w:p>
    <w:p>
      <w:pPr>
        <w:pStyle w:val="Normal"/>
        <w:rPr/>
      </w:pPr>
      <w:r>
        <w:rPr/>
        <w:t>Для обучающихся, имеющих нарушения опорно-двигательного аппарата при наличии студентов с ОВЗ данного типа и нуждающихся в создании специальных условий, материально-технические условия обеспечивают возможность беспрепятственного доступа обучающихся в учебные помещения, буфет, туалетные и другие помещения Университета, а также их пребывания в указанных помещениях.</w:t>
      </w:r>
    </w:p>
    <w:p>
      <w:pPr>
        <w:pStyle w:val="Normal"/>
        <w:rPr/>
      </w:pPr>
      <w:r>
        <w:rPr/>
        <w:t>Денежное обеспечение осуществляется в соответствии с действующим законодательством Российской Федерации.</w:t>
      </w:r>
    </w:p>
    <w:sectPr>
      <w:footerReference w:type="default" r:id="rId5"/>
      <w:footerReference w:type="first" r:id="rId6"/>
      <w:type w:val="nextPage"/>
      <w:pgSz w:w="11906" w:h="16838"/>
      <w:pgMar w:left="1701" w:right="680" w:gutter="0" w:header="0" w:top="993" w:footer="591" w:bottom="680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Symbol">
    <w:charset w:val="cc" w:characterSet="windows-1251"/>
    <w:family w:val="roman"/>
    <w:pitch w:val="variable"/>
  </w:font>
  <w:font w:name="Agency FB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Wingdings">
    <w:charset w:val="cc" w:characterSet="windows-1251"/>
    <w:family w:val="roman"/>
    <w:pitch w:val="variable"/>
  </w:font>
  <w:font w:name="Tahoma">
    <w:charset w:val="cc" w:characterSet="windows-1251"/>
    <w:family w:val="roman"/>
    <w:pitch w:val="variable"/>
  </w:font>
  <w:font w:name="Liberation Mono">
    <w:altName w:val="Courier New"/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Verdana">
    <w:charset w:val="cc" w:characterSet="windows-1251"/>
    <w:family w:val="roman"/>
    <w:pitch w:val="variable"/>
  </w:font>
  <w:font w:name="TimesET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nsolas">
    <w:altName w:val="Courier New"/>
    <w:charset w:val="cc" w:characterSet="windows-1251"/>
    <w:family w:val="roman"/>
    <w:pitch w:val="variable"/>
  </w:font>
  <w:font w:name="Menlo">
    <w:altName w:val="Monaco"/>
    <w:charset w:val="cc" w:characterSet="windows-1251"/>
    <w:family w:val="roman"/>
    <w:pitch w:val="variable"/>
  </w:font>
  <w:font w:name="Agency FB">
    <w:charset w:val="01"/>
    <w:family w:val="auto"/>
    <w:pitch w:val="default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 w:start="0" w:end="360"/>
      <w:rPr>
        <w:sz w:val="20"/>
        <w:szCs w:val="20"/>
      </w:rPr>
    </w:pPr>
    <w:r>
      <w:rPr>
        <w:sz w:val="20"/>
        <w:szCs w:val="20"/>
      </w:rPr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rightMargin">
                <wp:posOffset>0</wp:posOffset>
              </wp:positionH>
              <wp:positionV relativeFrom="paragraph">
                <wp:posOffset>635</wp:posOffset>
              </wp:positionV>
              <wp:extent cx="127000" cy="146050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80" cy="1461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14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720" rIns="720" tIns="720" bIns="72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0pt;margin-top:0.05pt;width:9.95pt;height:11.45pt;mso-wrap-style:square;v-text-anchor:top;mso-position-horizont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14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8"/>
        </w:tabs>
        <w:ind w:start="4650" w:hanging="255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5">
    <w:lvl w:ilvl="0">
      <w:start w:val="1"/>
      <w:numFmt w:val="bullet"/>
      <w:lvlText w:val="—"/>
      <w:lvlJc w:val="start"/>
      <w:pPr>
        <w:tabs>
          <w:tab w:val="num" w:pos="0"/>
        </w:tabs>
        <w:ind w:start="1429" w:hanging="360"/>
      </w:pPr>
      <w:rPr>
        <w:rFonts w:ascii="Agency FB" w:hAnsi="Agency FB" w:cs="Agency FB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numFmt w:val="bullet"/>
      <w:lvlText w:val="•"/>
      <w:lvlJc w:val="start"/>
      <w:pPr>
        <w:tabs>
          <w:tab w:val="num" w:pos="0"/>
        </w:tabs>
        <w:ind w:start="2204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792" w:hanging="432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  <w:spacing w:before="0" w:after="0"/>
      <w:ind w:firstLine="709" w:start="0" w:end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2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tabs>
        <w:tab w:val="clear" w:pos="708"/>
        <w:tab w:val="left" w:pos="284" w:leader="none"/>
      </w:tabs>
      <w:spacing w:before="240" w:after="40"/>
      <w:ind w:hanging="0" w:start="0" w:end="0"/>
      <w:jc w:val="center"/>
      <w:outlineLvl w:val="0"/>
    </w:pPr>
    <w:rPr>
      <w:rFonts w:eastAsia="SimSun;宋体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120" w:after="0"/>
      <w:jc w:val="start"/>
      <w:outlineLvl w:val="1"/>
    </w:pPr>
    <w:rPr>
      <w:rFonts w:eastAsia="SimSun;宋体"/>
      <w:b/>
      <w:bCs/>
      <w:szCs w:val="28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120" w:after="0"/>
      <w:outlineLvl w:val="2"/>
    </w:pPr>
    <w:rPr>
      <w:rFonts w:ascii="Calibri Light" w:hAnsi="Calibri Light" w:eastAsia="SimSun;宋体" w:cs="Times New Roman"/>
      <w:spacing w:val="4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4"/>
        <w:numId w:val="1"/>
      </w:numPr>
      <w:spacing w:before="120" w:after="0"/>
      <w:outlineLvl w:val="4"/>
    </w:pPr>
    <w:rPr>
      <w:rFonts w:ascii="Calibri Light" w:hAnsi="Calibri Light" w:eastAsia="SimSun;宋体" w:cs="Times New Roman"/>
      <w:b/>
      <w:bCs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120" w:after="0"/>
      <w:outlineLvl w:val="5"/>
    </w:pPr>
    <w:rPr>
      <w:rFonts w:ascii="Calibri Light" w:hAnsi="Calibri Light" w:eastAsia="SimSun;宋体" w:cs="Times New Roman"/>
      <w:b/>
      <w:bCs/>
      <w:i/>
      <w:iCs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7"/>
        <w:numId w:val="1"/>
      </w:numPr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120" w:after="0"/>
      <w:outlineLvl w:val="8"/>
    </w:pPr>
    <w:rPr>
      <w:i/>
      <w:iCs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Agency FB" w:hAnsi="Agency FB" w:cs="Agency FB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color w:val="000000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sz w:val="20"/>
    </w:rPr>
  </w:style>
  <w:style w:type="character" w:styleId="WW8Num12z0">
    <w:name w:val="WW8Num12z0"/>
    <w:qFormat/>
    <w:rPr>
      <w:rFonts w:ascii="Symbol" w:hAnsi="Symbol" w:cs="Symbol"/>
      <w:sz w:val="20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eastAsia="Times New Roman" w:cs="Times New Roman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Agency FB" w:hAnsi="Agency FB" w:cs="Agency FB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/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>
      <w:rFonts w:ascii="Symbol" w:hAnsi="Symbol" w:cs="Symbo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5z0">
    <w:name w:val="WW8Num25z0"/>
    <w:qFormat/>
    <w:rPr>
      <w:rFonts w:ascii="Times New Roman" w:hAnsi="Times New Roman" w:cs="Times New Roman"/>
      <w:b/>
      <w:i w:val="false"/>
      <w:color w:val="000000"/>
      <w:sz w:val="28"/>
    </w:rPr>
  </w:style>
  <w:style w:type="character" w:styleId="WW8Num26z0">
    <w:name w:val="WW8Num26z0"/>
    <w:qFormat/>
    <w:rPr>
      <w:rFonts w:ascii="Times New Roman" w:hAnsi="Times New Roman" w:eastAsia="Times New Roman" w:cs="Times New Roman"/>
    </w:rPr>
  </w:style>
  <w:style w:type="character" w:styleId="WW8Num26z1">
    <w:name w:val="WW8Num26z1"/>
    <w:qFormat/>
    <w:rPr>
      <w:rFonts w:ascii="Courier New" w:hAnsi="Courier New" w:cs="Courier New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3">
    <w:name w:val="WW8Num26z3"/>
    <w:qFormat/>
    <w:rPr>
      <w:rFonts w:ascii="Symbol" w:hAnsi="Symbol" w:cs="Symbol"/>
    </w:rPr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8z0">
    <w:name w:val="WW8Num28z0"/>
    <w:qFormat/>
    <w:rPr>
      <w:rFonts w:eastAsia="Calibri"/>
      <w:sz w:val="24"/>
      <w:szCs w:val="24"/>
    </w:rPr>
  </w:style>
  <w:style w:type="character" w:styleId="WW8Num31z0">
    <w:name w:val="WW8Num31z0"/>
    <w:qFormat/>
    <w:rPr>
      <w:rFonts w:eastAsia="Calibri"/>
      <w:color w:val="000000"/>
    </w:rPr>
  </w:style>
  <w:style w:type="character" w:styleId="Style5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rPr>
      <w:sz w:val="20"/>
    </w:rPr>
  </w:style>
  <w:style w:type="character" w:styleId="Style6">
    <w:name w:val="Нижний колонтитул Знак"/>
    <w:qFormat/>
    <w:rPr>
      <w:sz w:val="24"/>
      <w:szCs w:val="24"/>
      <w:lang w:val="ru-RU" w:bidi="ar-SA"/>
    </w:rPr>
  </w:style>
  <w:style w:type="character" w:styleId="Style7">
    <w:name w:val="Верхний колонтитул Знак"/>
    <w:qFormat/>
    <w:rPr>
      <w:sz w:val="24"/>
      <w:szCs w:val="24"/>
      <w:lang w:val="ru-RU" w:bidi="ar-SA"/>
    </w:rPr>
  </w:style>
  <w:style w:type="character" w:styleId="Style8">
    <w:name w:val="Основной текст_"/>
    <w:qFormat/>
    <w:rPr>
      <w:sz w:val="26"/>
      <w:szCs w:val="26"/>
      <w:shd w:fill="FFFFFF" w:val="clear"/>
    </w:rPr>
  </w:style>
  <w:style w:type="character" w:styleId="Style9">
    <w:name w:val="Текст выноски Знак"/>
    <w:qFormat/>
    <w:rPr>
      <w:rFonts w:ascii="Tahoma" w:hAnsi="Tahoma" w:cs="Tahoma"/>
      <w:sz w:val="16"/>
      <w:szCs w:val="16"/>
    </w:rPr>
  </w:style>
  <w:style w:type="character" w:styleId="Style10">
    <w:name w:val="Знак примечания"/>
    <w:qFormat/>
    <w:rPr>
      <w:sz w:val="16"/>
      <w:szCs w:val="16"/>
    </w:rPr>
  </w:style>
  <w:style w:type="character" w:styleId="Style11">
    <w:name w:val="Текст примечания Знак"/>
    <w:basedOn w:val="Style5"/>
    <w:qFormat/>
    <w:rPr/>
  </w:style>
  <w:style w:type="character" w:styleId="Style12">
    <w:name w:val="Тема примечания Знак"/>
    <w:qFormat/>
    <w:rPr>
      <w:b/>
      <w:bCs/>
    </w:rPr>
  </w:style>
  <w:style w:type="character" w:styleId="2">
    <w:name w:val="Основной текст (2)_"/>
    <w:qFormat/>
    <w:rPr>
      <w:b/>
      <w:bCs/>
      <w:sz w:val="27"/>
      <w:szCs w:val="27"/>
      <w:shd w:fill="FFFFFF" w:val="clear"/>
    </w:rPr>
  </w:style>
  <w:style w:type="character" w:styleId="21">
    <w:name w:val="Основной текст (2) + Полужирный"/>
    <w:qFormat/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4"/>
      <w:sz w:val="24"/>
      <w:szCs w:val="24"/>
      <w:u w:val="none"/>
      <w:shd w:fill="FFFFFF" w:val="clear"/>
      <w:vertAlign w:val="baseline"/>
      <w:lang w:val="ru-RU" w:bidi="ru-RU"/>
    </w:rPr>
  </w:style>
  <w:style w:type="character" w:styleId="3">
    <w:name w:val="Заголовок 3 Знак"/>
    <w:qFormat/>
    <w:rPr>
      <w:rFonts w:ascii="Calibri Light" w:hAnsi="Calibri Light" w:eastAsia="SimSun;宋体" w:cs="Times New Roman"/>
      <w:spacing w:val="4"/>
      <w:sz w:val="24"/>
      <w:szCs w:val="24"/>
    </w:rPr>
  </w:style>
  <w:style w:type="character" w:styleId="22">
    <w:name w:val="Заголовок 2 Знак"/>
    <w:qFormat/>
    <w:rPr>
      <w:rFonts w:ascii="Times New Roman" w:hAnsi="Times New Roman" w:eastAsia="SimSun;宋体" w:cs="Times New Roman"/>
      <w:b/>
      <w:bCs/>
      <w:sz w:val="24"/>
      <w:szCs w:val="28"/>
    </w:rPr>
  </w:style>
  <w:style w:type="character" w:styleId="1">
    <w:name w:val="Заголовок 1 Знак"/>
    <w:qFormat/>
    <w:rPr>
      <w:rFonts w:ascii="Times New Roman" w:hAnsi="Times New Roman" w:eastAsia="SimSun;宋体" w:cs="Times New Roman"/>
      <w:b/>
      <w:bCs/>
      <w:sz w:val="28"/>
      <w:szCs w:val="28"/>
    </w:rPr>
  </w:style>
  <w:style w:type="character" w:styleId="4">
    <w:name w:val="Заголовок 4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5">
    <w:name w:val="Заголовок 5 Знак"/>
    <w:qFormat/>
    <w:rPr>
      <w:rFonts w:ascii="Calibri Light" w:hAnsi="Calibri Light" w:eastAsia="SimSun;宋体" w:cs="Times New Roman"/>
      <w:b/>
      <w:bCs/>
    </w:rPr>
  </w:style>
  <w:style w:type="character" w:styleId="6">
    <w:name w:val="Заголовок 6 Знак"/>
    <w:qFormat/>
    <w:rPr>
      <w:rFonts w:ascii="Calibri Light" w:hAnsi="Calibri Light" w:eastAsia="SimSun;宋体" w:cs="Times New Roman"/>
      <w:b/>
      <w:bCs/>
      <w:i/>
      <w:iCs/>
    </w:rPr>
  </w:style>
  <w:style w:type="character" w:styleId="7">
    <w:name w:val="Заголовок 7 Знак"/>
    <w:qFormat/>
    <w:rPr>
      <w:i/>
      <w:iCs/>
    </w:rPr>
  </w:style>
  <w:style w:type="character" w:styleId="8">
    <w:name w:val="Заголовок 8 Знак"/>
    <w:qFormat/>
    <w:rPr>
      <w:b/>
      <w:bCs/>
    </w:rPr>
  </w:style>
  <w:style w:type="character" w:styleId="9">
    <w:name w:val="Заголовок 9 Знак"/>
    <w:qFormat/>
    <w:rPr>
      <w:i/>
      <w:iCs/>
    </w:rPr>
  </w:style>
  <w:style w:type="character" w:styleId="Style13">
    <w:name w:val="Заголовок Знак"/>
    <w:qFormat/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character" w:styleId="Style14">
    <w:name w:val="Подзаголовок Знак"/>
    <w:qFormat/>
    <w:rPr>
      <w:rFonts w:ascii="Calibri Light" w:hAnsi="Calibri Light" w:eastAsia="SimSun;宋体" w:cs="Times New Roman"/>
      <w:sz w:val="24"/>
      <w:szCs w:val="24"/>
    </w:rPr>
  </w:style>
  <w:style w:type="character" w:styleId="Strong">
    <w:name w:val="Strong"/>
    <w:qFormat/>
    <w:rPr>
      <w:b/>
      <w:bCs/>
      <w:color w:val="000000"/>
    </w:rPr>
  </w:style>
  <w:style w:type="character" w:styleId="Emphasis">
    <w:name w:val="Emphasis"/>
    <w:qFormat/>
    <w:rPr>
      <w:i/>
      <w:iCs/>
      <w:color w:val="000000"/>
    </w:rPr>
  </w:style>
  <w:style w:type="character" w:styleId="23">
    <w:name w:val="Цитата 2 Знак"/>
    <w:qFormat/>
    <w:rPr>
      <w:rFonts w:ascii="Calibri Light" w:hAnsi="Calibri Light" w:eastAsia="SimSun;宋体" w:cs="Times New Roman"/>
      <w:i/>
      <w:iCs/>
      <w:sz w:val="24"/>
      <w:szCs w:val="24"/>
    </w:rPr>
  </w:style>
  <w:style w:type="character" w:styleId="Style15">
    <w:name w:val="Выделенная цитата Знак"/>
    <w:qFormat/>
    <w:rPr>
      <w:rFonts w:ascii="Calibri Light" w:hAnsi="Calibri Light" w:eastAsia="SimSun;宋体" w:cs="Times New Roman"/>
      <w:sz w:val="26"/>
      <w:szCs w:val="26"/>
    </w:rPr>
  </w:style>
  <w:style w:type="character" w:styleId="Style16">
    <w:name w:val="Слабое выделение"/>
    <w:qFormat/>
    <w:rPr>
      <w:i/>
      <w:iCs/>
      <w:color w:val="000000"/>
    </w:rPr>
  </w:style>
  <w:style w:type="character" w:styleId="Style17">
    <w:name w:val="Сильное выделение"/>
    <w:qFormat/>
    <w:rPr>
      <w:b/>
      <w:bCs/>
      <w:i/>
      <w:iCs/>
      <w:color w:val="000000"/>
    </w:rPr>
  </w:style>
  <w:style w:type="character" w:styleId="Style18">
    <w:name w:val="Слабая ссылка"/>
    <w:qFormat/>
    <w:rPr>
      <w:smallCaps/>
      <w:color w:val="000000"/>
      <w:u w:val="single" w:color="7F7F7F"/>
    </w:rPr>
  </w:style>
  <w:style w:type="character" w:styleId="Style19">
    <w:name w:val="Сильная ссылка"/>
    <w:qFormat/>
    <w:rPr>
      <w:b/>
      <w:bCs/>
      <w:smallCaps/>
      <w:color w:val="000000"/>
      <w:u w:val="single"/>
    </w:rPr>
  </w:style>
  <w:style w:type="character" w:styleId="Style20">
    <w:name w:val="Название книги"/>
    <w:qFormat/>
    <w:rPr>
      <w:b/>
      <w:bCs/>
      <w:smallCaps/>
      <w:color w:val="000000"/>
    </w:rPr>
  </w:style>
  <w:style w:type="character" w:styleId="24">
    <w:name w:val="Заголовок №2_"/>
    <w:qFormat/>
    <w:rPr>
      <w:rFonts w:ascii="Times New Roman" w:hAnsi="Times New Roman" w:cs="Times New Roman"/>
      <w:b/>
      <w:bCs/>
      <w:sz w:val="26"/>
      <w:szCs w:val="26"/>
      <w:shd w:fill="FFFFFF" w:val="clear"/>
    </w:rPr>
  </w:style>
  <w:style w:type="character" w:styleId="FontStyle11">
    <w:name w:val="Font Style11"/>
    <w:qFormat/>
    <w:rPr>
      <w:rFonts w:ascii="Times New Roman" w:hAnsi="Times New Roman" w:cs="Times New Roman"/>
      <w:sz w:val="22"/>
      <w:szCs w:val="22"/>
    </w:rPr>
  </w:style>
  <w:style w:type="character" w:styleId="Style21">
    <w:name w:val="Исходный текст"/>
    <w:qFormat/>
    <w:rPr>
      <w:rFonts w:ascii="Liberation Mono;Courier New" w:hAnsi="Liberation Mono;Courier New" w:eastAsia="NSimSun" w:cs="Liberation Mono;Courier New"/>
    </w:rPr>
  </w:style>
  <w:style w:type="character" w:styleId="Style22">
    <w:name w:val="Ссылка указателя"/>
    <w:qFormat/>
    <w:rPr/>
  </w:style>
  <w:style w:type="character" w:styleId="Style23">
    <w:name w:val="Маркеры"/>
    <w:qFormat/>
    <w:rPr>
      <w:rFonts w:ascii="OpenSymbol" w:hAnsi="OpenSymbol" w:eastAsia="OpenSymbol" w:cs="OpenSymbol"/>
    </w:rPr>
  </w:style>
  <w:style w:type="paragraph" w:styleId="Style24">
    <w:name w:val="Заголовок"/>
    <w:basedOn w:val="Normal"/>
    <w:next w:val="Normal"/>
    <w:qFormat/>
    <w:pPr>
      <w:spacing w:lineRule="auto" w:line="240" w:before="0" w:after="0"/>
      <w:contextualSpacing/>
      <w:jc w:val="center"/>
    </w:pPr>
    <w:rPr>
      <w:rFonts w:ascii="Calibri Light" w:hAnsi="Calibri Light" w:eastAsia="SimSun;宋体" w:cs="Times New Roman"/>
      <w:b/>
      <w:bCs/>
      <w:spacing w:val="-7"/>
      <w:sz w:val="48"/>
      <w:szCs w:val="4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5">
    <w:name w:val="Указатель"/>
    <w:basedOn w:val="Normal"/>
    <w:qFormat/>
    <w:pPr>
      <w:suppressLineNumbers/>
    </w:pPr>
    <w:rPr>
      <w:rFonts w:cs="Arial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 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26">
    <w:name w:val="список с точками"/>
    <w:basedOn w:val="Normal"/>
    <w:qFormat/>
    <w:pPr>
      <w:numPr>
        <w:ilvl w:val="0"/>
        <w:numId w:val="3"/>
      </w:numPr>
      <w:spacing w:lineRule="auto" w:line="312"/>
      <w:ind w:hanging="0" w:start="0" w:end="0"/>
    </w:pPr>
    <w:rPr/>
  </w:style>
  <w:style w:type="paragraph" w:styleId="Style27">
    <w:name w:val="Для таблиц"/>
    <w:basedOn w:val="Normal"/>
    <w:qFormat/>
    <w:pPr>
      <w:widowControl/>
      <w:ind w:hanging="0" w:start="0" w:end="0"/>
      <w:jc w:val="start"/>
    </w:pPr>
    <w:rPr/>
  </w:style>
  <w:style w:type="paragraph" w:styleId="Style28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/>
      <w:tabs>
        <w:tab w:val="clear" w:pos="708"/>
        <w:tab w:val="center" w:pos="4677" w:leader="none"/>
        <w:tab w:val="right" w:pos="9355" w:leader="none"/>
      </w:tabs>
      <w:ind w:hanging="0" w:start="0" w:end="0"/>
      <w:jc w:val="start"/>
    </w:pPr>
    <w:rPr/>
  </w:style>
  <w:style w:type="paragraph" w:styleId="Style29">
    <w:name w:val="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BodyTextIndent">
    <w:name w:val="Body Text Indent"/>
    <w:basedOn w:val="Normal"/>
    <w:pPr>
      <w:numPr>
        <w:ilvl w:val="0"/>
        <w:numId w:val="2"/>
      </w:numPr>
      <w:spacing w:lineRule="atLeast" w:line="360"/>
    </w:pPr>
    <w:rPr>
      <w:rFonts w:ascii="TimesET;Times New Roman" w:hAnsi="TimesET;Times New Roman" w:cs="TimesET;Times New Roman"/>
      <w:sz w:val="28"/>
      <w:szCs w:val="20"/>
    </w:rPr>
  </w:style>
  <w:style w:type="paragraph" w:styleId="Style30">
    <w:name w:val="Обычный (Интернет)"/>
    <w:basedOn w:val="Normal"/>
    <w:qFormat/>
    <w:pPr>
      <w:numPr>
        <w:ilvl w:val="0"/>
        <w:numId w:val="2"/>
      </w:numPr>
      <w:spacing w:before="280" w:after="280"/>
      <w:ind w:hanging="0" w:start="0" w:end="0"/>
      <w:jc w:val="start"/>
    </w:pPr>
    <w:rPr/>
  </w:style>
  <w:style w:type="paragraph" w:styleId="31">
    <w:name w:val="Маркированный список 3"/>
    <w:basedOn w:val="Normal"/>
    <w:qFormat/>
    <w:pPr>
      <w:widowControl/>
      <w:tabs>
        <w:tab w:val="left" w:pos="708" w:leader="none"/>
      </w:tabs>
      <w:ind w:firstLine="567" w:start="0" w:end="0"/>
      <w:jc w:val="start"/>
    </w:pPr>
    <w:rPr>
      <w:bCs/>
      <w:i/>
      <w:iCs/>
      <w:sz w:val="28"/>
      <w:szCs w:val="28"/>
    </w:rPr>
  </w:style>
  <w:style w:type="paragraph" w:styleId="FR2">
    <w:name w:val="FR2"/>
    <w:qFormat/>
    <w:pPr>
      <w:widowControl w:val="false"/>
      <w:suppressAutoHyphens w:val="true"/>
      <w:bidi w:val="0"/>
      <w:spacing w:lineRule="auto" w:line="300" w:before="0" w:after="160"/>
      <w:ind w:firstLine="720" w:start="0" w:end="0"/>
      <w:jc w:val="both"/>
    </w:pPr>
    <w:rPr>
      <w:rFonts w:ascii="Calibri" w:hAnsi="Calibri" w:eastAsia="Times New Roman" w:cs="Times New Roman"/>
      <w:color w:val="auto"/>
      <w:kern w:val="0"/>
      <w:sz w:val="28"/>
      <w:szCs w:val="22"/>
      <w:lang w:val="ru-RU" w:eastAsia="zh-CN" w:bidi="ar-SA"/>
    </w:rPr>
  </w:style>
  <w:style w:type="paragraph" w:styleId="25">
    <w:name w:val="Основной текст 2"/>
    <w:basedOn w:val="Normal"/>
    <w:qFormat/>
    <w:pPr>
      <w:spacing w:lineRule="auto" w:line="480" w:before="0" w:after="120"/>
    </w:pPr>
    <w:rPr/>
  </w:style>
  <w:style w:type="paragraph" w:styleId="Caaieiaie2">
    <w:name w:val="caaieiaie 2"/>
    <w:basedOn w:val="Normal"/>
    <w:next w:val="Normal"/>
    <w:qFormat/>
    <w:pPr>
      <w:keepNext w:val="true"/>
      <w:tabs>
        <w:tab w:val="clear" w:pos="708"/>
        <w:tab w:val="left" w:pos="432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1728" w:leader="none"/>
        <w:tab w:val="left" w:pos="1872" w:leader="none"/>
        <w:tab w:val="left" w:pos="2160" w:leader="none"/>
        <w:tab w:val="left" w:pos="2448" w:leader="none"/>
        <w:tab w:val="left" w:pos="2592" w:leader="none"/>
        <w:tab w:val="left" w:pos="2736" w:leader="none"/>
        <w:tab w:val="left" w:pos="3024" w:leader="none"/>
        <w:tab w:val="left" w:pos="3744" w:leader="none"/>
        <w:tab w:val="left" w:pos="3888" w:leader="none"/>
        <w:tab w:val="left" w:pos="4752" w:leader="none"/>
        <w:tab w:val="left" w:pos="5904" w:leader="none"/>
        <w:tab w:val="left" w:pos="6048" w:leader="none"/>
        <w:tab w:val="left" w:pos="6624" w:leader="none"/>
        <w:tab w:val="left" w:pos="8496" w:leader="none"/>
      </w:tabs>
      <w:spacing w:lineRule="auto" w:line="480" w:before="0" w:after="240"/>
      <w:ind w:hanging="0" w:start="0" w:end="0"/>
      <w:jc w:val="start"/>
    </w:pPr>
    <w:rPr>
      <w:sz w:val="28"/>
      <w:szCs w:val="20"/>
    </w:rPr>
  </w:style>
  <w:style w:type="paragraph" w:styleId="BodyText21">
    <w:name w:val="Body Text 21"/>
    <w:basedOn w:val="Normal"/>
    <w:qFormat/>
    <w:pPr>
      <w:tabs>
        <w:tab w:val="clear" w:pos="708"/>
        <w:tab w:val="left" w:pos="432" w:leader="none"/>
        <w:tab w:val="left" w:pos="576" w:leader="none"/>
        <w:tab w:val="left" w:pos="720" w:leader="none"/>
        <w:tab w:val="left" w:pos="864" w:leader="none"/>
        <w:tab w:val="left" w:pos="1296" w:leader="none"/>
        <w:tab w:val="left" w:pos="1440" w:leader="none"/>
        <w:tab w:val="left" w:pos="2304" w:leader="none"/>
        <w:tab w:val="left" w:pos="4176" w:leader="none"/>
      </w:tabs>
      <w:spacing w:before="0" w:after="240"/>
      <w:ind w:hanging="288" w:start="864" w:end="0"/>
    </w:pPr>
    <w:rPr>
      <w:sz w:val="28"/>
      <w:szCs w:val="20"/>
    </w:rPr>
  </w:style>
  <w:style w:type="paragraph" w:styleId="Fortables12">
    <w:name w:val="for_tables_12"/>
    <w:basedOn w:val="Normal"/>
    <w:qFormat/>
    <w:pPr>
      <w:widowControl/>
      <w:tabs>
        <w:tab w:val="clear" w:pos="708"/>
        <w:tab w:val="left" w:pos="643" w:leader="none"/>
      </w:tabs>
      <w:spacing w:lineRule="exact" w:line="320"/>
      <w:ind w:hanging="0" w:start="0" w:end="0"/>
      <w:jc w:val="start"/>
    </w:pPr>
    <w:rPr/>
  </w:style>
  <w:style w:type="paragraph" w:styleId="Style31">
    <w:name w:val="Знак Знак Знак Знак Знак Знак Знак Знак Знак Знак"/>
    <w:basedOn w:val="Normal"/>
    <w:qFormat/>
    <w:pPr>
      <w:widowControl/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2">
    <w:name w:val=" Знак Знак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Style33">
    <w:name w:val=" Знак Знак Знак Знак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4">
    <w:name w:val="Абзац списка"/>
    <w:basedOn w:val="Normal"/>
    <w:qFormat/>
    <w:pPr>
      <w:spacing w:before="0" w:after="0"/>
      <w:ind w:firstLine="709" w:start="720" w:end="0"/>
      <w:contextualSpacing/>
    </w:pPr>
    <w:rPr/>
  </w:style>
  <w:style w:type="paragraph" w:styleId="12">
    <w:name w:val="Знак1"/>
    <w:basedOn w:val="Normal"/>
    <w:qFormat/>
    <w:pPr>
      <w:widowControl/>
      <w:tabs>
        <w:tab w:val="clear" w:pos="708"/>
        <w:tab w:val="left" w:pos="643" w:leader="none"/>
      </w:tabs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szCs w:val="20"/>
      <w:lang w:val="en-US"/>
    </w:rPr>
  </w:style>
  <w:style w:type="paragraph" w:styleId="13">
    <w:name w:val="Основной текст1"/>
    <w:basedOn w:val="Normal"/>
    <w:qFormat/>
    <w:pPr>
      <w:widowControl/>
      <w:shd w:val="clear" w:fill="FFFFFF"/>
      <w:spacing w:lineRule="exact" w:line="485" w:before="720" w:after="0"/>
      <w:ind w:hanging="0" w:start="0" w:end="0"/>
    </w:pPr>
    <w:rPr>
      <w:sz w:val="26"/>
      <w:szCs w:val="26"/>
      <w:lang w:val="ru-RU"/>
    </w:rPr>
  </w:style>
  <w:style w:type="paragraph" w:styleId="Style35">
    <w:name w:val="Текст выноски"/>
    <w:basedOn w:val="Normal"/>
    <w:qFormat/>
    <w:pPr/>
    <w:rPr>
      <w:rFonts w:ascii="Tahoma" w:hAnsi="Tahoma" w:cs="Tahoma"/>
      <w:sz w:val="16"/>
      <w:szCs w:val="16"/>
      <w:lang w:val="ru-RU"/>
    </w:rPr>
  </w:style>
  <w:style w:type="paragraph" w:styleId="Style36">
    <w:name w:val="Текст примечания"/>
    <w:basedOn w:val="Normal"/>
    <w:qFormat/>
    <w:pPr/>
    <w:rPr>
      <w:sz w:val="20"/>
      <w:szCs w:val="20"/>
    </w:rPr>
  </w:style>
  <w:style w:type="paragraph" w:styleId="Style37">
    <w:name w:val="Тема примечания"/>
    <w:basedOn w:val="Style36"/>
    <w:next w:val="Style36"/>
    <w:qFormat/>
    <w:pPr/>
    <w:rPr>
      <w:b/>
      <w:bCs/>
      <w:lang w:val="ru-RU"/>
    </w:rPr>
  </w:style>
  <w:style w:type="paragraph" w:styleId="211">
    <w:name w:val="Основной текст (2)1"/>
    <w:basedOn w:val="Normal"/>
    <w:qFormat/>
    <w:pPr>
      <w:widowControl/>
      <w:shd w:val="clear" w:fill="FFFFFF"/>
      <w:spacing w:lineRule="exact" w:line="322"/>
      <w:ind w:hanging="0" w:start="0" w:end="0"/>
      <w:jc w:val="start"/>
    </w:pPr>
    <w:rPr>
      <w:b/>
      <w:bCs/>
      <w:sz w:val="27"/>
      <w:szCs w:val="27"/>
      <w:shd w:fill="FFFFFF" w:val="clear"/>
    </w:rPr>
  </w:style>
  <w:style w:type="paragraph" w:styleId="26">
    <w:name w:val="Основной текст (2)"/>
    <w:basedOn w:val="Normal"/>
    <w:qFormat/>
    <w:pPr>
      <w:shd w:val="clear" w:fill="FFFFFF"/>
      <w:spacing w:lineRule="atLeast" w:line="0" w:before="0" w:after="120"/>
      <w:ind w:hanging="0" w:start="0" w:end="0"/>
    </w:pPr>
    <w:rPr>
      <w:color w:val="000000"/>
      <w:sz w:val="28"/>
      <w:szCs w:val="28"/>
      <w:lang w:bidi="ru-RU"/>
    </w:rPr>
  </w:style>
  <w:style w:type="paragraph" w:styleId="Style38">
    <w:name w:val="Без интервала"/>
    <w:qFormat/>
    <w:pPr>
      <w:widowControl/>
      <w:suppressAutoHyphens w:val="true"/>
      <w:bidi w:val="0"/>
      <w:spacing w:before="0" w:after="0"/>
      <w:jc w:val="both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39">
    <w:name w:val="Название объекта"/>
    <w:basedOn w:val="Normal"/>
    <w:next w:val="Normal"/>
    <w:qFormat/>
    <w:pPr/>
    <w:rPr>
      <w:b/>
      <w:bCs/>
      <w:sz w:val="18"/>
      <w:szCs w:val="18"/>
    </w:rPr>
  </w:style>
  <w:style w:type="paragraph" w:styleId="Subtitle">
    <w:name w:val="Subtitle"/>
    <w:basedOn w:val="Normal"/>
    <w:next w:val="Normal"/>
    <w:qFormat/>
    <w:pPr>
      <w:numPr>
        <w:ilvl w:val="0"/>
        <w:numId w:val="0"/>
      </w:numPr>
      <w:spacing w:before="0" w:after="240"/>
      <w:ind w:hanging="0" w:start="0" w:end="0"/>
      <w:jc w:val="center"/>
    </w:pPr>
    <w:rPr>
      <w:rFonts w:ascii="Calibri Light" w:hAnsi="Calibri Light" w:eastAsia="SimSun;宋体" w:cs="Times New Roman"/>
      <w:sz w:val="24"/>
      <w:szCs w:val="24"/>
    </w:rPr>
  </w:style>
  <w:style w:type="paragraph" w:styleId="27">
    <w:name w:val="Цитата 2"/>
    <w:basedOn w:val="Normal"/>
    <w:next w:val="Normal"/>
    <w:qFormat/>
    <w:pPr>
      <w:spacing w:lineRule="auto" w:line="264" w:before="200" w:after="0"/>
      <w:ind w:firstLine="709" w:start="864" w:end="864"/>
      <w:jc w:val="center"/>
    </w:pPr>
    <w:rPr>
      <w:rFonts w:ascii="Calibri Light" w:hAnsi="Calibri Light" w:eastAsia="SimSun;宋体" w:cs="Times New Roman"/>
      <w:i/>
      <w:iCs/>
      <w:sz w:val="24"/>
      <w:szCs w:val="24"/>
    </w:rPr>
  </w:style>
  <w:style w:type="paragraph" w:styleId="Style40">
    <w:name w:val="Выделенная цитата"/>
    <w:basedOn w:val="Normal"/>
    <w:next w:val="Normal"/>
    <w:qFormat/>
    <w:pPr>
      <w:spacing w:before="280" w:after="240"/>
      <w:ind w:firstLine="709" w:start="936" w:end="936"/>
      <w:jc w:val="center"/>
    </w:pPr>
    <w:rPr>
      <w:rFonts w:ascii="Calibri Light" w:hAnsi="Calibri Light" w:eastAsia="SimSun;宋体" w:cs="Times New Roman"/>
      <w:sz w:val="26"/>
      <w:szCs w:val="26"/>
    </w:rPr>
  </w:style>
  <w:style w:type="paragraph" w:styleId="IndexHeading">
    <w:name w:val="Index Heading"/>
    <w:basedOn w:val="Style24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numPr>
        <w:ilvl w:val="0"/>
        <w:numId w:val="0"/>
      </w:numPr>
      <w:ind w:hanging="0" w:start="0" w:end="0"/>
      <w:outlineLvl w:val="9"/>
    </w:pPr>
    <w:rPr>
      <w:rFonts w:ascii="Calibri Light" w:hAnsi="Calibri Light" w:eastAsia="SimSun;宋体" w:cs="Times New Roman"/>
    </w:rPr>
  </w:style>
  <w:style w:type="paragraph" w:styleId="28">
    <w:name w:val="Заголовок №2"/>
    <w:basedOn w:val="Normal"/>
    <w:qFormat/>
    <w:pPr>
      <w:widowControl w:val="false"/>
      <w:shd w:val="clear" w:fill="FFFFFF"/>
      <w:spacing w:lineRule="atLeast" w:line="0" w:before="0" w:after="300"/>
      <w:ind w:hanging="260" w:start="0" w:end="0"/>
      <w:outlineLvl w:val="1"/>
    </w:pPr>
    <w:rPr>
      <w:rFonts w:ascii="Times New Roman" w:hAnsi="Times New Roman" w:cs="Times New Roman"/>
      <w:b/>
      <w:bCs/>
      <w:sz w:val="26"/>
      <w:szCs w:val="26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Msonormalcxspmiddle">
    <w:name w:val="msonormalcxspmiddle"/>
    <w:basedOn w:val="Normal"/>
    <w:qFormat/>
    <w:pPr>
      <w:spacing w:lineRule="auto" w:line="240" w:before="280" w:after="280"/>
      <w:jc w:val="start"/>
    </w:pPr>
    <w:rPr>
      <w:rFonts w:ascii="Times New Roman" w:hAnsi="Times New Roman" w:cs="Times New Roman"/>
      <w:sz w:val="24"/>
      <w:szCs w:val="24"/>
    </w:rPr>
  </w:style>
  <w:style w:type="paragraph" w:styleId="TOC3">
    <w:name w:val="TOC 3"/>
    <w:basedOn w:val="Normal"/>
    <w:next w:val="Normal"/>
    <w:pPr>
      <w:ind w:firstLine="709" w:start="480" w:end="0"/>
      <w:jc w:val="start"/>
    </w:pPr>
    <w:rPr>
      <w:rFonts w:ascii="Calibri" w:hAnsi="Calibri" w:cs="Calibri"/>
      <w:i/>
      <w:iCs/>
      <w:sz w:val="20"/>
      <w:szCs w:val="20"/>
    </w:rPr>
  </w:style>
  <w:style w:type="paragraph" w:styleId="TOC2">
    <w:name w:val="TOC 2"/>
    <w:basedOn w:val="Normal"/>
    <w:next w:val="Normal"/>
    <w:pPr>
      <w:tabs>
        <w:tab w:val="clear" w:pos="708"/>
        <w:tab w:val="left" w:pos="1418" w:leader="none"/>
        <w:tab w:val="right" w:pos="9515" w:leader="dot"/>
      </w:tabs>
      <w:ind w:hanging="426" w:start="1418" w:end="0"/>
      <w:jc w:val="start"/>
    </w:pPr>
    <w:rPr>
      <w:rFonts w:ascii="Calibri" w:hAnsi="Calibri" w:cs="Calibri"/>
      <w:smallCaps/>
      <w:sz w:val="20"/>
      <w:szCs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9515" w:leader="dot"/>
      </w:tabs>
      <w:spacing w:before="120" w:after="120"/>
      <w:ind w:hanging="284" w:start="993" w:end="0"/>
      <w:jc w:val="start"/>
    </w:pPr>
    <w:rPr>
      <w:rFonts w:ascii="Calibri" w:hAnsi="Calibri" w:cs="Calibri"/>
      <w:b/>
      <w:bCs/>
      <w:caps/>
      <w:sz w:val="20"/>
      <w:szCs w:val="20"/>
    </w:rPr>
  </w:style>
  <w:style w:type="paragraph" w:styleId="TOC4">
    <w:name w:val="TOC 4"/>
    <w:basedOn w:val="Normal"/>
    <w:next w:val="Normal"/>
    <w:pPr>
      <w:ind w:firstLine="709" w:start="720" w:end="0"/>
      <w:jc w:val="star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pPr>
      <w:ind w:firstLine="709" w:start="960" w:end="0"/>
      <w:jc w:val="start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pPr>
      <w:ind w:firstLine="709" w:start="1200" w:end="0"/>
      <w:jc w:val="star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pPr>
      <w:ind w:firstLine="709" w:start="1440" w:end="0"/>
      <w:jc w:val="star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pPr>
      <w:ind w:firstLine="709" w:start="1680" w:end="0"/>
      <w:jc w:val="star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pPr>
      <w:ind w:firstLine="709" w:start="1920" w:end="0"/>
      <w:jc w:val="start"/>
    </w:pPr>
    <w:rPr>
      <w:rFonts w:ascii="Calibri" w:hAnsi="Calibri" w:cs="Calibri"/>
      <w:sz w:val="18"/>
      <w:szCs w:val="18"/>
    </w:rPr>
  </w:style>
  <w:style w:type="paragraph" w:styleId="Style41">
    <w:name w:val="Содержимое таблицы"/>
    <w:basedOn w:val="Normal"/>
    <w:qFormat/>
    <w:pPr>
      <w:widowControl w:val="false"/>
      <w:suppressLineNumbers/>
    </w:pPr>
    <w:rPr/>
  </w:style>
  <w:style w:type="paragraph" w:styleId="Style42">
    <w:name w:val="Заголовок таблицы"/>
    <w:basedOn w:val="Style41"/>
    <w:qFormat/>
    <w:pPr>
      <w:suppressLineNumbers/>
      <w:jc w:val="center"/>
    </w:pPr>
    <w:rPr>
      <w:b/>
      <w:bCs/>
    </w:rPr>
  </w:style>
  <w:style w:type="paragraph" w:styleId="Style43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Application>LibreOffice/7.6.4.1$Windows_X86_64 LibreOffice_project/e19e193f88cd6c0525a17fb7a176ed8e6a3e2aa1</Application>
  <AppVersion>15.0000</AppVersion>
  <Pages>14</Pages>
  <Words>4039</Words>
  <Characters>33090</Characters>
  <CharactersWithSpaces>36923</CharactersWithSpaces>
  <Paragraphs>290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2023-09-21T09:22:00Z</dcterms:created>
  <dc:creator>Eugenia</dc:creator>
  <dc:description/>
  <dc:language>ru-RU</dc:language>
  <cp:lastModifiedBy/>
  <cp:lastPrinted>2023-09-26T10:14:00Z</cp:lastPrinted>
  <dcterms:modified xsi:type="dcterms:W3CDTF">2026-04-18T22:27:24Z</dcterms:modified>
  <cp:revision>57</cp:revision>
  <dc:subject/>
  <dc:title>Макет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писание">
    <vt:lpwstr>_x0000__x0000__x0000_</vt:lpwstr>
  </property>
</Properties>
</file>