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 w:start="0" w:end="0"/>
        <w:jc w:val="center"/>
        <w:rPr>
          <w:bCs/>
          <w:color w:val="595959"/>
          <w:sz w:val="22"/>
          <w:lang w:val="ru-RU" w:eastAsia="ru-RU"/>
        </w:rPr>
      </w:pPr>
      <w:r>
        <w:rPr>
          <w:bCs/>
          <w:color w:val="595959"/>
          <w:sz w:val="22"/>
          <w:lang w:val="ru-RU" w:eastAsia="ru-RU"/>
        </w:rPr>
        <w:drawing>
          <wp:anchor behindDoc="0" distT="0" distB="0" distL="0" distR="0" simplePos="0" locked="0" layoutInCell="1" allowOverlap="1" relativeHeight="28">
            <wp:simplePos x="0" y="0"/>
            <wp:positionH relativeFrom="column">
              <wp:posOffset>-848360</wp:posOffset>
            </wp:positionH>
            <wp:positionV relativeFrom="paragraph">
              <wp:posOffset>-502920</wp:posOffset>
            </wp:positionV>
            <wp:extent cx="7106920" cy="10586085"/>
            <wp:effectExtent l="0" t="0" r="0" b="0"/>
            <wp:wrapNone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-3" r="-5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6920" cy="1058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 w:start="0" w:end="0"/>
        <w:jc w:val="center"/>
        <w:rPr>
          <w:bCs/>
          <w:sz w:val="22"/>
        </w:rPr>
      </w:pPr>
      <w:r>
        <w:rPr>
          <w:bCs/>
          <w:sz w:val="22"/>
        </w:rPr>
        <w:t>МИНИСТЕРСТВО НАУКИ И ВЫСШЕГО ОБРАЗОВАНИЯ РОССИЙСКОЙ ФЕДЕРАЦИИ</w:t>
      </w:r>
    </w:p>
    <w:p>
      <w:pPr>
        <w:pStyle w:val="Normal"/>
        <w:ind w:hanging="0" w:start="0" w:end="0"/>
        <w:jc w:val="center"/>
        <w:rPr>
          <w:bCs/>
          <w:sz w:val="22"/>
        </w:rPr>
      </w:pPr>
      <w:r>
        <w:rPr>
          <w:bCs/>
          <w:sz w:val="22"/>
        </w:rPr>
      </w:r>
    </w:p>
    <w:p>
      <w:pPr>
        <w:pStyle w:val="211"/>
        <w:shd w:val="clear" w:fill="auto"/>
        <w:spacing w:lineRule="auto" w:line="240"/>
        <w:jc w:val="center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 xml:space="preserve">Федеральное государственное бюджетное образовательное учреждение </w:t>
      </w:r>
    </w:p>
    <w:p>
      <w:pPr>
        <w:pStyle w:val="211"/>
        <w:shd w:val="clear" w:fill="auto"/>
        <w:spacing w:lineRule="auto" w:line="240"/>
        <w:jc w:val="center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>высшего образования «Северо-Осетинский государственный университет</w:t>
      </w:r>
    </w:p>
    <w:p>
      <w:pPr>
        <w:pStyle w:val="211"/>
        <w:shd w:val="clear" w:fill="auto"/>
        <w:spacing w:lineRule="auto" w:line="240"/>
        <w:jc w:val="center"/>
        <w:rPr>
          <w:b/>
          <w:i/>
          <w:i/>
          <w:sz w:val="22"/>
          <w:szCs w:val="22"/>
        </w:rPr>
      </w:pPr>
      <w:r>
        <w:rPr>
          <w:b w:val="false"/>
          <w:sz w:val="22"/>
          <w:szCs w:val="22"/>
        </w:rPr>
        <w:t>имени Коста Левановича Хетагурова»</w:t>
      </w:r>
    </w:p>
    <w:p>
      <w:pPr>
        <w:pStyle w:val="Normal"/>
        <w:ind w:hanging="0" w:start="0" w:end="0"/>
        <w:jc w:val="center"/>
        <w:rPr>
          <w:b/>
          <w:i/>
          <w:i/>
          <w:sz w:val="22"/>
          <w:szCs w:val="22"/>
        </w:rPr>
      </w:pPr>
      <w:r>
        <w:rPr>
          <w:b/>
          <w:i/>
          <w:sz w:val="22"/>
          <w:szCs w:val="22"/>
        </w:rPr>
      </w:r>
    </w:p>
    <w:p>
      <w:pPr>
        <w:pStyle w:val="Normal"/>
        <w:ind w:hanging="0" w:start="0" w:end="0"/>
        <w:jc w:val="center"/>
        <w:rPr>
          <w:b/>
          <w:i/>
          <w:i/>
          <w:color w:val="595959"/>
          <w:sz w:val="22"/>
          <w:szCs w:val="22"/>
        </w:rPr>
      </w:pPr>
      <w:r>
        <w:rPr>
          <w:b/>
          <w:i/>
          <w:color w:val="595959"/>
          <w:sz w:val="22"/>
          <w:szCs w:val="22"/>
        </w:rPr>
      </w:r>
    </w:p>
    <w:p>
      <w:pPr>
        <w:pStyle w:val="Normal"/>
        <w:ind w:hanging="0" w:start="0" w:end="0"/>
        <w:jc w:val="center"/>
        <w:rPr>
          <w:i/>
          <w:i/>
          <w:color w:val="595959"/>
          <w:sz w:val="22"/>
        </w:rPr>
      </w:pPr>
      <w:r>
        <w:rPr>
          <w:i/>
          <w:color w:val="595959"/>
          <w:sz w:val="22"/>
        </w:rPr>
      </w:r>
    </w:p>
    <w:tbl>
      <w:tblPr>
        <w:tblW w:w="974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60"/>
        <w:gridCol w:w="4880"/>
      </w:tblGrid>
      <w:tr>
        <w:trPr/>
        <w:tc>
          <w:tcPr>
            <w:tcW w:w="4860" w:type="dxa"/>
            <w:tcBorders/>
          </w:tcPr>
          <w:p>
            <w:pPr>
              <w:pStyle w:val="Style27"/>
              <w:spacing w:lineRule="auto" w:line="264"/>
              <w:rPr>
                <w:szCs w:val="24"/>
              </w:rPr>
            </w:pPr>
            <w:r>
              <w:rPr>
                <w:szCs w:val="24"/>
              </w:rPr>
              <w:t>Принято</w:t>
            </w:r>
          </w:p>
          <w:p>
            <w:pPr>
              <w:pStyle w:val="Style27"/>
              <w:spacing w:lineRule="auto" w:line="264"/>
              <w:rPr>
                <w:szCs w:val="24"/>
              </w:rPr>
            </w:pPr>
            <w:r>
              <w:rPr>
                <w:szCs w:val="24"/>
              </w:rPr>
              <w:t>Решением Ученого совета</w:t>
            </w:r>
          </w:p>
          <w:p>
            <w:pPr>
              <w:pStyle w:val="Style27"/>
              <w:spacing w:lineRule="auto" w:line="264"/>
              <w:rPr>
                <w:szCs w:val="24"/>
              </w:rPr>
            </w:pPr>
            <w:r>
              <w:rPr>
                <w:szCs w:val="24"/>
              </w:rPr>
              <w:t>27 апреля 2023 г.</w:t>
            </w:r>
          </w:p>
          <w:p>
            <w:pPr>
              <w:pStyle w:val="Style27"/>
              <w:spacing w:lineRule="auto" w:line="264"/>
              <w:rPr>
                <w:szCs w:val="24"/>
                <w:u w:val="single"/>
                <w:lang w:val="en-US"/>
              </w:rPr>
            </w:pPr>
            <w:r>
              <w:rPr>
                <w:szCs w:val="24"/>
              </w:rPr>
              <w:t>Протокол № 9</w:t>
            </w:r>
          </w:p>
          <w:p>
            <w:pPr>
              <w:pStyle w:val="Normal"/>
              <w:spacing w:lineRule="auto" w:line="264"/>
              <w:jc w:val="start"/>
              <w:rPr>
                <w:szCs w:val="24"/>
                <w:u w:val="single"/>
                <w:lang w:val="en-US"/>
              </w:rPr>
            </w:pPr>
            <w:r>
              <w:rPr>
                <w:szCs w:val="24"/>
                <w:u w:val="single"/>
                <w:lang w:val="en-US"/>
              </w:rPr>
            </w:r>
          </w:p>
        </w:tc>
        <w:tc>
          <w:tcPr>
            <w:tcW w:w="4880" w:type="dxa"/>
            <w:tcBorders/>
          </w:tcPr>
          <w:p>
            <w:pPr>
              <w:pStyle w:val="Normal"/>
              <w:spacing w:lineRule="auto" w:line="264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Утверждаю</w:t>
            </w:r>
          </w:p>
          <w:p>
            <w:pPr>
              <w:pStyle w:val="Normal"/>
              <w:spacing w:lineRule="auto" w:line="264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Проректор по учебной работе</w:t>
            </w:r>
          </w:p>
          <w:p>
            <w:pPr>
              <w:pStyle w:val="Normal"/>
              <w:spacing w:lineRule="auto" w:line="264" w:before="120" w:after="120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____________ З.А. Загалова</w:t>
            </w:r>
          </w:p>
          <w:p>
            <w:pPr>
              <w:pStyle w:val="Normal"/>
              <w:spacing w:lineRule="auto" w:line="264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28 апреля 2023 г.</w:t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tbl>
      <w:tblPr>
        <w:tblW w:w="95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4"/>
      </w:tblGrid>
      <w:tr>
        <w:trPr/>
        <w:tc>
          <w:tcPr>
            <w:tcW w:w="4785" w:type="dxa"/>
            <w:tcBorders/>
          </w:tcPr>
          <w:p>
            <w:pPr>
              <w:pStyle w:val="Style27"/>
              <w:snapToGrid w:val="false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</w:tc>
        <w:tc>
          <w:tcPr>
            <w:tcW w:w="4784" w:type="dxa"/>
            <w:tcBorders/>
          </w:tcPr>
          <w:p>
            <w:pPr>
              <w:pStyle w:val="Style27"/>
              <w:snapToGrid w:val="false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  <w:p>
            <w:pPr>
              <w:pStyle w:val="Style27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  <w:p>
            <w:pPr>
              <w:pStyle w:val="Style27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88"/>
        <w:ind w:hanging="0" w:start="0" w:end="0"/>
        <w:jc w:val="center"/>
        <w:outlineLvl w:val="2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ОСНОВНАЯ ПРОФЕССИОНАЛЬНАЯ ОБРАЗОВАТЕЛЬНАЯ </w:t>
      </w:r>
    </w:p>
    <w:p>
      <w:pPr>
        <w:pStyle w:val="Normal"/>
        <w:widowControl w:val="false"/>
        <w:numPr>
          <w:ilvl w:val="0"/>
          <w:numId w:val="0"/>
        </w:numPr>
        <w:spacing w:lineRule="auto" w:line="288"/>
        <w:ind w:hanging="0" w:start="0" w:end="0"/>
        <w:jc w:val="center"/>
        <w:outlineLvl w:val="2"/>
        <w:rPr>
          <w:b/>
          <w:bCs/>
          <w:sz w:val="28"/>
          <w:szCs w:val="28"/>
        </w:rPr>
      </w:pPr>
      <w:r>
        <w:rPr>
          <w:bCs/>
          <w:sz w:val="28"/>
          <w:szCs w:val="28"/>
        </w:rPr>
        <w:t>ПРОГРАММА ВЫСШЕГО ОБРАЗОВАНИЯ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>Направление подготовки: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01.03.02 «Прикладная математика и информатика»</w:t>
      </w:r>
    </w:p>
    <w:p>
      <w:pPr>
        <w:pStyle w:val="Normal"/>
        <w:spacing w:lineRule="auto" w:line="288"/>
        <w:ind w:hanging="0" w:start="0" w:end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bookmarkStart w:id="0" w:name="_Hlk58498310"/>
      <w:bookmarkEnd w:id="0"/>
      <w:r>
        <w:rPr>
          <w:sz w:val="28"/>
          <w:szCs w:val="28"/>
        </w:rPr>
        <w:t xml:space="preserve">Профиль: 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«Программирование, анализ данных и 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математическое моделирование»</w:t>
      </w:r>
    </w:p>
    <w:p>
      <w:pPr>
        <w:pStyle w:val="Normal"/>
        <w:spacing w:lineRule="auto" w:line="288"/>
        <w:ind w:hanging="0" w:start="0" w:end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bookmarkStart w:id="1" w:name="_Hlk58498310_Копия_1"/>
      <w:bookmarkStart w:id="2" w:name="_Hlk58498310_Копия_1"/>
      <w:bookmarkEnd w:id="2"/>
    </w:p>
    <w:p>
      <w:pPr>
        <w:pStyle w:val="Normal"/>
        <w:spacing w:lineRule="auto" w:line="288"/>
        <w:ind w:hanging="0" w:start="0" w:end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Квалификация выпускника – </w:t>
      </w:r>
      <w:r>
        <w:rPr>
          <w:b/>
          <w:sz w:val="28"/>
          <w:szCs w:val="28"/>
        </w:rPr>
        <w:t>бакалавр</w:t>
      </w:r>
    </w:p>
    <w:p>
      <w:pPr>
        <w:pStyle w:val="Normal"/>
        <w:spacing w:lineRule="auto" w:line="36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Форма обучения – </w:t>
      </w:r>
      <w:r>
        <w:rPr>
          <w:b/>
          <w:bCs/>
          <w:sz w:val="28"/>
          <w:szCs w:val="28"/>
        </w:rPr>
        <w:t>очная</w:t>
      </w:r>
      <w:r>
        <w:rPr>
          <w:sz w:val="28"/>
          <w:szCs w:val="28"/>
        </w:rPr>
        <w:t xml:space="preserve"> </w:t>
      </w:r>
    </w:p>
    <w:p>
      <w:pPr>
        <w:pStyle w:val="Normal"/>
        <w:spacing w:lineRule="auto" w:line="360"/>
        <w:ind w:hanging="0" w:start="0" w:end="0"/>
        <w:jc w:val="center"/>
        <w:rPr>
          <w:b/>
          <w:sz w:val="28"/>
          <w:szCs w:val="24"/>
        </w:rPr>
      </w:pPr>
      <w:r>
        <w:rPr>
          <w:sz w:val="28"/>
          <w:szCs w:val="28"/>
        </w:rPr>
        <w:t>Год начала подготовки 2023</w:t>
      </w:r>
    </w:p>
    <w:p>
      <w:pPr>
        <w:pStyle w:val="Normal"/>
        <w:ind w:hanging="0" w:start="0" w:end="0"/>
        <w:rPr>
          <w:b/>
          <w:sz w:val="28"/>
          <w:szCs w:val="24"/>
        </w:rPr>
      </w:pPr>
      <w:r>
        <w:rPr>
          <w:b/>
          <w:sz w:val="28"/>
          <w:szCs w:val="24"/>
        </w:rPr>
      </w:r>
    </w:p>
    <w:p>
      <w:pPr>
        <w:pStyle w:val="Normal"/>
        <w:ind w:hanging="0" w:start="0" w:end="0"/>
        <w:rPr>
          <w:b/>
          <w:sz w:val="28"/>
          <w:szCs w:val="24"/>
        </w:rPr>
      </w:pPr>
      <w:r>
        <w:rPr>
          <w:b/>
          <w:sz w:val="28"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>Владикавказ</w:t>
      </w:r>
    </w:p>
    <w:p>
      <w:pPr>
        <w:pStyle w:val="Normal"/>
        <w:ind w:hanging="0" w:start="0" w:end="0"/>
        <w:jc w:val="center"/>
        <w:rPr>
          <w:bCs/>
          <w:sz w:val="28"/>
          <w:szCs w:val="28"/>
        </w:rPr>
      </w:pPr>
      <w:r>
        <w:rPr>
          <w:sz w:val="28"/>
          <w:szCs w:val="28"/>
        </w:rPr>
        <w:t>2023</w:t>
      </w:r>
      <w:r>
        <w:br w:type="page"/>
      </w:r>
    </w:p>
    <w:p>
      <w:pPr>
        <w:pStyle w:val="Normal"/>
        <w:spacing w:before="0" w:after="0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rPr>
          <w:i/>
          <w:i/>
          <w:iCs/>
          <w:color w:val="404040"/>
        </w:rPr>
      </w:pPr>
      <w:r>
        <w:rPr>
          <w:color w:val="404040"/>
        </w:rPr>
        <w:t>ОПОП ВО:</w:t>
      </w:r>
    </w:p>
    <w:p>
      <w:pPr>
        <w:pStyle w:val="Normal"/>
        <w:rPr>
          <w:bCs/>
          <w:i/>
          <w:i/>
          <w:iCs/>
          <w:color w:val="404040"/>
        </w:rPr>
      </w:pPr>
      <w:r>
        <w:t xml:space="preserve">разработана в соответствии с Федеральным государственным образовательным стандартом высшего образования – бакалавриат по направлению подготовки 01.03.01 Математика, утвержденным приказом Министерства образования и науки Российской Федерации от 10.01.2018 № № 8, </w:t>
      </w:r>
    </w:p>
    <w:p>
      <w:pPr>
        <w:pStyle w:val="Normal"/>
        <w:rPr>
          <w:bCs/>
          <w:color w:val="404040"/>
        </w:rPr>
      </w:pPr>
      <w:r>
        <w:t>обсуждена и рекомендована к утверждению на заседании совета факультета математики и компьютерных наук (протокол № 13 от 31.05.2022 г.).</w:t>
      </w:r>
    </w:p>
    <w:p>
      <w:pPr>
        <w:pStyle w:val="Default"/>
        <w:jc w:val="both"/>
        <w:rPr>
          <w:bCs/>
          <w:color w:val="404040"/>
        </w:rPr>
      </w:pPr>
      <w:r>
        <w:rPr>
          <w:bCs/>
          <w:color w:val="404040"/>
        </w:rPr>
      </w:r>
    </w:p>
    <w:p>
      <w:pPr>
        <w:pStyle w:val="Default"/>
        <w:jc w:val="both"/>
        <w:rPr>
          <w:bCs/>
          <w:color w:val="404040"/>
        </w:rPr>
      </w:pPr>
      <w:r>
        <w:rPr>
          <w:bCs/>
          <w:color w:val="404040"/>
        </w:rPr>
      </w:r>
    </w:p>
    <w:p>
      <w:pPr>
        <w:pStyle w:val="Default"/>
        <w:jc w:val="both"/>
        <w:rPr>
          <w:color w:val="404040"/>
        </w:rPr>
      </w:pPr>
      <w:r>
        <w:rPr>
          <w:color w:val="404040"/>
        </w:rPr>
        <w:drawing>
          <wp:anchor behindDoc="0" distT="0" distB="0" distL="0" distR="0" simplePos="0" locked="0" layoutInCell="1" allowOverlap="1" relativeHeight="30">
            <wp:simplePos x="0" y="0"/>
            <wp:positionH relativeFrom="column">
              <wp:posOffset>3772535</wp:posOffset>
            </wp:positionH>
            <wp:positionV relativeFrom="paragraph">
              <wp:posOffset>736600</wp:posOffset>
            </wp:positionV>
            <wp:extent cx="1352550" cy="1257300"/>
            <wp:effectExtent l="0" t="0" r="0" b="0"/>
            <wp:wrapNone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52" t="-56" r="-52" b="-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215" w:type="dxa"/>
        <w:jc w:val="start"/>
        <w:tblInd w:w="56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29"/>
        <w:gridCol w:w="1843"/>
        <w:gridCol w:w="1843"/>
      </w:tblGrid>
      <w:tr>
        <w:trPr/>
        <w:tc>
          <w:tcPr>
            <w:tcW w:w="5529" w:type="dxa"/>
            <w:tcBorders/>
          </w:tcPr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Разработчики ОПОП ВО: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  <w:drawing>
                <wp:anchor behindDoc="0" distT="0" distB="0" distL="0" distR="0" simplePos="0" locked="0" layoutInCell="1" allowOverlap="1" relativeHeight="29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76835</wp:posOffset>
                  </wp:positionV>
                  <wp:extent cx="1007110" cy="717550"/>
                  <wp:effectExtent l="0" t="0" r="0" b="0"/>
                  <wp:wrapNone/>
                  <wp:docPr id="3" name="Изображение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143" t="-200" r="-143" b="-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110" cy="71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</w:tr>
      <w:tr>
        <w:trPr/>
        <w:tc>
          <w:tcPr>
            <w:tcW w:w="5529" w:type="dxa"/>
            <w:tcBorders/>
          </w:tcPr>
          <w:p>
            <w:pPr>
              <w:pStyle w:val="Normal"/>
              <w:spacing w:before="120" w:after="0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Заведующий кафедрой прикладной математики</w:t>
            </w:r>
          </w:p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и информатики, к.ф.-м.н.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  <w:p>
            <w:pPr>
              <w:pStyle w:val="Normal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  <w:t>_____________</w:t>
            </w:r>
          </w:p>
        </w:tc>
        <w:tc>
          <w:tcPr>
            <w:tcW w:w="1843" w:type="dxa"/>
            <w:tcBorders/>
          </w:tcPr>
          <w:p>
            <w:r>
              <w:br/>
              <w:t>Е.К. Басаева</w:t>
            </w:r>
          </w:p>
        </w:tc>
      </w:tr>
      <w:tr>
        <w:trPr/>
        <w:tc>
          <w:tcPr>
            <w:tcW w:w="5529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jc w:val="start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</w:tr>
      <w:tr>
        <w:trPr>
          <w:trHeight w:val="967" w:hRule="atLeast"/>
        </w:trPr>
        <w:tc>
          <w:tcPr>
            <w:tcW w:w="5529" w:type="dxa"/>
            <w:tcBorders/>
          </w:tcPr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Декан факультета математики и компьютерных</w:t>
            </w:r>
          </w:p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наук, д.ф.-м.н.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  <w:p>
            <w:pPr>
              <w:pStyle w:val="Normal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  <w:t>_____________</w:t>
            </w:r>
          </w:p>
        </w:tc>
        <w:tc>
          <w:tcPr>
            <w:tcW w:w="1843" w:type="dxa"/>
            <w:tcBorders/>
          </w:tcPr>
          <w:p>
            <w:r>
              <w:br/>
              <w:t>Р.Ч. Кулаев</w:t>
            </w:r>
          </w:p>
        </w:tc>
      </w:tr>
    </w:tbl>
    <w:p>
      <w:pPr>
        <w:pStyle w:val="Heading1"/>
        <w:numPr>
          <w:ilvl w:val="0"/>
          <w:numId w:val="1"/>
        </w:numPr>
        <w:ind w:hanging="0" w:start="0" w:end="0"/>
        <w:rPr>
          <w:bCs w:val="false"/>
          <w:color w:val="595959"/>
        </w:rPr>
      </w:pPr>
      <w:r>
        <w:rPr>
          <w:bCs w:val="false"/>
          <w:color w:val="595959"/>
        </w:rPr>
      </w:r>
      <w:r>
        <w:br w:type="page"/>
      </w:r>
    </w:p>
    <w:p>
      <w:pPr>
        <w:pStyle w:val="Heading5"/>
        <w:numPr>
          <w:ilvl w:val="4"/>
          <w:numId w:val="1"/>
        </w:numPr>
        <w:spacing w:before="0" w:after="0"/>
        <w:ind w:firstLine="709" w:start="0" w:end="0"/>
        <w:jc w:val="center"/>
        <w:rPr>
          <w:rFonts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СОДЕРЖАНИЕ</w:t>
      </w:r>
    </w:p>
    <w:p>
      <w:pPr>
        <w:pStyle w:val="Normal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/>
          </w:pPr>
          <w:r>
            <w:fldChar w:fldCharType="begin"/>
          </w:r>
          <w:r>
            <w:rPr>
              <w:webHidden/>
              <w:rStyle w:val="Style22"/>
              <w:caps/>
              <w:sz w:val="24"/>
              <w:b/>
              <w:szCs w:val="24"/>
              <w:bCs/>
              <w:vanish w:val="false"/>
              <w:rFonts w:cs="Times New Roman" w:ascii="Times New Roman" w:hAnsi="Times New Roman"/>
              <w:lang w:val="ru-RU" w:eastAsia="ru-RU"/>
            </w:rPr>
            <w:instrText xml:space="preserve"> TOC \z \o "1-2" \u \h</w:instrText>
          </w:r>
          <w:r>
            <w:rPr>
              <w:webHidden/>
              <w:rStyle w:val="Style22"/>
              <w:caps/>
              <w:sz w:val="24"/>
              <w:b/>
              <w:szCs w:val="24"/>
              <w:bCs/>
              <w:vanish w:val="false"/>
              <w:rFonts w:cs="Times New Roman" w:ascii="Times New Roman" w:hAnsi="Times New Roman"/>
              <w:lang w:val="ru-RU" w:eastAsia="ru-RU"/>
            </w:rPr>
            <w:fldChar w:fldCharType="separate"/>
          </w:r>
          <w:hyperlink w:anchor="__RefHeading___Toc146271767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1. Общие положения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4</w:t>
            </w:r>
          </w:hyperlink>
        </w:p>
        <w:p>
          <w:pPr>
            <w:pStyle w:val="TOC2"/>
            <w:rPr/>
          </w:pPr>
          <w:hyperlink w:anchor="__RefHeading___Toc146271768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1.1.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</w:r>
            <w:r>
              <w:rPr>
                <w:rStyle w:val="Style22"/>
                <w:rFonts w:cs="Times New Roman" w:ascii="Times New Roman" w:hAnsi="Times New Roman"/>
                <w:smallCaps/>
                <w:sz w:val="24"/>
                <w:szCs w:val="24"/>
                <w:lang w:val="ru-RU" w:eastAsia="ru-RU"/>
              </w:rPr>
              <w:t>Нормативные документы для разработки ОПОП ВО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4</w:t>
            </w:r>
          </w:hyperlink>
        </w:p>
        <w:p>
          <w:pPr>
            <w:pStyle w:val="TOC2"/>
            <w:rPr/>
          </w:pPr>
          <w:hyperlink w:anchor="__RefHeading___Toc146271769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1.2.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</w:r>
            <w:r>
              <w:rPr>
                <w:rStyle w:val="Style22"/>
                <w:rFonts w:cs="Times New Roman" w:ascii="Times New Roman" w:hAnsi="Times New Roman"/>
                <w:smallCaps/>
                <w:sz w:val="24"/>
                <w:szCs w:val="24"/>
                <w:lang w:val="ru-RU" w:eastAsia="ru-RU"/>
              </w:rPr>
              <w:t>Общая характеристика ОПОП ВО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4</w:t>
            </w:r>
          </w:hyperlink>
        </w:p>
        <w:p>
          <w:pPr>
            <w:pStyle w:val="TOC2"/>
            <w:rPr/>
          </w:pPr>
          <w:hyperlink w:anchor="__RefHeading___Toc146271770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1.3. Требования к абитуриенту (бакалавриат)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1"/>
            <w:rPr/>
          </w:pPr>
          <w:hyperlink w:anchor="__RefHeading___Toc146271771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2. Характеристика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2"/>
            <w:rPr/>
          </w:pPr>
          <w:hyperlink w:anchor="__RefHeading___Toc146271772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2.1. Области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2"/>
            <w:rPr/>
          </w:pPr>
          <w:hyperlink w:anchor="__RefHeading___Toc146271773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2.2. Объекты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2"/>
            <w:rPr/>
          </w:pPr>
          <w:hyperlink w:anchor="__RefHeading___Toc146271774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2.3. Типы задач и задачи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6</w:t>
            </w:r>
          </w:hyperlink>
        </w:p>
        <w:p>
          <w:pPr>
            <w:pStyle w:val="TOC2"/>
            <w:rPr/>
          </w:pPr>
          <w:hyperlink w:anchor="__RefHeading___Toc146271775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2.4. Профессиональные стандарты, соответствующие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6</w:t>
            </w:r>
          </w:hyperlink>
        </w:p>
        <w:p>
          <w:pPr>
            <w:pStyle w:val="TOC1"/>
            <w:rPr/>
          </w:pPr>
          <w:hyperlink w:anchor="__RefHeading___Toc146271776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3. Компетенции выпускника, формируемые в результате освоения данной         ОПОП ВО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7</w:t>
            </w:r>
          </w:hyperlink>
        </w:p>
        <w:p>
          <w:pPr>
            <w:pStyle w:val="TOC1"/>
            <w:rPr/>
          </w:pPr>
          <w:hyperlink w:anchor="__RefHeading___Toc146271777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4. Документы, регламентирующие содержание и организацию образовательного процесса при реализации ОПОП ВО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13</w:t>
            </w:r>
          </w:hyperlink>
        </w:p>
        <w:p>
          <w:pPr>
            <w:pStyle w:val="TOC2"/>
            <w:rPr/>
          </w:pPr>
          <w:hyperlink w:anchor="__RefHeading___Toc146271778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shd w:fill="FFFFFF" w:val="clear"/>
                <w:lang w:val="ru-RU" w:eastAsia="ru-RU"/>
              </w:rPr>
              <w:t>4.1. Учебный план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13</w:t>
            </w:r>
          </w:hyperlink>
        </w:p>
        <w:p>
          <w:pPr>
            <w:pStyle w:val="TOC2"/>
            <w:rPr/>
          </w:pPr>
          <w:hyperlink w:anchor="__RefHeading___Toc146271779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shd w:fill="FFFFFF" w:val="clear"/>
                <w:lang w:val="ru-RU" w:eastAsia="ru-RU"/>
              </w:rPr>
              <w:t>4.2. Календарный учебный график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14</w:t>
            </w:r>
          </w:hyperlink>
        </w:p>
        <w:p>
          <w:pPr>
            <w:pStyle w:val="TOC2"/>
            <w:rPr/>
          </w:pPr>
          <w:hyperlink w:anchor="__RefHeading___Toc146271780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shd w:fill="FFFFFF" w:val="clear"/>
                <w:lang w:val="ru-RU" w:eastAsia="ru-RU"/>
              </w:rPr>
              <w:t>4.3. Рабочие программы учебных дисциплин (модулей)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14</w:t>
            </w:r>
          </w:hyperlink>
        </w:p>
        <w:p>
          <w:pPr>
            <w:pStyle w:val="TOC2"/>
            <w:rPr/>
          </w:pPr>
          <w:hyperlink w:anchor="__RefHeading___Toc146271781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4.4. Программы практик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14</w:t>
            </w:r>
          </w:hyperlink>
        </w:p>
        <w:p>
          <w:pPr>
            <w:pStyle w:val="TOC2"/>
            <w:rPr/>
          </w:pPr>
          <w:hyperlink w:anchor="__RefHeading___Toc146271782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4.5. Программа Государственной итоговой аттестации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15</w:t>
            </w:r>
          </w:hyperlink>
        </w:p>
        <w:p>
          <w:pPr>
            <w:pStyle w:val="TOC2"/>
            <w:rPr/>
          </w:pPr>
          <w:hyperlink w:anchor="__RefHeading___Toc146271783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4.6. Оценочные материалы по дисциплинам (модулям), практикам, государственной итоговой аттестации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15</w:t>
            </w:r>
          </w:hyperlink>
        </w:p>
        <w:p>
          <w:pPr>
            <w:pStyle w:val="TOC2"/>
            <w:rPr/>
          </w:pPr>
          <w:hyperlink w:anchor="__RefHeading___Toc146271784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4.7. Методические материалы по дисциплинам (модулям), практикам, государственной итоговой аттестации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15</w:t>
            </w:r>
          </w:hyperlink>
        </w:p>
        <w:p>
          <w:pPr>
            <w:pStyle w:val="TOC1"/>
            <w:rPr/>
          </w:pPr>
          <w:hyperlink w:anchor="__RefHeading___Toc146271785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5. Фактическое ресурсное обеспечение ОПОП ВО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16</w:t>
            </w:r>
          </w:hyperlink>
        </w:p>
        <w:p>
          <w:pPr>
            <w:pStyle w:val="TOC2"/>
            <w:rPr/>
          </w:pPr>
          <w:hyperlink w:anchor="__RefHeading___Toc146271786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5.1. Кадровое обеспечение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16</w:t>
            </w:r>
          </w:hyperlink>
        </w:p>
        <w:p>
          <w:pPr>
            <w:pStyle w:val="TOC2"/>
            <w:rPr/>
          </w:pPr>
          <w:hyperlink w:anchor="__RefHeading___Toc146271787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5.2. Материально-техническое и учебно-методическое обеспечение образовательного процесса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16</w:t>
            </w:r>
          </w:hyperlink>
        </w:p>
        <w:p>
          <w:pPr>
            <w:pStyle w:val="TOC2"/>
            <w:rPr/>
          </w:pPr>
          <w:hyperlink w:anchor="__RefHeading___Toc146271788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5.3. Содержание и организация учебного процесса для инвалидов и лиц с ограниченными возможностями здоровья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17</w:t>
            </w:r>
          </w:hyperlink>
        </w:p>
        <w:p>
          <w:pPr>
            <w:pStyle w:val="TOC2"/>
            <w:rPr/>
          </w:pPr>
          <w:hyperlink w:anchor="__RefHeading___Toc146271789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5.4. Финансовое обеспечение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18</w:t>
            </w:r>
          </w:hyperlink>
        </w:p>
        <w:p>
          <w:pPr>
            <w:pStyle w:val="TOC1"/>
            <w:rPr/>
          </w:pPr>
          <w:hyperlink w:anchor="__RefHeading___Toc146271790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6. Характеристика среды вуза, обеспечивающая развитие общекультурных и социально-личностных компетенций выпускников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18</w:t>
            </w:r>
          </w:hyperlink>
        </w:p>
        <w:p>
          <w:pPr>
            <w:pStyle w:val="TOC1"/>
            <w:rPr/>
          </w:pPr>
          <w:hyperlink w:anchor="__RefHeading___Toc146271791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7. Требования к применяемым механизмам оценки качества образовательной деятельности и подготовки обучающихся по образовательной программе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20</w:t>
            </w:r>
          </w:hyperlink>
        </w:p>
        <w:p>
          <w:pPr>
            <w:pStyle w:val="TOC1"/>
            <w:rPr/>
          </w:pPr>
          <w:hyperlink w:anchor="__RefHeading___Toc146271792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8. Содержание и организация учебного процесса для инвалидов и лиц с ограниченными возможностями здоровья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20</w:t>
            </w:r>
          </w:hyperlink>
          <w:r>
            <w:rPr>
              <w:rStyle w:val="Style22"/>
              <w:sz w:val="24"/>
              <w:b w:val="false"/>
              <w:szCs w:val="24"/>
              <w:bCs w:val="false"/>
              <w:rFonts w:cs="Times New Roman" w:ascii="Times New Roman" w:hAnsi="Times New Roman"/>
              <w:lang w:val="ru-RU" w:eastAsia="ru-RU"/>
            </w:rPr>
            <w:fldChar w:fldCharType="end"/>
          </w:r>
        </w:p>
      </w:sdtContent>
    </w:sdt>
    <w:p>
      <w:pPr>
        <w:pStyle w:val="Normal"/>
        <w:tabs>
          <w:tab w:val="clear" w:pos="708"/>
          <w:tab w:val="left" w:pos="284" w:leader="none"/>
        </w:tabs>
        <w:rPr>
          <w:szCs w:val="24"/>
          <w:lang w:val="ru-RU" w:eastAsia="ru-RU"/>
        </w:rPr>
      </w:pPr>
      <w:r>
        <w:rPr>
          <w:szCs w:val="24"/>
          <w:lang w:val="ru-RU" w:eastAsia="ru-RU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40"/>
        <w:ind w:hanging="0" w:start="0" w:end="0"/>
        <w:rPr/>
      </w:pPr>
      <w:bookmarkStart w:id="3" w:name="__RefHeading___Toc146271767"/>
      <w:bookmarkEnd w:id="3"/>
      <w:r>
        <w:rPr/>
        <w:t>1. Общие положения</w:t>
      </w:r>
    </w:p>
    <w:p>
      <w:pPr>
        <w:pStyle w:val="Normal"/>
        <w:rPr/>
      </w:pPr>
      <w:r>
        <w:t>Основная профессиональная образовательная программа бакалавриата, реализуемая федеральным государственным бюджетным образовательным учреждением высшего образования «Северо-Осетинский государственный университет имени Коста Левановича Хетагурова» по направлению подготовки 01.03.01 Математика, профиль «Кибербезопасность», представляет собой комплекс основных характеристик образования, разработанных и утвержденных с учетом требований рынка труда на основе Федерального государственного образовательного стандарта по соответствующему направлению подготовки высшего образования.</w:t>
      </w:r>
    </w:p>
    <w:p>
      <w:pPr>
        <w:pStyle w:val="Normal"/>
        <w:rPr/>
      </w:pPr>
      <w:r>
        <w:rPr/>
        <w:t xml:space="preserve">ОПОП регламентирует цели, ожидаемые результаты, содержание, условия и технологии реализации образовательного процесса, оценку качества подготовки выпускника по данному направлению подготовки и включает в себя: учебный план, рабочие программы учебных курсов, предметов, дисциплин (модулей) и другие материалы, обеспечивающие качество подготовки обучающихся, а также программы учебной и производственной практик, календарный учебный график и методические материалы, обеспечивающие реализацию соответствующих образовательных технологий. </w:t>
      </w:r>
    </w:p>
    <w:p>
      <w:pPr>
        <w:pStyle w:val="Heading2"/>
        <w:numPr>
          <w:ilvl w:val="1"/>
          <w:numId w:val="7"/>
        </w:numPr>
        <w:tabs>
          <w:tab w:val="clear" w:pos="708"/>
          <w:tab w:val="left" w:pos="1134" w:leader="none"/>
        </w:tabs>
        <w:ind w:firstLine="709" w:start="0" w:end="0"/>
        <w:rPr>
          <w:szCs w:val="24"/>
        </w:rPr>
      </w:pPr>
      <w:bookmarkStart w:id="4" w:name="__RefHeading___Toc146271768"/>
      <w:bookmarkEnd w:id="4"/>
      <w:r>
        <w:rPr/>
        <w:t>Нормативные документы для разработки ОПОП ВО</w:t>
      </w:r>
    </w:p>
    <w:p>
      <w:pPr>
        <w:pStyle w:val="Normal"/>
        <w:ind w:firstLine="720" w:start="0" w:end="0"/>
        <w:rPr>
          <w:szCs w:val="24"/>
          <w:highlight w:val="green"/>
        </w:rPr>
      </w:pPr>
      <w:bookmarkStart w:id="5" w:name="_Hlk58665426"/>
      <w:bookmarkEnd w:id="5"/>
      <w:r>
        <w:rPr>
          <w:szCs w:val="24"/>
        </w:rPr>
        <w:t>Нормативную правовую базу разработки ОПОП бакалавриата составляют:</w:t>
      </w:r>
    </w:p>
    <w:p>
      <w:pPr>
        <w:pStyle w:val="Style26"/>
        <w:jc w:val="both"/>
      </w:pPr>
      <w:r>
        <w:t xml:space="preserve"> </w:t>
      </w:r>
    </w:p>
    <w:p>
      <w:pPr>
        <w:pStyle w:val="Heading2"/>
        <w:numPr>
          <w:ilvl w:val="1"/>
          <w:numId w:val="7"/>
        </w:numPr>
        <w:tabs>
          <w:tab w:val="clear" w:pos="708"/>
          <w:tab w:val="left" w:pos="1134" w:leader="none"/>
        </w:tabs>
        <w:ind w:firstLine="709" w:start="0" w:end="0"/>
        <w:rPr>
          <w:lang w:bidi="ru-RU"/>
        </w:rPr>
      </w:pPr>
      <w:bookmarkStart w:id="6" w:name="__RefHeading___Toc146271769"/>
      <w:bookmarkStart w:id="7" w:name="_Hlk58665553_Копия_1"/>
      <w:bookmarkEnd w:id="6"/>
      <w:bookmarkEnd w:id="7"/>
      <w:r>
        <w:rPr/>
        <w:t>Общая характеристика ОПОП ВО</w:t>
      </w:r>
    </w:p>
    <w:p>
      <w:pPr>
        <w:pStyle w:val="Normal"/>
        <w:rPr>
          <w:b/>
          <w:bCs/>
          <w:lang w:bidi="ru-RU"/>
        </w:rPr>
      </w:pPr>
      <w:r>
        <w:t>Программа бакалавриата по направлению подготовки 01.03.01 Математика, профиль «Кибербезопасность», реализуется на государственном языке Российской Федерации – русском языке.</w:t>
      </w:r>
    </w:p>
    <w:p>
      <w:pPr>
        <w:pStyle w:val="Normal"/>
        <w:rPr>
          <w:b/>
          <w:bCs/>
          <w:lang w:bidi="ru-RU"/>
        </w:rPr>
      </w:pPr>
      <w:r>
        <w:rPr>
          <w:b/>
          <w:bCs/>
          <w:lang w:bidi="ru-RU"/>
        </w:rPr>
        <w:t>Квалификация,</w:t>
      </w:r>
      <w:r>
        <w:rPr>
          <w:lang w:bidi="ru-RU"/>
        </w:rPr>
        <w:t xml:space="preserve"> присваиваемая выпускникам ОПОП: бакалавр. </w:t>
      </w:r>
    </w:p>
    <w:p>
      <w:pPr>
        <w:pStyle w:val="Normal"/>
        <w:rPr>
          <w:lang w:bidi="ru-RU"/>
        </w:rPr>
      </w:pPr>
      <w:r>
        <w:rPr>
          <w:b/>
          <w:bCs/>
          <w:lang w:bidi="ru-RU"/>
        </w:rPr>
        <w:t>Программа подготовки:</w:t>
      </w:r>
      <w:r>
        <w:rPr>
          <w:lang w:bidi="ru-RU"/>
        </w:rPr>
        <w:t xml:space="preserve"> академический бакалавриат.</w:t>
      </w:r>
    </w:p>
    <w:p>
      <w:pPr>
        <w:pStyle w:val="Normal"/>
        <w:rPr>
          <w:b/>
          <w:bCs/>
          <w:color w:val="000000"/>
          <w:szCs w:val="24"/>
          <w:lang w:bidi="ru-RU"/>
        </w:rPr>
      </w:pPr>
      <w:r>
        <w:rPr>
          <w:lang w:bidi="ru-RU"/>
        </w:rPr>
        <w:t>При реализации программы бакалавриата организация вправе применять электронное обучение и дистанционные образовательные технологии.</w:t>
      </w:r>
    </w:p>
    <w:p>
      <w:pPr>
        <w:pStyle w:val="Normal"/>
        <w:numPr>
          <w:ilvl w:val="2"/>
          <w:numId w:val="4"/>
        </w:numPr>
        <w:spacing w:lineRule="auto" w:line="276" w:before="120" w:after="0"/>
        <w:ind w:hanging="567" w:start="1276" w:end="0"/>
        <w:rPr>
          <w:rStyle w:val="21"/>
          <w:b w:val="false"/>
        </w:rPr>
      </w:pPr>
      <w:bookmarkStart w:id="9" w:name="_Hlk58498896_Копия_1"/>
      <w:bookmarkEnd w:id="9"/>
      <w:r>
        <w:rPr>
          <w:b/>
          <w:bCs/>
          <w:color w:val="000000"/>
          <w:szCs w:val="24"/>
          <w:lang w:bidi="ru-RU"/>
        </w:rPr>
        <w:t>Цель ОПОП ВО</w:t>
      </w:r>
    </w:p>
    <w:p>
      <w:pPr>
        <w:pStyle w:val="Normal"/>
        <w:rPr>
          <w:b/>
          <w:bCs/>
          <w:color w:val="000000"/>
          <w:szCs w:val="24"/>
          <w:lang w:bidi="ru-RU"/>
        </w:rPr>
      </w:pPr>
      <w:r>
        <w:t>Целью ОПОП является формирование у студентов универсальных, общепрофессиональных и профессиональных компетенций, в соответствии с требованиями ФГОС ВО по направлению подготовки 01.03.01 Математика, позволяющих выпускнику успешно осуществлять свою профессиональную деятельность в области математического моделирования, вычислительной математики, программирования, а также  проектирования и разработке информационных систем, с учетом требований регионального рынка труда, способности к адаптации в профессиональной среде, потребности к самообразованию и повышению профессиональной квалификации.</w:t>
      </w:r>
    </w:p>
    <w:p>
      <w:pPr>
        <w:pStyle w:val="Normal"/>
        <w:numPr>
          <w:ilvl w:val="2"/>
          <w:numId w:val="4"/>
        </w:numPr>
        <w:tabs>
          <w:tab w:val="clear" w:pos="708"/>
          <w:tab w:val="left" w:pos="1276" w:leader="none"/>
        </w:tabs>
        <w:spacing w:lineRule="auto" w:line="276" w:before="120" w:after="0"/>
        <w:ind w:firstLine="709" w:start="0" w:end="0"/>
        <w:rPr/>
      </w:pPr>
      <w:r>
        <w:rPr>
          <w:b/>
          <w:bCs/>
          <w:color w:val="000000"/>
          <w:szCs w:val="24"/>
          <w:lang w:bidi="ru-RU"/>
        </w:rPr>
        <w:t>Срок освоения ОПОП ВО</w:t>
      </w:r>
    </w:p>
    <w:p>
      <w:pPr>
        <w:pStyle w:val="Normal"/>
        <w:rPr/>
      </w:pPr>
      <w:r>
        <w:rPr/>
        <w:t>Срок получения образования по программе бакалавриата:</w:t>
      </w:r>
    </w:p>
    <w:p>
      <w:pPr>
        <w:pStyle w:val="Normal"/>
        <w:rPr/>
      </w:pPr>
      <w:r>
        <w:rPr/>
        <w:t>в очной форме обучения, включая каникулы, предоставляемые после прохождения государственной итоговой аттестации, вне зависимости от применяемых образовательных технологий, составляет 4 года. Объем программы бакалавриата в очной форме обучения, реализуемый за один учебный год, составляет 60 зачетных единиц (далее – з.е.);</w:t>
      </w:r>
    </w:p>
    <w:p>
      <w:pPr>
        <w:pStyle w:val="Normal"/>
        <w:rPr/>
      </w:pPr>
      <w:r>
        <w:rPr/>
        <w:t xml:space="preserve">при обучении по индивидуальному учебному плану, вне зависимости от формы обучения, составляет не более срока получения образования, установленного для соответствующей формы обучения, а при обучении по индивидуальному плану лиц с ограниченными возможностями здоровья может быть увеличен по их желанию не более чем на 1 год по сравнению со сроком получения образования для соответствующей формы обучения. </w:t>
      </w:r>
    </w:p>
    <w:p>
      <w:pPr>
        <w:pStyle w:val="Normal"/>
        <w:rPr>
          <w:b/>
          <w:bCs/>
          <w:color w:val="000000"/>
          <w:szCs w:val="24"/>
          <w:lang w:bidi="ru-RU"/>
        </w:rPr>
      </w:pPr>
      <w:r>
        <w:rPr/>
        <w:t>Объем программы бакалавриата за один учебный год при обучении по индивидуальному плану (за исключением ускоренного обучения) вне зависимости от формы обучения составляет не более 70 з.е., а при ускоренном обучении – не более 80 з.е.</w:t>
      </w:r>
    </w:p>
    <w:p>
      <w:pPr>
        <w:pStyle w:val="Normal"/>
        <w:numPr>
          <w:ilvl w:val="2"/>
          <w:numId w:val="4"/>
        </w:numPr>
        <w:spacing w:lineRule="auto" w:line="276" w:before="120" w:after="0"/>
        <w:ind w:hanging="567" w:start="1276" w:end="0"/>
        <w:rPr>
          <w:lang w:bidi="ru-RU"/>
        </w:rPr>
      </w:pPr>
      <w:r>
        <w:rPr>
          <w:b/>
          <w:bCs/>
          <w:color w:val="000000"/>
          <w:szCs w:val="24"/>
          <w:lang w:bidi="ru-RU"/>
        </w:rPr>
        <w:t>Трудоемкость ОПОП ВО</w:t>
      </w:r>
    </w:p>
    <w:p>
      <w:pPr>
        <w:pStyle w:val="Normal"/>
        <w:rPr>
          <w:lang w:bidi="ru-RU"/>
        </w:rPr>
      </w:pPr>
      <w:r>
        <w:rPr>
          <w:lang w:bidi="ru-RU"/>
        </w:rPr>
        <w:t>Объем программы бакалавриата составляет 240 зачетных единиц вне зависимости от формы обучения, применяемых образовательных технологий, реализации программы бакалавриата с использованием сетевой формы, реализации программы бакалавриата по индивидуальному учебному плану, в том числе ускоренному обучению.</w:t>
      </w:r>
    </w:p>
    <w:p>
      <w:pPr>
        <w:pStyle w:val="Heading2"/>
        <w:numPr>
          <w:ilvl w:val="1"/>
          <w:numId w:val="1"/>
        </w:numPr>
        <w:ind w:firstLine="709" w:start="0" w:end="0"/>
        <w:rPr>
          <w:lang w:bidi="ru-RU"/>
        </w:rPr>
      </w:pPr>
      <w:bookmarkStart w:id="10" w:name="__RefHeading___Toc146271770"/>
      <w:bookmarkEnd w:id="10"/>
      <w:r>
        <w:rPr/>
        <w:t>1.3. Требования к абитуриенту (бакалавриат)</w:t>
      </w:r>
    </w:p>
    <w:p>
      <w:pPr>
        <w:pStyle w:val="Normal"/>
        <w:rPr>
          <w:lang w:bidi="ru-RU"/>
        </w:rPr>
      </w:pPr>
      <w:r>
        <w:rPr>
          <w:lang w:bidi="ru-RU"/>
        </w:rPr>
        <w:t>Абитуриент должен иметь документ государственного образца о среднем (полном) общем образовании или среднем профессиональном образовании.</w:t>
      </w:r>
    </w:p>
    <w:p>
      <w:pPr>
        <w:pStyle w:val="Heading1"/>
        <w:numPr>
          <w:ilvl w:val="0"/>
          <w:numId w:val="1"/>
        </w:numPr>
        <w:ind w:hanging="0" w:start="0" w:end="0"/>
        <w:rPr/>
      </w:pPr>
      <w:bookmarkStart w:id="11" w:name="__RefHeading___Toc146271771"/>
      <w:bookmarkEnd w:id="11"/>
      <w:r>
        <w:rPr/>
        <w:t>2. Характеристика профессиональной деятельности выпускника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12" w:name="__RefHeading___Toc146271772"/>
      <w:bookmarkEnd w:id="12"/>
      <w:r>
        <w:rPr/>
        <w:t xml:space="preserve">2.1. Области профессиональной деятельности выпускника </w:t>
      </w:r>
    </w:p>
    <w:p>
      <w:pPr>
        <w:pStyle w:val="Normal"/>
        <w:rPr/>
      </w:pPr>
      <w:r>
        <w:rPr/>
        <w:t xml:space="preserve">Основные области профессиональной деятельности и (или) сферы профессиональной деятельности, в которых выпускники, освоившие программу, могут осуществлять профессиональную деятельность: </w:t>
      </w:r>
    </w:p>
    <w:p>
      <w:pPr>
        <w:pStyle w:val="Normal"/>
        <w:rPr>
          <w:highlight w:val="none"/>
          <w:shd w:fill="auto" w:val="clear"/>
        </w:rPr>
      </w:pPr>
      <w:r>
        <w:t>– 06 Связь, информационные и коммуникационные технологии (в сфере проектирования, разработки и тестирования программного обеспечения, в сфере разработки и обслуживания информационных систем);</w:t>
      </w:r>
    </w:p>
    <w:p>
      <w:pPr>
        <w:pStyle w:val="Normal"/>
        <w:rPr>
          <w:highlight w:val="none"/>
          <w:shd w:fill="auto" w:val="clear"/>
        </w:rPr>
      </w:pPr>
      <w:r>
        <w:t>– 40 Сквозные виды профессиональной деятельности в промышленности (в сфере научно-исследовательских разработок и опытно-конструкторских разработок).</w:t>
      </w:r>
    </w:p>
    <w:p>
      <w:pPr>
        <w:pStyle w:val="Normal"/>
        <w:rPr/>
      </w:pPr>
      <w:bookmarkStart w:id="13" w:name="_Hlk58499252"/>
      <w:bookmarkEnd w:id="13"/>
      <w:r>
        <w:rPr>
          <w:shd w:fill="auto" w:val="clear"/>
        </w:rPr>
        <w:t>Выпускник</w:t>
      </w:r>
      <w:r>
        <w:rPr/>
        <w:t>и также могут осуществлять профессиональную деятельность в других областях профессиональной деятельности и (или) сферах профессиональной деятельности при условии соответствия уровня их образования и полученных компетенций требованиям к квалификации работника.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14" w:name="__RefHeading___Toc146271773"/>
      <w:bookmarkStart w:id="15" w:name="_Hlk58499252_Копия_1"/>
      <w:bookmarkEnd w:id="14"/>
      <w:bookmarkEnd w:id="15"/>
      <w:r>
        <w:rPr/>
        <w:t>2.2. Объекты профессиональной деятельности выпускника</w:t>
      </w:r>
    </w:p>
    <w:p>
      <w:pPr>
        <w:pStyle w:val="Normal"/>
        <w:rPr>
          <w:rFonts w:ascii="Times New Roman" w:hAnsi="Times New Roman" w:cs="Times New Roman"/>
          <w:sz w:val="24"/>
          <w:szCs w:val="24"/>
          <w:highlight w:val="green"/>
        </w:rPr>
      </w:pPr>
      <w:r>
        <w:rPr/>
        <w:t>Основными объектами профессиональной деятельности выпускников, освоивших программу бакалавриата, являются:</w:t>
      </w:r>
    </w:p>
    <w:p>
      <w:pPr>
        <w:pStyle w:val="Style38"/>
      </w:pPr>
      <w:r>
        <w:t xml:space="preserve"> 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16" w:name="__RefHeading___Toc146271774"/>
      <w:bookmarkEnd w:id="16"/>
      <w:r>
        <w:rPr/>
        <w:t>2.3. Типы задач и задачи профессиональной деятельности выпускника</w:t>
      </w:r>
    </w:p>
    <w:p>
      <w:pPr>
        <w:pStyle w:val="Normal"/>
        <w:rPr>
          <w:rFonts w:ascii="Times New Roman" w:hAnsi="Times New Roman" w:cs="Times New Roman"/>
          <w:b/>
          <w:i/>
          <w:i/>
          <w:sz w:val="24"/>
          <w:szCs w:val="24"/>
          <w:shd w:fill="FFFFFF" w:val="clear"/>
        </w:rPr>
      </w:pPr>
      <w:bookmarkStart w:id="17" w:name="_Hlk58499435"/>
      <w:bookmarkEnd w:id="17"/>
      <w:r>
        <w:rPr/>
        <w:t>В рамках освоения программы бакалавриата выпускники готовятся к решению задач профессиональной деятельности следующих типов:</w:t>
      </w:r>
    </w:p>
    <w:p>
      <w:pPr>
        <w:pStyle w:val="Style38"/>
        <w:tabs>
          <w:tab w:val="clear" w:pos="708"/>
          <w:tab w:val="left" w:pos="993" w:leader="none"/>
        </w:tabs>
        <w:ind w:firstLine="709" w:end="0"/>
        <w:rPr>
          <w:b w:val="false"/>
          <w:bCs w:val="false"/>
          <w:i w:val="false"/>
          <w:i w:val="false"/>
          <w:iCs w:val="false"/>
        </w:rPr>
      </w:pPr>
      <w:r>
        <w:t xml:space="preserve">Научно-исследовательский: </w:t>
      </w:r>
    </w:p>
    <w:p>
      <w:pPr>
        <w:pStyle w:val="Style38"/>
        <w:jc w:val="both"/>
      </w:pPr>
      <w:r>
        <w:t>–</w:t>
        <w:tab/>
        <w:t xml:space="preserve">разработка программного и информационного обеспечения компьютерных систем, автоматизированных систем, сервисов и распределенных баз данных.  </w:t>
      </w:r>
    </w:p>
    <w:p>
      <w:pPr>
        <w:pStyle w:val="Style38"/>
        <w:tabs>
          <w:tab w:val="clear" w:pos="708"/>
          <w:tab w:val="left" w:pos="993" w:leader="none"/>
        </w:tabs>
        <w:ind w:firstLine="709" w:end="0"/>
        <w:rPr>
          <w:b w:val="false"/>
          <w:bCs w:val="false"/>
          <w:i w:val="false"/>
          <w:i w:val="false"/>
          <w:iCs w:val="false"/>
        </w:rPr>
      </w:pPr>
      <w:r>
        <w:t>Проектный:</w:t>
      </w:r>
    </w:p>
    <w:p>
      <w:pPr>
        <w:pStyle w:val="Normal"/>
      </w:pPr>
      <w:r>
        <w:t xml:space="preserve">– разработка программного и информационного обеспечения компьютерных систем, автоматизированных систем, сервисов и распределенных баз данных.  </w:t>
      </w:r>
    </w:p>
    <w:p>
      <w:pPr>
        <w:pStyle w:val="Style38"/>
        <w:tabs>
          <w:tab w:val="clear" w:pos="708"/>
          <w:tab w:val="left" w:pos="993" w:leader="none"/>
        </w:tabs>
        <w:ind w:firstLine="709" w:end="0"/>
        <w:rPr>
          <w:i w:val="false"/>
          <w:i w:val="false"/>
          <w:iCs w:val="false"/>
        </w:rPr>
      </w:pPr>
      <w:r>
        <w:t xml:space="preserve">Производственно-технологический: </w:t>
      </w:r>
    </w:p>
    <w:p>
      <w:pPr>
        <w:pStyle w:val="Style38"/>
        <w:jc w:val="both"/>
      </w:pPr>
      <w:r>
        <w:t xml:space="preserve">– разработка программного и информационного обеспечения компьютерных систем, автоматизированных систем, сервисов и распределенных баз данных.  </w:t>
      </w:r>
    </w:p>
    <w:p>
      <w:pPr>
        <w:pStyle w:val="Heading2"/>
        <w:numPr>
          <w:ilvl w:val="1"/>
          <w:numId w:val="1"/>
        </w:numPr>
        <w:ind w:firstLine="709" w:start="0" w:end="0"/>
        <w:jc w:val="both"/>
        <w:rPr>
          <w:szCs w:val="24"/>
          <w:shd w:fill="FFFFFF" w:val="clear"/>
        </w:rPr>
      </w:pPr>
      <w:bookmarkStart w:id="18" w:name="__RefHeading___Toc146271775"/>
      <w:bookmarkEnd w:id="18"/>
      <w:r>
        <w:rPr>
          <w:shd w:fill="FFFFFF" w:val="clear"/>
        </w:rPr>
        <w:t>2.4. Профессиональные стандарты,</w:t>
      </w:r>
      <w:r>
        <w:rPr/>
        <w:t xml:space="preserve"> соответствующие профессиональной деят</w:t>
      </w:r>
      <w:r>
        <w:rPr>
          <w:shd w:fill="auto" w:val="clear"/>
        </w:rPr>
        <w:t>ельности выпускника: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</w:tabs>
        <w:ind w:firstLine="709" w:start="0" w:end="0"/>
        <w:rPr>
          <w:highlight w:val="none"/>
          <w:shd w:fill="auto" w:val="clear"/>
        </w:rPr>
      </w:pPr>
      <w:r>
        <w:t>профессиональный стандарт 06.001. Программист (утвержден приказом Министерства труда и социальной защиты РФ от 22.07.2022 № 424н);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</w:tabs>
        <w:ind w:firstLine="720" w:start="0" w:end="0"/>
        <w:rPr>
          <w:highlight w:val="none"/>
          <w:shd w:fill="auto" w:val="clear"/>
        </w:rPr>
      </w:pPr>
      <w:r>
        <w:t>профессиональный стандарт 06.015. Специалист по информационным системам (утвержден приказом Министерства труда и социальной защиты РФ от 18.11.2014 № 896н (ред. от 12.12.2016));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</w:tabs>
        <w:ind w:firstLine="720" w:start="0" w:end="0"/>
        <w:rPr>
          <w:highlight w:val="none"/>
          <w:shd w:fill="auto" w:val="clear"/>
        </w:rPr>
      </w:pPr>
      <w:r>
        <w:t>профессиональный стандарт 40.011. Специалист по научно-исследовательским и опытно-конструкторским разработкам (утвержден приказом Министерства труда и социальной защиты РФ от 4.03.2014 № 121н (ред. от 12.12.2016)).</w:t>
      </w:r>
    </w:p>
    <w:p>
      <w:pPr>
        <w:pStyle w:val="Normal"/>
        <w:rPr/>
      </w:pPr>
      <w:bookmarkStart w:id="20" w:name="_Hlk146273380"/>
      <w:bookmarkEnd w:id="20"/>
      <w:r>
        <w:rPr>
          <w:shd w:fill="auto" w:val="clear"/>
        </w:rPr>
        <w:t>В соответствии с основн</w:t>
      </w:r>
      <w:r>
        <w:rPr/>
        <w:t xml:space="preserve">ыми областями профессиональной деятельности ОПОП ВО, в которых выпускники, освоившие программу, могут осуществлять профессиональную деятельность и выбранными профессиональными стандартами выпускник готовиться к выполнению следующих обобщенных трудовых функций: </w:t>
      </w:r>
    </w:p>
    <w:p>
      <w:pPr>
        <w:pStyle w:val="Normal"/>
        <w:rPr/>
      </w:pPr>
      <w:r>
        <w:rPr/>
      </w:r>
      <w:bookmarkStart w:id="21" w:name="_Hlk146273380_Копия_1"/>
      <w:bookmarkStart w:id="22" w:name="_Hlk146273380_Копия_1"/>
      <w:bookmarkEnd w:id="22"/>
    </w:p>
    <w:tbl>
      <w:tblPr>
        <w:tblW w:w="957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84"/>
        <w:gridCol w:w="3026"/>
        <w:gridCol w:w="2919"/>
        <w:gridCol w:w="1249"/>
      </w:tblGrid>
      <w:tr>
        <w:trPr/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bookmarkStart w:id="23" w:name="_Hlk146273423"/>
            <w:bookmarkEnd w:id="23"/>
            <w:r>
              <w:rPr>
                <w:color w:val="26282F"/>
                <w:sz w:val="22"/>
              </w:rPr>
              <w:t>Профессиональный стандарт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Обобщенные</w:t>
            </w:r>
          </w:p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трудовые функции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Трудовые функции</w:t>
            </w:r>
          </w:p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(код и наименование)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Уровень квалификации</w:t>
            </w:r>
          </w:p>
        </w:tc>
      </w:tr>
      <w:tr>
        <w:trPr>
          <w:trHeight w:val="870" w:hRule="atLeast"/>
        </w:trPr>
        <w:tc>
          <w:tcPr>
            <w:tcW w:w="95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start"/>
              <w:rPr/>
            </w:pPr>
            <w:r>
              <w:rPr>
                <w:color w:val="26282F"/>
                <w:sz w:val="22"/>
              </w:rPr>
              <w:t>Область профессиональной деятельности:</w:t>
            </w:r>
            <w:r>
              <w:rPr>
                <w:i/>
                <w:iCs/>
                <w:color w:val="26282F"/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06 Связь, информационные и коммуникационные технологии (в сфере проектирования, разработки и тестирования программного обеспечения, в сфере разработки и обслуживания информационных систем)</w:t>
            </w:r>
          </w:p>
        </w:tc>
      </w:tr>
      <w:tr>
        <w:trPr>
          <w:trHeight w:val="274" w:hRule="atLeast"/>
        </w:trPr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06.001. Программист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D. Разработка требований и проектирование программного обеспечения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274" w:hRule="atLeast"/>
        </w:trPr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06.015. Специалист по информационным системам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C. Выполнение работ и управление работами по созданию (модификации) и сопровождению ИС, автоматизирующих задачи организационного управления и бизнес-процессы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95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color w:val="26282F"/>
                <w:sz w:val="22"/>
                <w:shd w:fill="auto" w:val="clear"/>
              </w:rPr>
              <w:t xml:space="preserve">Область профессиональной деятельности: </w:t>
            </w:r>
            <w:r>
              <w:rPr>
                <w:i/>
                <w:iCs/>
                <w:sz w:val="22"/>
                <w:shd w:fill="auto" w:val="clear"/>
              </w:rPr>
              <w:t>40 Сквозные виды профессиональной деятельности в промышленности (в сфере научно-исследовательских разработок и опытно-конструкторских разработок).</w:t>
            </w:r>
          </w:p>
        </w:tc>
      </w:tr>
      <w:tr>
        <w:trPr>
          <w:trHeight w:val="458" w:hRule="atLeast"/>
        </w:trPr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40.011. Специалист по научно-исследовательским и опытно-конструкторским разработкам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A. Проведение научно-исследовательских и опытно-конструкторских разработок по отдельным разделам темы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Heading1"/>
        <w:numPr>
          <w:ilvl w:val="0"/>
          <w:numId w:val="1"/>
        </w:numPr>
        <w:tabs>
          <w:tab w:val="clear" w:pos="284"/>
          <w:tab w:val="left" w:pos="1134" w:leader="none"/>
        </w:tabs>
        <w:spacing w:before="240" w:after="120"/>
        <w:ind w:hanging="0" w:start="851" w:end="851"/>
        <w:rPr/>
      </w:pPr>
      <w:bookmarkStart w:id="24" w:name="__RefHeading___Toc146271776"/>
      <w:bookmarkEnd w:id="24"/>
      <w:r>
        <w:rPr/>
        <w:t>3. Компетенции выпускника, формируемые в результате освоения данной ОПОП ВО</w:t>
      </w:r>
    </w:p>
    <w:p>
      <w:pPr>
        <w:pStyle w:val="Normal"/>
        <w:rPr/>
      </w:pPr>
      <w:r>
        <w:rPr/>
        <w:t xml:space="preserve">Результаты освоения ОПОП бакалавриата определяются приобретаемыми выпускником компетенциями, т.е. его способностью применять знания, умения и личные качества в соответствии с задачами профессиональной деятельности. </w:t>
      </w:r>
    </w:p>
    <w:p>
      <w:pPr>
        <w:pStyle w:val="Normal"/>
        <w:rPr/>
      </w:pPr>
      <w:r>
        <w:rPr/>
        <w:t xml:space="preserve">В результате освоения данной ОПОП бакалавриата выпускник должен обладать следующими компетенциями: </w:t>
      </w:r>
    </w:p>
    <w:p>
      <w:pPr>
        <w:pStyle w:val="Normal"/>
        <w:spacing w:before="0" w:after="120"/>
        <w:rPr>
          <w:bCs/>
          <w:szCs w:val="24"/>
        </w:rPr>
      </w:pPr>
      <w:r>
        <w:rPr/>
        <w:t>а) универсальные компетенции выпускников и индикаторы их достижения:</w:t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51"/>
        <w:gridCol w:w="2552"/>
        <w:gridCol w:w="5244"/>
      </w:tblGrid>
      <w:tr>
        <w:trPr>
          <w:trHeight w:val="776" w:hRule="atLeast"/>
        </w:trPr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Наименование категории универсальных компетенций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Код и наименование универсальной компетенции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Код и наименование индикатора достижения универсальной компетенции</w:t>
            </w:r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УК-1 - 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УК-2 -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УК-3 - Способен осуществлять социальное взаимодействие и реализовывать свою роль в команде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УК-4 - 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УК-5 - 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УК-6 - 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УК-7 - Способен поддерживать должный уровень физической подготовленности для обеспечения полноценной социальной и профессиональной деятельности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УК-8 - Способен создавать и поддерживать безопасные условия жизнедеятельности, в том числе при возникновении чрезвычайных ситуаций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УК-9 - Способен принимать обоснованные экономические решения в различных областях жизнедеятельности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УК-10 - Способен формировать нетерпимое отношение к коррупционному поведению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Normal"/>
        <w:spacing w:before="120" w:after="120"/>
        <w:ind w:firstLine="142" w:start="0" w:end="0"/>
        <w:rPr>
          <w:rFonts w:eastAsia="Calibri"/>
          <w:bCs/>
          <w:i/>
          <w:i/>
          <w:color w:val="000000"/>
          <w:szCs w:val="24"/>
          <w:lang w:eastAsia="en-US"/>
        </w:rPr>
      </w:pPr>
      <w:r>
        <w:rPr>
          <w:rFonts w:eastAsia="Calibri"/>
          <w:bCs/>
          <w:i/>
          <w:color w:val="000000"/>
          <w:szCs w:val="24"/>
          <w:lang w:eastAsia="en-US"/>
        </w:rPr>
        <w:t>б) Общепрофессиональные компетенции выпускников и индикаторы их достижения:</w:t>
      </w:r>
    </w:p>
    <w:tbl>
      <w:tblPr>
        <w:tblW w:w="9781" w:type="dxa"/>
        <w:jc w:val="start"/>
        <w:tblInd w:w="-80" w:type="dxa"/>
        <w:tblLayout w:type="fixed"/>
        <w:tblCellMar>
          <w:top w:w="102" w:type="dxa"/>
          <w:start w:w="62" w:type="dxa"/>
          <w:bottom w:w="102" w:type="dxa"/>
          <w:end w:w="62" w:type="dxa"/>
        </w:tblCellMar>
      </w:tblPr>
      <w:tblGrid>
        <w:gridCol w:w="1972"/>
        <w:gridCol w:w="2706"/>
        <w:gridCol w:w="5103"/>
      </w:tblGrid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" w:start="11" w:end="0"/>
              <w:jc w:val="center"/>
              <w:rPr>
                <w:color w:val="1C1C1C"/>
              </w:rPr>
            </w:pPr>
            <w:r>
              <w:rPr>
                <w:color w:val="1C1C1C"/>
              </w:rPr>
              <w:t>Наименование категории общепрофессиональных компетенций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Код и наименование общепрофессиональной компетенции выпускника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Код и наименование</w:t>
            </w:r>
          </w:p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индикатора достижения</w:t>
            </w:r>
          </w:p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общепрофессиональной компетенции</w:t>
            </w:r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ОПК-1 - 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ОПК-2 - Способен разрабатывать, анализировать и внедрять новые математические модели в современных естествознании, технике, экономике и управлении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ОПК-3 - Способен использовать в педагогической деятельности научные знания в сфере математики и информатики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ОПК-4 - Способен решать задачи профессиональной деятельности с использованием существующих информационно-коммуникационных технологий и с учетом основных требований информационной безопасности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ОПК-5 - 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ОПК-6 - Способен разрабатывать бизнес-планы и технические задания на оснащение отделов, лабораторий, офисов компьютерным и сетевым оборудованием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ОПК-7 - Способен участвовать в настройке и наладке программно-аппаратных комплексов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ОПК-8 - Способен разрабатывать алгоритмы и программы, пригодные для практического применения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ОПК-9 - Способен осваивать методики использования программных средств для решения практических задач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Normal"/>
        <w:spacing w:before="0" w:after="120"/>
        <w:rPr>
          <w:rFonts w:eastAsia="Calibri"/>
          <w:sz w:val="20"/>
          <w:szCs w:val="20"/>
        </w:rPr>
      </w:pPr>
      <w:r>
        <w:rPr>
          <w:rFonts w:eastAsia="Calibri"/>
          <w:bCs/>
          <w:i/>
          <w:color w:val="000000"/>
          <w:szCs w:val="24"/>
          <w:lang w:eastAsia="en-US"/>
        </w:rPr>
        <w:t>в) Обязательные профессиональные компетенции выпускников и индикаторы их достижения:</w:t>
      </w:r>
    </w:p>
    <w:tbl>
      <w:tblPr>
        <w:tblW w:w="98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84"/>
        <w:gridCol w:w="2057"/>
        <w:gridCol w:w="2174"/>
        <w:gridCol w:w="2060"/>
        <w:gridCol w:w="1679"/>
      </w:tblGrid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Задача ПД</w:t>
            </w:r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Объект или область знания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Код и наименование профессиональной компетенции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Код и наименование индикатора достижения профессиональной компетенции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Основание (ПС, анализ опыта)</w:t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Тип задач профессиональной деятельности: Научно-исследовательский</w:t>
            </w:r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ПК-1 - Способен администрировать средства защиты информации в компьютерных системах и сетях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ПК-4 - Способен использовать педагогически обоснованные формы, методы и приемы организации деятельности обучающихся, применять современные технические средства обучения и образовательные технологии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Тип задач профессиональной деятельности: Проектный</w:t>
            </w:r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ПК-2 - Способен к программной реализации алгоритмов решения типовых задач обеспечения информационной безопасности и к применению программных средств системного, прикладного и специального назначения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ПК-5 - Способен администрировать средства защиты информации в компьютерных системах и сетях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Тип задач профессиональной деятельности: Производственно-технологический</w:t>
            </w:r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ПК-3 - Способен проводить научно-исследовательские и опытно-конструкторские разработки по отдельным разделам темы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ПК-6 - Способен создавать и исследовать новые математические модели в промышленности и бизнесе, в том числе с использованием современных информационных технологий и программирования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spacing w:before="240" w:after="120"/>
        <w:ind w:hanging="0" w:start="709" w:end="707"/>
        <w:rPr/>
      </w:pPr>
      <w:bookmarkStart w:id="25" w:name="__RefHeading___Toc146271777"/>
      <w:bookmarkEnd w:id="25"/>
      <w:r>
        <w:rPr/>
        <w:t>4. Документы, регламентирующие содержание и организацию образовательного процесса при реализации ОПОП ВО</w:t>
      </w:r>
    </w:p>
    <w:p>
      <w:pPr>
        <w:pStyle w:val="Normal"/>
        <w:rPr>
          <w:shd w:fill="FFFFFF" w:val="clear"/>
        </w:rPr>
      </w:pPr>
      <w:r>
        <w:t xml:space="preserve">В соответствии с ФГОС ВО бакалавриата по направлению подготовки 01.03.01 Математика содержание и организация образовательного процесса при реализации данной ОПОП регламентируется учебным планом бакалавра с учетом его профиля; рабочими программами учебных курсов, предметов, дисциплин (модулей); материалами, обеспечивающими качество подготовки и воспитания обучающихся; программами учебных и производственных практик; календарным учебным графиком, а также методическими материалами, обеспечивающими реализацию соответствующих образовательных технологий. 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26" w:name="__RefHeading___Toc146271778"/>
      <w:bookmarkEnd w:id="26"/>
      <w:r>
        <w:rPr>
          <w:shd w:fill="FFFFFF" w:val="clear"/>
        </w:rPr>
        <w:t xml:space="preserve">4.1. Учебный план </w:t>
      </w:r>
    </w:p>
    <w:p>
      <w:pPr>
        <w:pStyle w:val="Normal"/>
        <w:rPr/>
      </w:pPr>
      <w:r>
        <w:rPr/>
        <w:t>В учебном плане отражена логическая последовательность освоения циклов и разделов ОПОП (дисциплин, модулей, практик), обеспечивающих формирование универсальных, общепрофессиональных и профессиональных компетенций; указана общая трудоемкость дисциплин, модулей, практик в зачетных единицах, а также их общая и аудиторная трудоемкость в часах; виды учебной работы и формы промежуточной аттестации.</w:t>
      </w:r>
    </w:p>
    <w:p>
      <w:pPr>
        <w:pStyle w:val="Normal"/>
        <w:rPr/>
      </w:pPr>
      <w:r>
        <w:rPr/>
        <w:t xml:space="preserve">Основная образовательная программа бакалавриата предусматривает изучение следующих учебных циклов: </w:t>
      </w:r>
    </w:p>
    <w:p>
      <w:pPr>
        <w:pStyle w:val="Normal"/>
        <w:tabs>
          <w:tab w:val="clear" w:pos="708"/>
          <w:tab w:val="left" w:pos="1134" w:leader="none"/>
        </w:tabs>
        <w:rPr>
          <w:bCs/>
          <w:iCs/>
          <w:szCs w:val="24"/>
        </w:rPr>
      </w:pPr>
      <w:r>
        <w:rPr/>
        <w:t>Б1</w:t>
        <w:tab/>
        <w:t>Блок 1 «Дисциплины (модули)»: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iCs/>
          <w:szCs w:val="24"/>
        </w:rPr>
      </w:pPr>
      <w:r>
        <w:rPr>
          <w:bCs/>
          <w:iCs/>
          <w:szCs w:val="24"/>
        </w:rPr>
        <w:t>Б1.О. Обязательная часть Блока 1;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szCs w:val="24"/>
        </w:rPr>
      </w:pPr>
      <w:r>
        <w:rPr>
          <w:bCs/>
          <w:iCs/>
          <w:szCs w:val="24"/>
        </w:rPr>
        <w:t>Б1.В.</w:t>
      </w:r>
      <w:r>
        <w:rPr>
          <w:szCs w:val="24"/>
        </w:rPr>
        <w:tab/>
      </w:r>
      <w:r>
        <w:rPr>
          <w:bCs/>
          <w:iCs/>
          <w:szCs w:val="24"/>
        </w:rPr>
        <w:t>Часть Блока 1, формируемая участниками образовательных отношений.</w:t>
      </w:r>
    </w:p>
    <w:p>
      <w:pPr>
        <w:pStyle w:val="Normal"/>
        <w:tabs>
          <w:tab w:val="clear" w:pos="708"/>
          <w:tab w:val="left" w:pos="1134" w:leader="none"/>
        </w:tabs>
        <w:rPr>
          <w:bCs/>
          <w:iCs/>
          <w:szCs w:val="24"/>
        </w:rPr>
      </w:pPr>
      <w:r>
        <w:rPr>
          <w:bCs/>
          <w:szCs w:val="24"/>
        </w:rPr>
        <w:t>Б2</w:t>
      </w:r>
      <w:r>
        <w:rPr>
          <w:szCs w:val="24"/>
        </w:rPr>
        <w:tab/>
      </w:r>
      <w:r>
        <w:rPr>
          <w:bCs/>
          <w:szCs w:val="24"/>
        </w:rPr>
        <w:t>Блок 2. «</w:t>
      </w:r>
      <w:r>
        <w:rPr/>
        <w:t>Практика</w:t>
      </w:r>
      <w:r>
        <w:rPr>
          <w:bCs/>
          <w:szCs w:val="24"/>
        </w:rPr>
        <w:t>»: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iCs/>
          <w:szCs w:val="24"/>
        </w:rPr>
      </w:pPr>
      <w:r>
        <w:rPr>
          <w:bCs/>
          <w:iCs/>
          <w:szCs w:val="24"/>
        </w:rPr>
        <w:t>Б2.О.</w:t>
      </w:r>
      <w:r>
        <w:rPr>
          <w:szCs w:val="24"/>
        </w:rPr>
        <w:tab/>
      </w:r>
      <w:r>
        <w:rPr>
          <w:bCs/>
          <w:iCs/>
          <w:szCs w:val="24"/>
        </w:rPr>
        <w:t>Обязательная часть Блока 2;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szCs w:val="24"/>
        </w:rPr>
      </w:pPr>
      <w:r>
        <w:rPr>
          <w:bCs/>
          <w:iCs/>
          <w:szCs w:val="24"/>
        </w:rPr>
        <w:t>Б2.В.</w:t>
        <w:tab/>
        <w:t>Часть Блока 2, формируемая участниками образовательных отношений.</w:t>
      </w:r>
    </w:p>
    <w:p>
      <w:pPr>
        <w:pStyle w:val="Normal"/>
        <w:tabs>
          <w:tab w:val="clear" w:pos="708"/>
          <w:tab w:val="left" w:pos="1134" w:leader="none"/>
        </w:tabs>
        <w:rPr>
          <w:bCs/>
          <w:szCs w:val="24"/>
        </w:rPr>
      </w:pPr>
      <w:r>
        <w:rPr>
          <w:bCs/>
          <w:szCs w:val="24"/>
        </w:rPr>
        <w:t>Б3</w:t>
      </w:r>
      <w:r>
        <w:rPr>
          <w:szCs w:val="24"/>
        </w:rPr>
        <w:tab/>
      </w:r>
      <w:r>
        <w:rPr>
          <w:bCs/>
          <w:szCs w:val="24"/>
        </w:rPr>
        <w:t xml:space="preserve">Блок 3. «Государственная </w:t>
      </w:r>
      <w:r>
        <w:rPr/>
        <w:t>итоговая</w:t>
      </w:r>
      <w:r>
        <w:rPr>
          <w:szCs w:val="24"/>
        </w:rPr>
        <w:t xml:space="preserve"> </w:t>
      </w:r>
      <w:r>
        <w:rPr>
          <w:bCs/>
          <w:szCs w:val="24"/>
        </w:rPr>
        <w:t>аттестация».</w:t>
      </w:r>
    </w:p>
    <w:p>
      <w:pPr>
        <w:pStyle w:val="Normal"/>
        <w:tabs>
          <w:tab w:val="clear" w:pos="708"/>
          <w:tab w:val="left" w:pos="1134" w:leader="none"/>
        </w:tabs>
        <w:rPr>
          <w:bCs/>
          <w:szCs w:val="24"/>
        </w:rPr>
      </w:pPr>
      <w:r>
        <w:rPr>
          <w:bCs/>
          <w:szCs w:val="24"/>
        </w:rPr>
      </w:r>
    </w:p>
    <w:tbl>
      <w:tblPr>
        <w:tblW w:w="8924" w:type="dxa"/>
        <w:jc w:val="start"/>
        <w:tblInd w:w="81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40"/>
        <w:gridCol w:w="1583"/>
        <w:gridCol w:w="2101"/>
      </w:tblGrid>
      <w:tr>
        <w:trPr/>
        <w:tc>
          <w:tcPr>
            <w:tcW w:w="52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</w:r>
          </w:p>
          <w:p>
            <w:pPr>
              <w:pStyle w:val="Normal"/>
              <w:spacing w:lineRule="auto" w:line="276"/>
              <w:ind w:firstLine="41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Структура программы бакалавриата</w:t>
            </w:r>
          </w:p>
        </w:tc>
        <w:tc>
          <w:tcPr>
            <w:tcW w:w="36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jc w:val="start"/>
              <w:rPr>
                <w:bCs/>
                <w:szCs w:val="24"/>
              </w:rPr>
            </w:pPr>
            <w:r>
              <w:rPr>
                <w:bCs/>
                <w:szCs w:val="24"/>
              </w:rPr>
              <w:t>Объем программы бакалавриата и ее блоков в з.е.</w:t>
            </w:r>
          </w:p>
        </w:tc>
      </w:tr>
      <w:tr>
        <w:trPr/>
        <w:tc>
          <w:tcPr>
            <w:tcW w:w="52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фактически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по стандарту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Блок 1 «Дисциплины (модули)»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{{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FF0000" w:val="clear"/>
                <w:lang w:val="en-US"/>
              </w:rPr>
              <w:t>block_1_credits</w:t>
            </w:r>
          </w:p>
          <w:p>
            <w:pPr>
              <w:pStyle w:val="Normal"/>
              <w:spacing w:lineRule="auto" w:line="276"/>
              <w:ind w:hanging="0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}}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Cs/>
                <w:szCs w:val="24"/>
              </w:rPr>
            </w:pPr>
            <w:r>
              <w:rPr>
                <w:bCs/>
                <w:szCs w:val="24"/>
              </w:rPr>
              <w:t>не менее 165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Блок 2 «Практика»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{{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FF0000" w:val="clear"/>
                <w:lang w:val="en-US"/>
              </w:rPr>
              <w:t>block_2_credits</w:t>
            </w:r>
          </w:p>
          <w:p>
            <w:pPr>
              <w:pStyle w:val="Normal"/>
              <w:spacing w:lineRule="auto" w:line="276"/>
              <w:ind w:hanging="0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}}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Cs/>
                <w:szCs w:val="24"/>
              </w:rPr>
            </w:pPr>
            <w:r>
              <w:rPr>
                <w:bCs/>
                <w:szCs w:val="24"/>
              </w:rPr>
              <w:t>не менее 15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/>
            </w:pPr>
            <w:r>
              <w:rPr>
                <w:bCs/>
                <w:szCs w:val="24"/>
              </w:rPr>
              <w:t>Блок 3 «Государственная итоговая</w:t>
            </w:r>
            <w:r>
              <w:rPr>
                <w:szCs w:val="24"/>
              </w:rPr>
              <w:t xml:space="preserve"> </w:t>
            </w:r>
            <w:r>
              <w:rPr>
                <w:bCs/>
                <w:szCs w:val="24"/>
              </w:rPr>
              <w:t>аттестация»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{{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FF0000" w:val="clear"/>
                <w:lang w:val="en-US"/>
              </w:rPr>
              <w:t>block_3_credits</w:t>
            </w:r>
          </w:p>
          <w:p>
            <w:pPr>
              <w:pStyle w:val="Normal"/>
              <w:spacing w:lineRule="auto" w:line="276"/>
              <w:ind w:hanging="0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}}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Cs/>
                <w:szCs w:val="24"/>
              </w:rPr>
            </w:pPr>
            <w:r>
              <w:rPr>
                <w:bCs/>
                <w:szCs w:val="24"/>
              </w:rPr>
              <w:t>не менее 3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Объем программы бакалавриата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240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240</w:t>
            </w:r>
          </w:p>
        </w:tc>
      </w:tr>
    </w:tbl>
    <w:p>
      <w:pPr>
        <w:pStyle w:val="Normal"/>
        <w:tabs>
          <w:tab w:val="clear" w:pos="708"/>
          <w:tab w:val="left" w:pos="1134" w:leader="none"/>
        </w:tabs>
        <w:spacing w:lineRule="auto" w:line="276"/>
        <w:rPr>
          <w:szCs w:val="24"/>
        </w:rPr>
      </w:pPr>
      <w:r>
        <w:rPr>
          <w:szCs w:val="24"/>
        </w:rPr>
      </w:r>
    </w:p>
    <w:p>
      <w:pPr>
        <w:pStyle w:val="Normal"/>
        <w:rPr/>
      </w:pPr>
      <w:r>
        <w:rPr/>
        <w:t xml:space="preserve">Объем обязательной части, без учета объема государственной итоговой аттестации, составляет </w:t>
      </w:r>
      <w:r>
        <w:rPr>
          <w:color w:val="111111"/>
          <w:shd w:fill="FF0000" w:val="clear"/>
          <w:lang w:val="en-US"/>
        </w:rPr>
        <w:t>{{volume_excluding_state_final_attestation}}</w:t>
      </w:r>
      <w:r>
        <w:rPr>
          <w:color w:val="111111"/>
          <w:shd w:fill="FFFFFF" w:val="clear"/>
        </w:rPr>
        <w:t>%</w:t>
      </w:r>
      <w:r>
        <w:rPr/>
        <w:t xml:space="preserve"> общего объема программы бакалавриата. </w:t>
      </w:r>
    </w:p>
    <w:p>
      <w:pPr>
        <w:pStyle w:val="Normal"/>
        <w:rPr>
          <w:shd w:fill="FFFFFF" w:val="clear"/>
        </w:rPr>
      </w:pPr>
      <w:r>
        <w:rPr/>
        <w:t>ФГБОУ ВО «СОГУ» предоставляет инвалидам и лицам с ОВЗ, по их заявлению, возможность обучения по программе бакалавриата, учитывающую особенности их психофизического развития, индивидуальные возможности и при необходимости обеспечивающую коррекцию нарушений развития и социальную адаптацию указанных лиц.</w:t>
      </w:r>
    </w:p>
    <w:p>
      <w:pPr>
        <w:pStyle w:val="Heading2"/>
        <w:numPr>
          <w:ilvl w:val="1"/>
          <w:numId w:val="1"/>
        </w:numPr>
        <w:ind w:firstLine="709" w:start="0" w:end="0"/>
        <w:rPr>
          <w:shd w:fill="FFFFFF" w:val="clear"/>
        </w:rPr>
      </w:pPr>
      <w:bookmarkStart w:id="27" w:name="__RefHeading___Toc146271779"/>
      <w:bookmarkEnd w:id="27"/>
      <w:r>
        <w:rPr>
          <w:shd w:fill="FFFFFF" w:val="clear"/>
        </w:rPr>
        <w:t>4.2. Календарный учебный график</w:t>
      </w:r>
    </w:p>
    <w:p>
      <w:pPr>
        <w:pStyle w:val="Normal"/>
        <w:rPr>
          <w:shd w:fill="FFFFFF" w:val="clear"/>
        </w:rPr>
      </w:pPr>
      <w:bookmarkStart w:id="28" w:name="_Hlk58500628"/>
      <w:bookmarkEnd w:id="28"/>
      <w:r>
        <w:rPr>
          <w:shd w:fill="FFFFFF" w:val="clear"/>
        </w:rPr>
        <w:t>В календарном учебном графике указана последовательность реализации ОПОП ВО по годам, включая теоретическое обучение, экзаменационные сессии, практики, государственную итоговую аттестацию, каникулы.</w:t>
      </w:r>
    </w:p>
    <w:p>
      <w:pPr>
        <w:pStyle w:val="Heading2"/>
        <w:numPr>
          <w:ilvl w:val="1"/>
          <w:numId w:val="1"/>
        </w:numPr>
        <w:ind w:firstLine="709" w:start="0" w:end="0"/>
        <w:rPr>
          <w:shd w:fill="FFFFFF" w:val="clear"/>
        </w:rPr>
      </w:pPr>
      <w:bookmarkStart w:id="29" w:name="__RefHeading___Toc146271780"/>
      <w:bookmarkStart w:id="30" w:name="_Hlk58500628_Копия_1"/>
      <w:bookmarkEnd w:id="29"/>
      <w:bookmarkEnd w:id="30"/>
      <w:r>
        <w:rPr>
          <w:shd w:fill="FFFFFF" w:val="clear"/>
        </w:rPr>
        <w:t>4.3. Рабочие программы учебных дисциплин (модулей)</w:t>
      </w:r>
      <w:r>
        <w:rPr/>
        <w:t xml:space="preserve"> </w:t>
      </w:r>
    </w:p>
    <w:p>
      <w:pPr>
        <w:pStyle w:val="Normal"/>
        <w:rPr>
          <w:shd w:fill="FFFFFF" w:val="clear"/>
        </w:rPr>
      </w:pPr>
      <w:r>
        <w:rPr>
          <w:shd w:fill="FFFFFF" w:val="clear"/>
        </w:rPr>
        <w:t>В состав ОПОП ВО входят рабочие программы всех учебных дисциплин (модулей) учебного плана. Рабочие программы определяют содержание дисциплин (модулей) в целом и каждого занятия в отдельности, тип и форму проведения занятий, распределение самостоятельной работы обучающихся, форму проведения текущего и промежуточного контроля, результаты освоения дисциплин (модулей) и др.</w:t>
      </w:r>
    </w:p>
    <w:p>
      <w:pPr>
        <w:pStyle w:val="Normal"/>
        <w:rPr>
          <w:shd w:fill="FFFFFF" w:val="clear"/>
        </w:rPr>
      </w:pPr>
      <w:r>
        <w:rPr>
          <w:shd w:fill="FFFFFF" w:val="clear"/>
        </w:rPr>
        <w:t xml:space="preserve">В состав рабочих программы дисциплин (модулей) входят оценочные средства, позволяющие оценить уровень сформированности компетенций (см. п. 4.6).  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1" w:name="__RefHeading___Toc146271781"/>
      <w:bookmarkEnd w:id="31"/>
      <w:r>
        <w:rPr/>
        <w:t>4.4. Программы практик</w:t>
      </w:r>
    </w:p>
    <w:p>
      <w:pPr>
        <w:pStyle w:val="Normal"/>
        <w:rPr/>
      </w:pPr>
      <w:r>
        <w:rPr/>
        <w:t xml:space="preserve">В Блок 2. «Практики» входят </w:t>
      </w:r>
      <w:r>
        <w:rPr>
          <w:shd w:fill="FFFFFF" w:val="clear"/>
        </w:rPr>
        <w:t>учебная и производственная, в том числе преддипломная практики.</w:t>
      </w:r>
      <w:r>
        <w:rPr/>
        <w:t xml:space="preserve"> </w:t>
      </w:r>
    </w:p>
    <w:p>
      <w:pPr>
        <w:pStyle w:val="Normal"/>
        <w:rPr/>
      </w:pPr>
      <w:r>
        <w:rPr/>
        <w:t>Типы учебной практики:</w:t>
      </w:r>
    </w:p>
    <w:p>
      <w:pPr>
        <w:pStyle w:val="Normal"/>
        <w:rPr/>
      </w:pPr>
      <w:r>
        <w:rPr/>
        <w:t>Конкретные типы учебной практики указаны в учебных планах.</w:t>
      </w:r>
    </w:p>
    <w:p>
      <w:pPr>
        <w:pStyle w:val="Normal"/>
        <w:rPr/>
      </w:pPr>
      <w:r>
        <w:rPr/>
        <w:t>Типы производственной практики:</w:t>
      </w:r>
    </w:p>
    <w:p>
      <w:pPr>
        <w:pStyle w:val="Normal"/>
        <w:rPr/>
      </w:pPr>
      <w:r>
        <w:rPr/>
        <w:t>Конкретные типы производственной практики указаны в учебных планах.</w:t>
      </w:r>
    </w:p>
    <w:p>
      <w:pPr>
        <w:pStyle w:val="Normal"/>
        <w:rPr/>
      </w:pPr>
      <w:r>
        <w:rPr/>
        <w:t>Программа практики включает в себя: указание вида практики, способа и формы (форм) ее проведения; перечень планируемых результатов обучения при прохождении практики, соотнесенных с планируемыми результатами освоения образовательной программы; указание места практики в структуре образовательной программы; указание объема практики в зачетных единицах и ее продолжительности в неделях либо в академических или астрономических часах; содержание практики; указание форм отчетности по практике; фонд оценочных средств для проведения промежуточной аттестации обучающихся по практике; перечень учебной литературы и ресурсов сети «Интернет», необходимых для проведения практики; перечень информационных технологий, используемых при проведении практики, включая перечень программного обеспечения и информационных справочных систем (при необходимости); описание материально-технической базы, необходимой для проведения практики.</w:t>
      </w:r>
    </w:p>
    <w:p>
      <w:pPr>
        <w:pStyle w:val="Normal"/>
        <w:rPr/>
      </w:pPr>
      <w:r>
        <w:rPr/>
        <w:t>Для лиц с ограниченными возможностями здоровья выбор мест прохождения практик проводится с учетом состояния здоровья и требований по доступности.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2" w:name="__RefHeading___Toc146271782"/>
      <w:bookmarkEnd w:id="32"/>
      <w:r>
        <w:rPr/>
        <w:t>4.5. Программа Государственной итоговой аттестации</w:t>
      </w:r>
    </w:p>
    <w:p>
      <w:pPr>
        <w:pStyle w:val="Normal"/>
        <w:rPr/>
      </w:pPr>
      <w:r>
        <w:rPr/>
        <w:t xml:space="preserve">В </w:t>
      </w:r>
      <w:r>
        <w:fldChar w:fldCharType="begin"/>
      </w:r>
      <w:r>
        <w:rPr>
          <w:rStyle w:val="Hyperlink"/>
        </w:rPr>
        <w:instrText xml:space="preserve"> HYPERLINK "https://www.garant.ru/products/ipo/prime/doc/71165458/" \l "103"</w:instrText>
      </w:r>
      <w:r>
        <w:rPr>
          <w:rStyle w:val="Hyperlink"/>
        </w:rPr>
        <w:fldChar w:fldCharType="separate"/>
      </w:r>
      <w:r>
        <w:rPr>
          <w:rStyle w:val="Hyperlink"/>
        </w:rPr>
        <w:t>Блок 3</w:t>
      </w:r>
      <w:r>
        <w:rPr>
          <w:rStyle w:val="Hyperlink"/>
        </w:rPr>
        <w:fldChar w:fldCharType="end"/>
      </w:r>
      <w:r>
        <w:rPr/>
        <w:t xml:space="preserve"> «Государственная итоговая аттестация» входят подготовка к сдаче и сдача государственного экзамена и выполнение и защита выпускной квалификационной работы.</w:t>
      </w:r>
    </w:p>
    <w:p>
      <w:pPr>
        <w:pStyle w:val="Normal"/>
        <w:rPr/>
      </w:pPr>
      <w:bookmarkStart w:id="33" w:name="_Hlk58503040"/>
      <w:r>
        <w:rPr/>
        <w:t xml:space="preserve">К государственной итоговой аттестации допускается обучающийся, не имеющий академической задолженности и в полном объеме выполнивший учебный план или индивидуальный учебный план, если иное не установлено порядком проведения государственной итоговой аттестации по соответствующим образовательным программам. </w:t>
      </w:r>
      <w:bookmarkEnd w:id="33"/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4" w:name="__RefHeading___Toc146271783"/>
      <w:bookmarkEnd w:id="34"/>
      <w:r>
        <w:rPr/>
        <w:t>4.6. Оценочные материалы по дисциплинам (модулям), практикам, государственной итоговой аттестации</w:t>
      </w:r>
    </w:p>
    <w:p>
      <w:pPr>
        <w:pStyle w:val="Normal"/>
        <w:rPr/>
      </w:pPr>
      <w:r>
        <w:rPr/>
        <w:t>В соответствии с требованиями ФГОС ВО для аттестации обучающихся на соответствие их персональных достижений поэтапным требованиям соответствующей ОПОП университет создает оценочные материалы для проведения текущего контроля успеваемости, промежуточной и государственной итоговой аттестации.</w:t>
      </w:r>
    </w:p>
    <w:p>
      <w:pPr>
        <w:pStyle w:val="Normal"/>
        <w:rPr/>
      </w:pPr>
      <w:r>
        <w:rPr/>
        <w:t>Оценочные материалы по ОПОП ВО позволяют оценить уровень сформированности компетенций и формируются в соответствии с нормативной базой университета.</w:t>
      </w:r>
    </w:p>
    <w:p>
      <w:pPr>
        <w:pStyle w:val="Normal"/>
        <w:rPr/>
      </w:pPr>
      <w:r>
        <w:rPr/>
        <w:t>Оценочные материалы включают: контрольные вопросы и типовые задания для практических и лабораторных занятий, для письменных работ, контрольных работ, подготовки докладов, рефератов, сообщений, зачетов и экзаменов; тесты, примерную тематику курсовых работ, рефератов и т.п., а также иные формы контроля, позволяющие оценить степень сформированности компетенций обучающихся.</w:t>
      </w:r>
    </w:p>
    <w:p>
      <w:pPr>
        <w:pStyle w:val="Normal"/>
        <w:rPr/>
      </w:pPr>
      <w:r>
        <w:rPr/>
        <w:t>Для каждого результата обучения по дисциплине или практике определены показатели и критерии оценивания сформированности компетенций, шкалы и процедуры оценивания.</w:t>
      </w:r>
    </w:p>
    <w:p>
      <w:pPr>
        <w:pStyle w:val="Normal"/>
        <w:rPr/>
      </w:pPr>
      <w:r>
        <w:rPr/>
        <w:t>Оценочные материалы для государственной итоговой аттестации включают в себя перечень компетенций, которыми должны овладеть обучающиеся в результате освоения образовательной программы: описание показателей и критериев оценивания компетенций, типовые вопросы и задания, иные материалы, необходимые для оценки результатов освоения образовательной программы. Оценочные материалы по каждой дисциплине (модулю), практике, государственной аттестации приведены в программах дисциплин (модулей), практик, ГИА соответственно.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5" w:name="__RefHeading___Toc146271784"/>
      <w:bookmarkEnd w:id="35"/>
      <w:r>
        <w:rPr/>
        <w:t>4.7. Методические материалы по дисциплинам (модулям), практикам, государственной итоговой аттестации</w:t>
      </w:r>
    </w:p>
    <w:p>
      <w:pPr>
        <w:pStyle w:val="Normal"/>
        <w:rPr/>
      </w:pPr>
      <w:r>
        <w:rPr/>
        <w:t xml:space="preserve">Методические материалы представляют собой комплект методических рекомендаций, указаний, материалов по дисциплине (модулю, практике, ГИА), сформированный в соответствии со структурой и содержанием дисциплины (модуля, практики), используемыми образовательными технологиями и формами организации учебного процесса. </w:t>
      </w:r>
    </w:p>
    <w:p>
      <w:pPr>
        <w:pStyle w:val="Normal"/>
        <w:rPr/>
      </w:pPr>
      <w:r>
        <w:rPr/>
        <w:t>Организационно-методические материалы позволяют обучающимся оптимальным образом спланировать и организовать процесс освоения учебного материала.</w:t>
      </w:r>
    </w:p>
    <w:p>
      <w:pPr>
        <w:pStyle w:val="Normal"/>
        <w:rPr/>
      </w:pPr>
      <w:r>
        <w:rPr/>
        <w:t>Учебно-методические материалы направлены на усвоение обучающимся содержания дисциплины (модуля, практики, ГИА), а также направлены на проверку и соответствующую оценку сформированности компетенций обучающихся на различных этапах освоения учебного материала.</w:t>
      </w:r>
    </w:p>
    <w:p>
      <w:pPr>
        <w:pStyle w:val="Normal"/>
        <w:rPr/>
      </w:pPr>
      <w:r>
        <w:rPr/>
        <w:t>В качестве учебных изданий используются учебники, учебные пособия, учебно-методические пособия.</w:t>
      </w:r>
    </w:p>
    <w:p>
      <w:pPr>
        <w:pStyle w:val="Heading1"/>
        <w:numPr>
          <w:ilvl w:val="0"/>
          <w:numId w:val="1"/>
        </w:numPr>
        <w:ind w:hanging="0" w:start="0" w:end="0"/>
        <w:rPr/>
      </w:pPr>
      <w:bookmarkStart w:id="36" w:name="__RefHeading___Toc146271785"/>
      <w:bookmarkEnd w:id="36"/>
      <w:r>
        <w:rPr/>
        <w:t>5. Фактическое ресурсное обеспечение ОПОП ВО</w:t>
      </w:r>
    </w:p>
    <w:p>
      <w:pPr>
        <w:pStyle w:val="Normal"/>
        <w:rPr/>
      </w:pPr>
      <w:r>
        <w:t>Ресурсное обеспечение данной ОПОП формируется на основе требований к условиям реализации ОПОП, определяемыми ФГОС ВО бакалавриата по направлению подготовки 01.03.01 Математика.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8" w:name="__RefHeading___Toc146271786"/>
      <w:bookmarkEnd w:id="38"/>
      <w:r>
        <w:rPr/>
        <w:t>5.1. Кадровое обеспечение</w:t>
      </w:r>
    </w:p>
    <w:p>
      <w:pPr>
        <w:pStyle w:val="Normal"/>
        <w:rPr/>
      </w:pPr>
      <w:r>
        <w:t>Реализация образовательной программы бакалавриата по направлению подготовки 01.03.01 Математика, профиль «{{profile_name}}» в соответствии с п 4.4 ФГОС ВО обеспечивается педагогическими работниками организации, а также лицами, привлекаемыми к реализации программы бакалавриата на условиях гражданско-правовых договоров.</w:t>
      </w:r>
    </w:p>
    <w:p>
      <w:pPr>
        <w:pStyle w:val="Normal"/>
        <w:rPr/>
      </w:pPr>
      <w:r>
        <w:rPr/>
        <w:t>Реализация образовательной программы бакалавриата обеспечивается педагогическими работниками, квалификация которых отвечает квалификационным требованиям, указанным в квалификационных справочниках и (или) профессиональных стандартах (при наличии).</w:t>
      </w:r>
    </w:p>
    <w:p>
      <w:pPr>
        <w:pStyle w:val="Normal"/>
        <w:rPr/>
      </w:pPr>
      <w:r>
        <w:rPr/>
        <w:t>Доля педагогических работников организации и лиц, привлекаемых к реализации программы бакалавриата на иных условиях (в приведенных к целочисленным значениям ставок), ведущих научную, учебно-методическую и/или практическую работу по профилю преподаваемой дисциплины, в общем числе научно-педагогических работников, реализующих программу бакалавриата, составляет не менее 70%.</w:t>
      </w:r>
    </w:p>
    <w:p>
      <w:pPr>
        <w:pStyle w:val="Normal"/>
        <w:rPr/>
      </w:pPr>
      <w:r>
        <w:rPr/>
        <w:t>Доля работников (в приведенных к целочисленным значениям ставок) из числа руководителей и (или) работников организаций, деятельность которых связана с направленностью (профилем) реализуемой программы бакалавриата (имеющих стаж работы в данной профессиональной области не менее 3 лет) в общем числе работников, реализующих программу бакалавриата, составляет не менее 5%.</w:t>
      </w:r>
    </w:p>
    <w:p>
      <w:pPr>
        <w:pStyle w:val="Normal"/>
        <w:rPr/>
      </w:pPr>
      <w:r>
        <w:rPr/>
        <w:t>Доля научно-педагогических работников (в приведенных к целочисленным значениям ставок), имеющих ученую степень (в том числе ученую степень, присвоенную за рубежом и признаваемую в Российской Федерации) и (или) ученое звание (в том числе ученое звание, полученное за рубежом и признаваемое в Российской Федерации), в общем числе научно-педагогических работников, реализующих программу бакалавриата, составляет не менее 65%.</w:t>
      </w:r>
    </w:p>
    <w:p>
      <w:pPr>
        <w:pStyle w:val="Heading2"/>
        <w:numPr>
          <w:ilvl w:val="1"/>
          <w:numId w:val="1"/>
        </w:numPr>
        <w:ind w:firstLine="709" w:start="0" w:end="0"/>
        <w:rPr>
          <w:bCs/>
        </w:rPr>
      </w:pPr>
      <w:bookmarkStart w:id="39" w:name="__RefHeading___Toc146271787"/>
      <w:bookmarkStart w:id="40" w:name="bookmark39"/>
      <w:bookmarkEnd w:id="39"/>
      <w:bookmarkEnd w:id="40"/>
      <w:r>
        <w:rPr/>
        <w:t xml:space="preserve">5.2. Материально-техническое и учебно-методическое обеспечение образовательного процесса </w:t>
      </w:r>
    </w:p>
    <w:p>
      <w:pPr>
        <w:pStyle w:val="Normal"/>
        <w:rPr/>
      </w:pPr>
      <w:r>
        <w:rPr>
          <w:bCs/>
        </w:rPr>
        <w:t xml:space="preserve">Университет располагает </w:t>
      </w:r>
      <w:r>
        <w:rPr/>
        <w:t>материально-технической базой, соответствующей действующим противопожарным правилам и нормам и обеспечивающей проведение всех видов дисциплинарной и междисциплинарной подготовки, практической и научно-исследовательской деятельности обучающихся, предусмотренных учебным планом.</w:t>
      </w:r>
    </w:p>
    <w:p>
      <w:pPr>
        <w:pStyle w:val="Normal"/>
        <w:rPr/>
      </w:pPr>
      <w:r>
        <w:rPr/>
        <w:t>Специальные помещения представляют собой учебные аудитории для проведения занятий лекционного типа, занятий семинарского типа, курсового проектирования (выполнения курсовых работ), групповых и индивидуальных консультаций, текущего контроля и промежуточной аттестации, а также помещения для самостоятельной работы и помещения для хранения и профилактического обслуживания учебного оборудования. Специальные помещения укомплектованы специализированной мебелью и техническими средствами обучения, служащими для представления учебной информации большой аудитории.</w:t>
      </w:r>
    </w:p>
    <w:p>
      <w:pPr>
        <w:pStyle w:val="Normal"/>
        <w:rPr/>
      </w:pPr>
      <w:r>
        <w:rPr/>
        <w:t>Для проведения занятий лекционного типа имеются наборы демонстрационного оборудования и учебно-наглядных пособий, обеспечивающие тематические иллюстрации, соответствующие рабочим программам дисциплин (модулей).</w:t>
      </w:r>
    </w:p>
    <w:p>
      <w:pPr>
        <w:pStyle w:val="Normal"/>
        <w:rPr/>
      </w:pPr>
      <w:r>
        <w:rPr/>
        <w:t>Помещения для самостоятельной работы обучающихся оснащены компьютерной техникой с возможностью подключения к сети «Интернет» и обеспечением доступа в электронную информационно-образовательную среду организации.</w:t>
      </w:r>
    </w:p>
    <w:p>
      <w:pPr>
        <w:pStyle w:val="Normal"/>
        <w:rPr/>
      </w:pPr>
      <w:r>
        <w:rPr/>
        <w:t>Университет обеспечен необходимым</w:t>
      </w:r>
      <w:r>
        <w:rPr>
          <w:bCs/>
        </w:rPr>
        <w:t xml:space="preserve"> комплектом лицензионного программного обеспечения (состав которого определяется в рабочих программах дисциплин (модулей) и ежегодно обновляется).</w:t>
      </w:r>
    </w:p>
    <w:p>
      <w:pPr>
        <w:pStyle w:val="Normal"/>
        <w:rPr/>
      </w:pPr>
      <w:r>
        <w:rPr/>
        <w:t>Электронно-библиотечные системы (электронная библиотека) и электронная информационно-образовательная среда обеспечивают одновременный доступ не менее 25 процентов обучающихся по программе бакалавриата.</w:t>
      </w:r>
    </w:p>
    <w:p>
      <w:pPr>
        <w:pStyle w:val="Normal"/>
        <w:rPr/>
      </w:pPr>
      <w:r>
        <w:rPr/>
        <w:t xml:space="preserve">Обучающимся обеспечен доступ (удаленный доступ), в том числе в случае применении электронного обучения, дистанционных образовательных технологий, к современным профессиональным базам данных и информационным справочным системам, состав которых определен в рабочих программах дисциплин (модулей) и ежегодно обновляется. </w:t>
      </w:r>
    </w:p>
    <w:p>
      <w:pPr>
        <w:pStyle w:val="Normal"/>
        <w:rPr/>
      </w:pPr>
      <w:r>
        <w:rPr/>
        <w:t>Обучающиеся из числа лиц с ограниченными возможностями здоровья обеспечены печатными и (или) электронными образовательными ресурсами в формах, адаптированных к ограничениям их здоровья.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41" w:name="__RefHeading___Toc146271788"/>
      <w:bookmarkStart w:id="42" w:name="_Hlk58502511"/>
      <w:bookmarkStart w:id="43" w:name="bookmark39_Копия_1"/>
      <w:bookmarkEnd w:id="41"/>
      <w:bookmarkEnd w:id="42"/>
      <w:bookmarkEnd w:id="43"/>
      <w:r>
        <w:rPr/>
        <w:t>5.3. Содержание и организация учебного процесса для инвалидов и лиц с ограниченными возможностями здоровья</w:t>
      </w:r>
    </w:p>
    <w:p>
      <w:pPr>
        <w:pStyle w:val="Normal"/>
        <w:rPr/>
      </w:pPr>
      <w:r>
        <w:rPr/>
        <w:t xml:space="preserve">Содержание и организация учебного процесса для инвалидов и лиц с ограниченными возможностями здоровья определяется требованиями федерального государственного образовательного стандарта высшего образования (ФГОС ВО). </w:t>
      </w:r>
    </w:p>
    <w:p>
      <w:pPr>
        <w:pStyle w:val="Normal"/>
        <w:rPr/>
      </w:pPr>
      <w:r>
        <w:rPr/>
        <w:t xml:space="preserve">Обучение по образовательным программам инвалидов и обучающихся с ОВЗ осуществляется с учетом особенностей психофизического развития, индивидуальных возможностей и состояния здоровья таких обучающихся. </w:t>
      </w:r>
    </w:p>
    <w:p>
      <w:pPr>
        <w:pStyle w:val="Normal"/>
        <w:rPr>
          <w:rFonts w:eastAsia="Calibri"/>
        </w:rPr>
      </w:pPr>
      <w:r>
        <w:rPr/>
        <w:t xml:space="preserve">Выбор методов обучения в каждом отдельном случае обуславливается целями обучения, содержанием обучения, уровнем профессиональной подготовки педагогов, методического и материально-технического обеспечения, наличием времени на подготовку, с учетом особенностей психофизического развития, индивидуальных возможностей и состояния здоровья обучающихся. </w:t>
      </w:r>
    </w:p>
    <w:p>
      <w:pPr>
        <w:pStyle w:val="Normal"/>
        <w:rPr/>
      </w:pPr>
      <w:r>
        <w:rPr>
          <w:rFonts w:eastAsia="Calibri"/>
        </w:rPr>
        <w:t xml:space="preserve">Для инвалидов и лиц с ограниченными </w:t>
      </w:r>
      <w:r>
        <w:rPr/>
        <w:t>возможностями</w:t>
      </w:r>
      <w:r>
        <w:rPr>
          <w:rFonts w:eastAsia="Calibri"/>
        </w:rPr>
        <w:t xml:space="preserve"> здоровья установлен особый порядок освоения дисциплин (модулей) по физической культуре и спорту с учетом состояния их здоровья.</w:t>
      </w:r>
    </w:p>
    <w:p>
      <w:pPr>
        <w:pStyle w:val="Normal"/>
        <w:rPr/>
      </w:pPr>
      <w:r>
        <w:rPr/>
        <w:t xml:space="preserve">Инвалиды и лица с ограниченными возможностями слуха и речи, с ограниченными возможностями зрения и ограниченными возможностями опорно-двигательной системы могут получить образование в Университете по очной или заочной формам обучения, индивидуально или с использованием дистанционных образовательных технологий. </w:t>
      </w:r>
    </w:p>
    <w:p>
      <w:pPr>
        <w:pStyle w:val="Normal"/>
        <w:rPr/>
      </w:pPr>
      <w:r>
        <w:rPr/>
        <w:t xml:space="preserve">При выборе мест прохождения практик для инвалидов и лиц с ограниченными возможностями здоровья учитывается состояние здоровья и требования по доступности. </w:t>
      </w:r>
    </w:p>
    <w:p>
      <w:pPr>
        <w:pStyle w:val="Normal"/>
        <w:rPr/>
      </w:pPr>
      <w:r>
        <w:rPr/>
        <w:t xml:space="preserve">Университет обеспечивает создание безбарьерной образовательной среды для инвалидов и студентов с ОВЗ в Университет, а также обеспечение организации образовательного процесса специальными средствами: </w:t>
      </w:r>
    </w:p>
    <w:p>
      <w:pPr>
        <w:pStyle w:val="Normal"/>
        <w:rPr/>
      </w:pPr>
      <w:r>
        <w:rPr/>
        <w:t xml:space="preserve">– </w:t>
      </w:r>
      <w:r>
        <w:rPr/>
        <w:t xml:space="preserve">архитектурная доступность; </w:t>
      </w:r>
    </w:p>
    <w:p>
      <w:pPr>
        <w:pStyle w:val="Normal"/>
        <w:rPr/>
      </w:pPr>
      <w:r>
        <w:rPr/>
        <w:t xml:space="preserve">– </w:t>
      </w:r>
      <w:r>
        <w:rPr/>
        <w:t xml:space="preserve">материально-техническое оснащение учебного процесса, с учетом особых образовательных потребностей; </w:t>
      </w:r>
    </w:p>
    <w:p>
      <w:pPr>
        <w:pStyle w:val="Normal"/>
        <w:rPr/>
      </w:pPr>
      <w:r>
        <w:rPr/>
        <w:t xml:space="preserve">– </w:t>
      </w:r>
      <w:r>
        <w:rPr/>
        <w:t xml:space="preserve">формирование комфортной психологической среды, позволяющей обучающимся с ОВЗ и инвалидам комфортно чувствовать себя в Университете; </w:t>
      </w:r>
    </w:p>
    <w:p>
      <w:pPr>
        <w:pStyle w:val="Normal"/>
        <w:rPr/>
      </w:pPr>
      <w:r>
        <w:rPr/>
        <w:t xml:space="preserve">– </w:t>
      </w:r>
      <w:r>
        <w:rPr/>
        <w:t xml:space="preserve">доступ инвалидов и студентов с ОВЗ новым информационно-коммуникационным технологиям и системам, включая Интернет; </w:t>
      </w:r>
    </w:p>
    <w:p>
      <w:pPr>
        <w:pStyle w:val="Normal"/>
        <w:rPr/>
      </w:pPr>
      <w:r>
        <w:rPr/>
        <w:t xml:space="preserve">– </w:t>
      </w:r>
      <w:r>
        <w:rPr/>
        <w:t xml:space="preserve">коррекция поведения студентов с ОВЗ, инвалидов и студентов с нормальным развитием в условиях Университета; </w:t>
      </w:r>
    </w:p>
    <w:p>
      <w:pPr>
        <w:pStyle w:val="Normal"/>
        <w:rPr/>
      </w:pPr>
      <w:r>
        <w:rPr/>
        <w:t xml:space="preserve">– </w:t>
      </w:r>
      <w:r>
        <w:rPr/>
        <w:t>обеспечение доступа инвалидов к местам отдыха и занятий спорта.</w:t>
      </w:r>
    </w:p>
    <w:p>
      <w:pPr>
        <w:pStyle w:val="Normal"/>
        <w:rPr/>
      </w:pPr>
      <w:r>
        <w:rPr/>
        <w:t>Для обучающихся, имеющих нарушения опорно-двигательного аппарата при наличии студентов с ОВЗ данного типа и нуждающихся в создании специальных условий, материально-технические условия обеспечивают возможность беспрепятственного доступа обучающихся в учебные помещения, буфет, туалетные и другие помещения Университета, а также их пребывания в указанных помещениях.</w:t>
      </w:r>
    </w:p>
    <w:p>
      <w:pPr>
        <w:pStyle w:val="Normal"/>
        <w:rPr/>
      </w:pPr>
      <w:r>
        <w:rPr/>
        <w:t>Денежное обеспечение осуществляется в соответствии с действующим законодательством Российской Федерации.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44" w:name="__RefHeading___Toc146271789"/>
      <w:bookmarkStart w:id="45" w:name="_Hlk58502511_Копия_1"/>
      <w:bookmarkEnd w:id="44"/>
      <w:bookmarkEnd w:id="45"/>
      <w:r>
        <w:rPr/>
        <w:t xml:space="preserve">5.4. Финансовое обеспечение </w:t>
      </w:r>
    </w:p>
    <w:p>
      <w:pPr>
        <w:pStyle w:val="Normal"/>
        <w:rPr/>
      </w:pPr>
      <w:bookmarkStart w:id="46" w:name="_Hlk58502624"/>
      <w:bookmarkEnd w:id="46"/>
      <w:r>
        <w:rPr/>
        <w:t>Финансовое обеспечение реализации программы бакалавриата осуществляется в объеме не ниже значений базовых нормативов затрат на оказание государственных услуг по реализации образовательных программ высшего образования – программ бакалавриата с учетом корректирующих коэффициентов, определяемых Министерством высшего образования и науки РФ.</w:t>
      </w:r>
    </w:p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ind w:hanging="0" w:start="709" w:end="282"/>
        <w:rPr/>
      </w:pPr>
      <w:bookmarkStart w:id="47" w:name="__RefHeading___Toc146271790"/>
      <w:bookmarkEnd w:id="47"/>
      <w:r>
        <w:rPr/>
        <w:t>6. Характеристика среды вуза, обеспечивающая развитие общекультурных и социально-личностных компетенций выпускников</w:t>
      </w:r>
    </w:p>
    <w:p>
      <w:pPr>
        <w:pStyle w:val="Normal"/>
        <w:rPr>
          <w:color w:val="000000"/>
          <w:spacing w:val="-4"/>
          <w:szCs w:val="24"/>
        </w:rPr>
      </w:pPr>
      <w:bookmarkStart w:id="48" w:name="_Hlk58502700"/>
      <w:bookmarkStart w:id="49" w:name="_Hlk58502624_Копия_1"/>
      <w:bookmarkEnd w:id="49"/>
      <w:r>
        <w:rPr/>
        <w:t>Социокультурная среда университета представляет собой совокупность концептуальных, содержательных, кадровых, организационных и методических ресурсов, направленных на создание гуманитарной среды в учебном заведении, которая обеспечивает развитие универсальных компетенций обучающихся.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Воспитательная деятельность и внеучебная общекультурная работа в университете организована по ряду направлений: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1) «Гражданско-патриотическое воспитание». Организовываются и проводятся праздничные мероприятия, посвященные государственным праздникам, памятным датам истории России: дню защитника Отечества; дню Победы и др. Проводятся открытые лекции, концерты, военно-спортивные игры, кинопоказы. Студенты принимают активное участие в акциях и конкурсах, посвященных Великой Отечественной войне – «Бессмертный полк», «Час памяти», «Вечный огонь Победы» и др.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 xml:space="preserve">2) «Творческое воспитание». Осуществляется реализация творческих способностей обучающихся в творческих коллективах СОГУ: ансамбль народного танца «Иристон», Лига КВН, центр молодежного инновационного творчества </w:t>
      </w:r>
      <w:r>
        <w:rPr>
          <w:color w:val="000000"/>
          <w:spacing w:val="-4"/>
          <w:szCs w:val="24"/>
          <w:lang w:val="en-US"/>
        </w:rPr>
        <w:t>FabLab</w:t>
      </w:r>
      <w:r>
        <w:rPr>
          <w:color w:val="000000"/>
          <w:spacing w:val="-4"/>
          <w:szCs w:val="24"/>
        </w:rPr>
        <w:t xml:space="preserve"> Алания и др. Проводятся мастер-классы по изобразительному искусству преподавателями факультета искусств. Студенты принимают участие в ежегодных фестивалях «Студенческая весна» и «Зеленое яблоко».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3) «Культурно-нравственное воспитание». Значительный вклад в воспитательную работу вносят воспитательный отдел, музеи, культурные центры и Научная библиотека университета, на базе которых регулярно проводятся книжные выставки, курсы языковой подготовки, литературно-музыкальные композиции, способствующие культурному развитию личности обучающегося и профилактике негативных социальных явлений. В университете действует просветительский проект «Лекториум».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 xml:space="preserve">4) «Социальное взаимодействие». Осуществляется участие обучающихся СОГУ в волонтерских отрядах и регулярных акциях «День донора». В университете успешно действует студенческая команда эко-движения </w:t>
      </w:r>
      <w:r>
        <w:rPr>
          <w:color w:val="000000"/>
          <w:spacing w:val="-4"/>
          <w:szCs w:val="24"/>
          <w:lang w:val="en-US"/>
        </w:rPr>
        <w:t>SANSARA</w:t>
      </w:r>
      <w:r>
        <w:rPr>
          <w:color w:val="000000"/>
          <w:spacing w:val="-4"/>
          <w:szCs w:val="24"/>
        </w:rPr>
        <w:t>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5) «Психологическое воспитание». Ведется активная работа и осуществляется деятельность по следующим направлениям: психологическое просвещение, комплексная работа по социально-психологической адаптации студентов-первокурсников и др.</w:t>
      </w:r>
    </w:p>
    <w:p>
      <w:pPr>
        <w:pStyle w:val="Normal"/>
        <w:rPr>
          <w:szCs w:val="28"/>
        </w:rPr>
      </w:pPr>
      <w:r>
        <w:rPr>
          <w:color w:val="000000"/>
          <w:spacing w:val="-4"/>
          <w:szCs w:val="24"/>
        </w:rPr>
        <w:t xml:space="preserve">6) «Физическое воспитание». Значительный вклад в физическое воспитание вносит студенческий спортивный клуб «Атлант». Организуется межфакультетские спартакиады по различным видам спорта, учебно-практические экспедиции студентов университета в горные ущелья Северной Осетии. Работают секции по </w:t>
      </w:r>
      <w:r>
        <w:rPr>
          <w:szCs w:val="28"/>
        </w:rPr>
        <w:t>игровым видам спорта, борьбе, тяжелой атлетике, гимнастике, аэробике, шахматам, горному туризму. Работает спортивно-оздоровительный комплекс с бассейном «Дельфин».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7) «Студенческое самоуправление». Особое значение в СОГУ придается развитию студенческого самоуправления, в котором важную роль играет Студенческий совет СОГУ. Представители Студсовета есть на каждом факультете и в каждом общежитии. </w:t>
      </w:r>
      <w:r>
        <w:rPr>
          <w:szCs w:val="24"/>
        </w:rPr>
        <w:t>Студенческое самоуправление в СОГУ рассматривается как: условие реализации творческой активности и самодеятельности в учебно-познавательном, научно-профессиональном и культурном отношении; реальная форма студенческой демократии с соответствующими правами, возможностями и ответственностью; средство (ресурс) социально-правовой самозащиты. Студенческое самоуправление в СОГУ призвано помочь студентам реализовать права и свободу, вовлечь их в обсуждение и решение важнейших вопросов деятельности вуза, развивать инициативу и самостоятельность студентов, повышать ответственность за качество знаний и социальное поведение будущих специалистов. Деятельность всех органов студенческого самоуправления направлена на содействие повышения успеваемости и укрепления учебной дисциплины студентов, реализацию из профессиональных и социальных интересов, творческого потенциала и общественно-значимых инициатив, на демократизацию внутривузовской жизни, формирование активной жизненной позиции студентов, создание благоприятного социально-психологического климата в студенческой среде.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szCs w:val="28"/>
        </w:rPr>
        <w:t>Важная роль в общекультурном развитии обучающихся отведена Первичной профсоюзной организации студентов и аспирантов СОГУ, которая объединяет студентов для реализации актуальных задач. К таким задачам относятся: защита профессиональных, трудовых, социально-экономических прав и интересов членов профсоюза правовой и социальной защитой; ведение переговоров с администрацией университета, заключение коллективного договора и его реализация, оказание материальной и консультационной помощи членам профсоюза и др.</w:t>
      </w:r>
    </w:p>
    <w:p>
      <w:pPr>
        <w:pStyle w:val="Normal"/>
        <w:rPr>
          <w:szCs w:val="24"/>
        </w:rPr>
      </w:pPr>
      <w:r>
        <w:rPr>
          <w:color w:val="000000"/>
          <w:spacing w:val="-4"/>
          <w:szCs w:val="24"/>
        </w:rPr>
        <w:t xml:space="preserve">В университете функционирует </w:t>
      </w:r>
      <w:r>
        <w:rPr>
          <w:szCs w:val="28"/>
        </w:rPr>
        <w:t>Центр довузовской подготовки и трудоустройства выпускников, который проводит информационно-аналитическую и профориентационную работу, осуществляет временную занятость студентов и трудоустройство выпускников.</w:t>
      </w:r>
    </w:p>
    <w:p>
      <w:pPr>
        <w:pStyle w:val="Normal"/>
        <w:rPr>
          <w:szCs w:val="28"/>
        </w:rPr>
      </w:pPr>
      <w:r>
        <w:rPr>
          <w:szCs w:val="24"/>
        </w:rPr>
        <w:t xml:space="preserve">Равноправными субъектами воспитательного пространства Северо-Осетинского государственного университета являются администрация, профессорско-преподавательский состав, студенты. При этом ведущая роль в формировании воспитательного пространства вуза отводится ректорату, заместителям деканов факультетов по воспитательной работе, кураторам учебных групп, органам студенческого самоуправления. </w:t>
      </w:r>
    </w:p>
    <w:p>
      <w:pPr>
        <w:pStyle w:val="Normal"/>
        <w:rPr>
          <w:szCs w:val="24"/>
        </w:rPr>
      </w:pPr>
      <w:r>
        <w:rPr>
          <w:szCs w:val="28"/>
        </w:rPr>
        <w:t>Университет бережно хранит свою историю и историю родного края, уникальные археологические коллекции представлены в экспозициях «Музея древностей Алании».</w:t>
      </w:r>
    </w:p>
    <w:p>
      <w:pPr>
        <w:pStyle w:val="Normal"/>
        <w:rPr>
          <w:szCs w:val="28"/>
        </w:rPr>
      </w:pPr>
      <w:r>
        <w:rPr>
          <w:szCs w:val="24"/>
        </w:rPr>
        <w:t xml:space="preserve">На уровне факультетов воспитательная работа со студентами проводится на основе плана учебно-воспитательной работы. Для координации и организации этой работы на факультете назначается заместитель декана по воспитательной работе из числа профессорско-преподавательского состава. На уровне кафедры для организации воспитательной работы со студентами академических групп назначается куратор группы. 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Для проживания обучающихся и сотрудников университет имеет благоустроенные общежития (общежитие №1 на 240 мест, общежитие №2 на 96 мест), расположенные в непосредственной близости от учебно-лабораторных корпусов. </w:t>
      </w:r>
      <w:r>
        <w:rPr>
          <w:szCs w:val="24"/>
        </w:rPr>
        <w:t xml:space="preserve">Для организации питания студентов имеются столовые и буфеты. Квалифицированную медицинскую помощь и консультации специалистов студенты </w:t>
      </w:r>
      <w:r>
        <w:rPr>
          <w:spacing w:val="4"/>
          <w:szCs w:val="24"/>
        </w:rPr>
        <w:t>получают в здравпункте СОГУ. Здесь регулярно проводятся санитарно-просветительные, лечебно-профилактические, противоэпидемические мероприятия, флюорографическое и другие обследования.</w:t>
      </w:r>
    </w:p>
    <w:p>
      <w:pPr>
        <w:pStyle w:val="Normal"/>
        <w:rPr>
          <w:szCs w:val="24"/>
        </w:rPr>
      </w:pPr>
      <w:r>
        <w:rPr>
          <w:szCs w:val="28"/>
        </w:rPr>
        <w:t>В университете неукоснительно соблюдается принцип выделения материальной помощи всем малообеспеченным и нуждающимся студентам. Организована социальная   поддержка обучающихся в университете (дети-сироты, дети-инвалиды, иногородние студенты, студенческие семьи). Студенты университета поощряются рядом именных стипендий, действует утвержденная система премирования студентов.</w:t>
      </w:r>
    </w:p>
    <w:p>
      <w:pPr>
        <w:pStyle w:val="Normal"/>
        <w:rPr>
          <w:szCs w:val="24"/>
        </w:rPr>
      </w:pPr>
      <w:r>
        <w:rPr>
          <w:szCs w:val="24"/>
        </w:rPr>
        <w:t xml:space="preserve">На сайте университета организована возможность задать вопрос руководству вуза, что позволяет своевременно решать многие проблемы. </w:t>
      </w:r>
    </w:p>
    <w:p>
      <w:pPr>
        <w:pStyle w:val="Normal"/>
        <w:rPr>
          <w:szCs w:val="24"/>
        </w:rPr>
      </w:pPr>
      <w:r>
        <w:rPr>
          <w:szCs w:val="24"/>
        </w:rPr>
        <w:t>В вузе создана социокультурная среда, необходимая для формирования гражданской, правовой и профессиональной позиции обучающегося, готовности всех членов коллектива к общению и сотрудничеству, к способности толерантно воспринимать социальные, личностные и культурные различия.</w:t>
      </w:r>
    </w:p>
    <w:p>
      <w:pPr>
        <w:pStyle w:val="Normal"/>
        <w:rPr>
          <w:szCs w:val="24"/>
        </w:rPr>
      </w:pPr>
      <w:r>
        <w:rPr>
          <w:szCs w:val="24"/>
        </w:rPr>
        <w:t xml:space="preserve">Информация о проведении внеучебной работы размещается на сайте университета. Активно в этом направлении используются социальные сети. </w:t>
      </w:r>
    </w:p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ind w:hanging="0" w:start="709" w:end="566"/>
        <w:rPr/>
      </w:pPr>
      <w:bookmarkStart w:id="50" w:name="__RefHeading___Toc146271791"/>
      <w:bookmarkEnd w:id="50"/>
      <w:r>
        <w:rPr/>
        <w:t>7. Требования к применяемым механизмам оценки качества образовательной деятельности и подготовки обучающихся по образовательной программе</w:t>
      </w:r>
    </w:p>
    <w:p>
      <w:pPr>
        <w:pStyle w:val="Normal"/>
        <w:rPr/>
      </w:pPr>
      <w:r>
        <w:rPr/>
        <w:t xml:space="preserve">Качество образовательной деятельности и подготовки обучающихся по программе бакалавриата по данному направлению подготовки определяется в рамках системы внутренней оценки и включает текущий контроль успеваемости, промежуточную и итоговую (государственную итоговую) аттестацию обучающихся. </w:t>
      </w:r>
    </w:p>
    <w:p>
      <w:pPr>
        <w:pStyle w:val="Normal"/>
        <w:rPr/>
      </w:pPr>
      <w:r>
        <w:rPr/>
        <w:t>В целях совершенствования программы бакалавриата организация при проведении регулярной внутренней оценки качества образовательной деятельности и подготовки обучающихся по программе бакалавриата привлекает работодателей и (или) их объединения, иных юридических и (или) физических лиц, включая педагогических работников организации.</w:t>
      </w:r>
    </w:p>
    <w:p>
      <w:pPr>
        <w:pStyle w:val="Normal"/>
        <w:rPr/>
      </w:pPr>
      <w:r>
        <w:rPr/>
        <w:t>Внутренняя оценка качества образовательной деятельности по программе бакалавриата проходит в соответствии с Положением о внутренней системе оценки качества образования Университета, утвержденного приказом ректора А.У. Огоева от 07.12.2018 г. № 350.</w:t>
      </w:r>
    </w:p>
    <w:p>
      <w:pPr>
        <w:pStyle w:val="Normal"/>
        <w:rPr/>
      </w:pPr>
      <w:r>
        <w:rPr/>
        <w:t>В рамках внутренней системы оценки качества образовательной деятельности по программе бакалавриата обучающимся предоставляется возможность оценивания условий, содержания, организации и качества образовательного процесса в целом и отдельных дисциплин (модулей) и практик.</w:t>
      </w:r>
    </w:p>
    <w:p>
      <w:pPr>
        <w:pStyle w:val="Normal"/>
        <w:rPr/>
      </w:pPr>
      <w:r>
        <w:rPr/>
        <w:t>Внешняя оценка качества реализации ОП по данному направлению подготовки определяется в ходе следующих мероприятий:</w:t>
      </w:r>
    </w:p>
    <w:p>
      <w:pPr>
        <w:pStyle w:val="Normal"/>
        <w:tabs>
          <w:tab w:val="clear" w:pos="708"/>
          <w:tab w:val="left" w:pos="993" w:leader="none"/>
        </w:tabs>
        <w:rPr/>
      </w:pPr>
      <w:r>
        <w:rPr/>
        <w:t>•</w:t>
      </w:r>
      <w:r>
        <w:rPr/>
        <w:tab/>
        <w:t>рецензирование образовательной программы руководителями и/или работниками организаций, деятельность которых связана с направленностью (профилем) реализуемой программы бакалавриата и имеющих стаж работы в данной профессиональной области не менее 3-х лет;</w:t>
      </w:r>
    </w:p>
    <w:p>
      <w:pPr>
        <w:pStyle w:val="Normal"/>
        <w:tabs>
          <w:tab w:val="clear" w:pos="708"/>
          <w:tab w:val="left" w:pos="993" w:leader="none"/>
        </w:tabs>
        <w:rPr/>
      </w:pPr>
      <w:r>
        <w:rPr/>
        <w:t>•</w:t>
      </w:r>
      <w:r>
        <w:rPr/>
        <w:tab/>
        <w:t>оценивание профессиональной деятельности бакалавров работодателями в ходе прохождения практики.</w:t>
      </w:r>
      <w:bookmarkEnd w:id="48"/>
    </w:p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ind w:hanging="0" w:start="709" w:end="566"/>
        <w:rPr/>
      </w:pPr>
      <w:bookmarkStart w:id="51" w:name="__RefHeading___Toc146271792"/>
      <w:bookmarkEnd w:id="51"/>
      <w:r>
        <w:rPr/>
        <w:t>8. Содержание и организация учебного процесса для инвалидов и лиц с ограниченными возможностями здоровья</w:t>
      </w:r>
    </w:p>
    <w:p>
      <w:pPr>
        <w:pStyle w:val="Normal"/>
        <w:rPr/>
      </w:pPr>
      <w:r>
        <w:rPr/>
        <w:t xml:space="preserve">Содержание и организация учебного процесса для инвалидов и лиц с ограниченными возможностями здоровья определяется требованиями федерального государственного образовательного стандарта высшего образования. </w:t>
      </w:r>
    </w:p>
    <w:p>
      <w:pPr>
        <w:pStyle w:val="Normal"/>
        <w:rPr/>
      </w:pPr>
      <w:r>
        <w:rPr/>
        <w:t xml:space="preserve">Обучение по образовательным программам инвалидов и обучающихся с ОВЗ осуществляется с учетом особенностей психофизического развития, индивидуальных возможностей и состояния здоровья таких обучающихся. </w:t>
      </w:r>
    </w:p>
    <w:p>
      <w:pPr>
        <w:pStyle w:val="Normal"/>
        <w:rPr/>
      </w:pPr>
      <w:r>
        <w:rPr/>
        <w:t xml:space="preserve">Выбор методов обучения в каждом отдельном случае обуславливается целями обучения, содержанием обучения, уровнем профессиональной подготовки педагогов, методического и материально-технического обеспечения, наличием времени на подготовку, с учетом особенностей психофизического развития, индивидуальных возможностей и состояния здоровья обучающихся. </w:t>
      </w:r>
    </w:p>
    <w:p>
      <w:pPr>
        <w:pStyle w:val="Normal"/>
        <w:rPr/>
      </w:pPr>
      <w:r>
        <w:rPr/>
        <w:t xml:space="preserve">Инвалиды и лица с ограниченными возможностями слуха и речи, с ограниченными возможностями зрения и ограниченными возможностями опорно-двигательной системы могут получить образование в Университете по очной или заочной формам обучения, индивидуально или с использованием дистанционных образовательных технологий. </w:t>
      </w:r>
    </w:p>
    <w:p>
      <w:pPr>
        <w:pStyle w:val="Normal"/>
        <w:rPr/>
      </w:pPr>
      <w:r>
        <w:rPr/>
        <w:t xml:space="preserve">При выборе мест прохождения практик для инвалидов и лиц с ограниченными возможностями здоровья учитывается состояние здоровья и требования по доступности. </w:t>
      </w:r>
    </w:p>
    <w:p>
      <w:pPr>
        <w:pStyle w:val="Normal"/>
        <w:rPr/>
      </w:pPr>
      <w:r>
        <w:rPr/>
        <w:t xml:space="preserve">Университет обеспечивает создание безбарьерной образовательной среды для инвалидов и студентов с ОВЗ в Университет, а также обеспечение организации образовательного процесса специальными средствами: </w:t>
      </w:r>
    </w:p>
    <w:p>
      <w:pPr>
        <w:pStyle w:val="Normal"/>
        <w:rPr/>
      </w:pPr>
      <w:r>
        <w:rPr/>
        <w:t xml:space="preserve">– </w:t>
      </w:r>
      <w:r>
        <w:rPr/>
        <w:t xml:space="preserve">архитектурная доступность; </w:t>
      </w:r>
    </w:p>
    <w:p>
      <w:pPr>
        <w:pStyle w:val="Normal"/>
        <w:rPr/>
      </w:pPr>
      <w:r>
        <w:rPr/>
        <w:t xml:space="preserve">– </w:t>
      </w:r>
      <w:r>
        <w:rPr/>
        <w:t xml:space="preserve">материально-техническое оснащение учебного процесса, с учетом особых образовательных потребностей; </w:t>
      </w:r>
    </w:p>
    <w:p>
      <w:pPr>
        <w:pStyle w:val="Normal"/>
        <w:rPr/>
      </w:pPr>
      <w:r>
        <w:rPr/>
        <w:t xml:space="preserve">– </w:t>
      </w:r>
      <w:r>
        <w:rPr/>
        <w:t xml:space="preserve">формирование комфортной психологической среды, позволяющей обучающимся с ОВЗ и инвалидам комфортно чувствовать себя в Университете; </w:t>
      </w:r>
    </w:p>
    <w:p>
      <w:pPr>
        <w:pStyle w:val="Normal"/>
        <w:rPr/>
      </w:pPr>
      <w:r>
        <w:rPr/>
        <w:t xml:space="preserve">– </w:t>
      </w:r>
      <w:r>
        <w:rPr/>
        <w:t xml:space="preserve">доступ инвалидов и студентов с ОВЗ новым информационно-коммуникационным технологиям и системам, включая Интернет; </w:t>
      </w:r>
    </w:p>
    <w:p>
      <w:pPr>
        <w:pStyle w:val="Normal"/>
        <w:rPr/>
      </w:pPr>
      <w:r>
        <w:rPr/>
        <w:t xml:space="preserve">– </w:t>
      </w:r>
      <w:r>
        <w:rPr/>
        <w:t xml:space="preserve">коррекция поведения студентов с ОВЗ, инвалидов и студентов с нормальным развитием в условиях Университета; </w:t>
      </w:r>
    </w:p>
    <w:p>
      <w:pPr>
        <w:pStyle w:val="Normal"/>
        <w:rPr/>
      </w:pPr>
      <w:r>
        <w:rPr/>
        <w:t xml:space="preserve">– </w:t>
      </w:r>
      <w:r>
        <w:rPr/>
        <w:t>обеспечение доступа инвалидов к местам отдыха и занятий спорта.</w:t>
      </w:r>
    </w:p>
    <w:p>
      <w:pPr>
        <w:pStyle w:val="Normal"/>
        <w:rPr/>
      </w:pPr>
      <w:r>
        <w:rPr/>
        <w:t>Для обучающихся, имеющих нарушения опорно-двигательного аппарата при наличии студентов с ОВЗ данного типа и нуждающихся в создании специальных условий, материально-технические условия обеспечивают возможность беспрепятственного доступа обучающихся в учебные помещения, буфет, туалетные и другие помещения Университета, а также их пребывания в указанных помещениях.</w:t>
      </w:r>
    </w:p>
    <w:p>
      <w:pPr>
        <w:pStyle w:val="Normal"/>
        <w:rPr/>
      </w:pPr>
      <w:r>
        <w:rPr/>
        <w:t>Денежное обеспечение осуществляется в соответствии с действующим законодательством Российской Федерации.</w:t>
      </w:r>
    </w:p>
    <w:sectPr>
      <w:footerReference w:type="default" r:id="rId5"/>
      <w:footerReference w:type="first" r:id="rId6"/>
      <w:type w:val="nextPage"/>
      <w:pgSz w:w="11906" w:h="16838"/>
      <w:pgMar w:left="1701" w:right="680" w:gutter="0" w:header="0" w:top="993" w:footer="591" w:bottom="680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Symbol">
    <w:charset w:val="cc" w:characterSet="windows-1251"/>
    <w:family w:val="roman"/>
    <w:pitch w:val="variable"/>
  </w:font>
  <w:font w:name="Agency FB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Wingdings">
    <w:charset w:val="cc" w:characterSet="windows-1251"/>
    <w:family w:val="roman"/>
    <w:pitch w:val="variable"/>
  </w:font>
  <w:font w:name="Tahoma"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Verdana">
    <w:charset w:val="cc" w:characterSet="windows-1251"/>
    <w:family w:val="roman"/>
    <w:pitch w:val="variable"/>
  </w:font>
  <w:font w:name="TimesET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nsolas">
    <w:altName w:val="Courier New"/>
    <w:charset w:val="cc" w:characterSet="windows-1251"/>
    <w:family w:val="roman"/>
    <w:pitch w:val="variable"/>
  </w:font>
  <w:font w:name="Menlo">
    <w:altName w:val="Monaco"/>
    <w:charset w:val="cc" w:characterSet="windows-1251"/>
    <w:family w:val="roman"/>
    <w:pitch w:val="variable"/>
  </w:font>
  <w:font w:name="Agency FB">
    <w:charset w:val="01"/>
    <w:family w:val="auto"/>
    <w:pitch w:val="default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start="0" w:end="360"/>
      <w:rPr>
        <w:sz w:val="20"/>
        <w:szCs w:val="20"/>
      </w:rPr>
    </w:pPr>
    <w:r>
      <w:rPr>
        <w:sz w:val="20"/>
        <w:szCs w:val="20"/>
      </w:rPr>
      <mc:AlternateContent>
        <mc:Choice Requires="wps">
          <w:drawing>
            <wp:anchor behindDoc="1" distT="0" distB="0" distL="0" distR="0" simplePos="0" locked="0" layoutInCell="0" allowOverlap="1" relativeHeight="26">
              <wp:simplePos x="0" y="0"/>
              <wp:positionH relativeFrom="rightMargin">
                <wp:posOffset>0</wp:posOffset>
              </wp:positionH>
              <wp:positionV relativeFrom="paragraph">
                <wp:posOffset>635</wp:posOffset>
              </wp:positionV>
              <wp:extent cx="127000" cy="146050"/>
              <wp:effectExtent l="0" t="0" r="0" b="0"/>
              <wp:wrapSquare wrapText="bothSides"/>
              <wp:docPr id="4" name="Врезка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7080" cy="146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14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720" rIns="720" tIns="720" bIns="72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" path="m0,0l-2147483645,0l-2147483645,-2147483646l0,-2147483646xe" stroked="f" o:allowincell="f" style="position:absolute;margin-left:0pt;margin-top:0.05pt;width:9.95pt;height:11.45pt;mso-wrap-style:square;v-text-anchor:top;mso-position-horizont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14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643"/>
        </w:tabs>
        <w:ind w:star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8"/>
        </w:tabs>
        <w:ind w:start="4650" w:hanging="255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5">
    <w:lvl w:ilvl="0">
      <w:start w:val="1"/>
      <w:numFmt w:val="bullet"/>
      <w:lvlText w:val="—"/>
      <w:lvlJc w:val="start"/>
      <w:pPr>
        <w:tabs>
          <w:tab w:val="num" w:pos="0"/>
        </w:tabs>
        <w:ind w:start="1429" w:hanging="360"/>
      </w:pPr>
      <w:rPr>
        <w:rFonts w:ascii="Agency FB" w:hAnsi="Agency FB" w:cs="Agency FB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numFmt w:val="bullet"/>
      <w:lvlText w:val="•"/>
      <w:lvlJc w:val="start"/>
      <w:pPr>
        <w:tabs>
          <w:tab w:val="num" w:pos="0"/>
        </w:tabs>
        <w:ind w:start="2204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  <w:spacing w:before="0" w:after="0"/>
      <w:ind w:firstLine="709" w:start="0" w:end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2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tabs>
        <w:tab w:val="clear" w:pos="708"/>
        <w:tab w:val="left" w:pos="284" w:leader="none"/>
      </w:tabs>
      <w:spacing w:before="240" w:after="40"/>
      <w:ind w:hanging="0" w:start="0" w:end="0"/>
      <w:jc w:val="center"/>
      <w:outlineLvl w:val="0"/>
    </w:pPr>
    <w:rPr>
      <w:rFonts w:eastAsia="SimSun;宋体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120" w:after="0"/>
      <w:jc w:val="start"/>
      <w:outlineLvl w:val="1"/>
    </w:pPr>
    <w:rPr>
      <w:rFonts w:eastAsia="SimSun;宋体"/>
      <w:b/>
      <w:bCs/>
      <w:szCs w:val="28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120" w:after="0"/>
      <w:outlineLvl w:val="2"/>
    </w:pPr>
    <w:rPr>
      <w:rFonts w:ascii="Calibri Light" w:hAnsi="Calibri Light" w:eastAsia="SimSun;宋体" w:cs="Times New Roman"/>
      <w:spacing w:val="4"/>
      <w:sz w:val="24"/>
      <w:szCs w:val="24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120" w:after="0"/>
      <w:outlineLvl w:val="3"/>
    </w:pPr>
    <w:rPr>
      <w:rFonts w:ascii="Calibri Light" w:hAnsi="Calibri Light" w:eastAsia="SimSun;宋体" w:cs="Times New Roman"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120" w:after="0"/>
      <w:outlineLvl w:val="4"/>
    </w:pPr>
    <w:rPr>
      <w:rFonts w:ascii="Calibri Light" w:hAnsi="Calibri Light" w:eastAsia="SimSun;宋体" w:cs="Times New Roman"/>
      <w:b/>
      <w:bCs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120" w:after="0"/>
      <w:outlineLvl w:val="5"/>
    </w:pPr>
    <w:rPr>
      <w:rFonts w:ascii="Calibri Light" w:hAnsi="Calibri Light" w:eastAsia="SimSun;宋体" w:cs="Times New Roman"/>
      <w:b/>
      <w:bCs/>
      <w:i/>
      <w:iCs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120" w:after="0"/>
      <w:outlineLvl w:val="8"/>
    </w:pPr>
    <w:rPr>
      <w:i/>
      <w:iCs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Agency FB" w:hAnsi="Agency FB" w:cs="Agency FB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color w:val="000000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2z0">
    <w:name w:val="WW8Num12z0"/>
    <w:qFormat/>
    <w:rPr>
      <w:rFonts w:ascii="Symbol" w:hAnsi="Symbol" w:cs="Symbol"/>
      <w:sz w:val="20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Times New Roman" w:hAnsi="Times New Roman" w:eastAsia="Times New Roman" w:cs="Times New Roman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>
      <w:rFonts w:ascii="Agency FB" w:hAnsi="Agency FB" w:cs="Agency FB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/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rFonts w:ascii="Times New Roman" w:hAnsi="Times New Roman" w:cs="Times New Roman"/>
      <w:b/>
      <w:i w:val="false"/>
      <w:color w:val="000000"/>
      <w:sz w:val="28"/>
    </w:rPr>
  </w:style>
  <w:style w:type="character" w:styleId="WW8Num26z0">
    <w:name w:val="WW8Num26z0"/>
    <w:qFormat/>
    <w:rPr>
      <w:rFonts w:ascii="Times New Roman" w:hAnsi="Times New Roman" w:eastAsia="Times New Roman" w:cs="Times New Roman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6z3">
    <w:name w:val="WW8Num26z3"/>
    <w:qFormat/>
    <w:rPr>
      <w:rFonts w:ascii="Symbol" w:hAnsi="Symbol" w:cs="Symbol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8z0">
    <w:name w:val="WW8Num28z0"/>
    <w:qFormat/>
    <w:rPr>
      <w:rFonts w:eastAsia="Calibri"/>
      <w:sz w:val="24"/>
      <w:szCs w:val="24"/>
    </w:rPr>
  </w:style>
  <w:style w:type="character" w:styleId="WW8Num31z0">
    <w:name w:val="WW8Num31z0"/>
    <w:qFormat/>
    <w:rPr>
      <w:rFonts w:eastAsia="Calibri"/>
      <w:color w:val="000000"/>
    </w:rPr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rPr>
      <w:sz w:val="20"/>
    </w:rPr>
  </w:style>
  <w:style w:type="character" w:styleId="Style6">
    <w:name w:val="Нижний колонтитул Знак"/>
    <w:qFormat/>
    <w:rPr>
      <w:sz w:val="24"/>
      <w:szCs w:val="24"/>
      <w:lang w:val="ru-RU" w:bidi="ar-SA"/>
    </w:rPr>
  </w:style>
  <w:style w:type="character" w:styleId="Style7">
    <w:name w:val="Верхний колонтитул Знак"/>
    <w:qFormat/>
    <w:rPr>
      <w:sz w:val="24"/>
      <w:szCs w:val="24"/>
      <w:lang w:val="ru-RU" w:bidi="ar-SA"/>
    </w:rPr>
  </w:style>
  <w:style w:type="character" w:styleId="Style8">
    <w:name w:val="Основной текст_"/>
    <w:qFormat/>
    <w:rPr>
      <w:sz w:val="26"/>
      <w:szCs w:val="26"/>
      <w:shd w:fill="FFFFFF" w:val="clear"/>
    </w:rPr>
  </w:style>
  <w:style w:type="character" w:styleId="Style9">
    <w:name w:val="Текст выноски Знак"/>
    <w:qFormat/>
    <w:rPr>
      <w:rFonts w:ascii="Tahoma" w:hAnsi="Tahoma" w:cs="Tahoma"/>
      <w:sz w:val="16"/>
      <w:szCs w:val="16"/>
    </w:rPr>
  </w:style>
  <w:style w:type="character" w:styleId="Style10">
    <w:name w:val="Знак примечания"/>
    <w:qFormat/>
    <w:rPr>
      <w:sz w:val="16"/>
      <w:szCs w:val="16"/>
    </w:rPr>
  </w:style>
  <w:style w:type="character" w:styleId="Style11">
    <w:name w:val="Текст примечания Знак"/>
    <w:basedOn w:val="Style5"/>
    <w:qFormat/>
    <w:rPr/>
  </w:style>
  <w:style w:type="character" w:styleId="Style12">
    <w:name w:val="Тема примечания Знак"/>
    <w:qFormat/>
    <w:rPr>
      <w:b/>
      <w:bCs/>
    </w:rPr>
  </w:style>
  <w:style w:type="character" w:styleId="2">
    <w:name w:val="Основной текст (2)_"/>
    <w:qFormat/>
    <w:rPr>
      <w:b/>
      <w:bCs/>
      <w:sz w:val="27"/>
      <w:szCs w:val="27"/>
      <w:shd w:fill="FFFFFF" w:val="clear"/>
    </w:rPr>
  </w:style>
  <w:style w:type="character" w:styleId="21">
    <w:name w:val="Основной текст (2) + Полужирный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4"/>
      <w:sz w:val="24"/>
      <w:szCs w:val="24"/>
      <w:u w:val="none"/>
      <w:shd w:fill="FFFFFF" w:val="clear"/>
      <w:vertAlign w:val="baseline"/>
      <w:lang w:val="ru-RU" w:bidi="ru-RU"/>
    </w:rPr>
  </w:style>
  <w:style w:type="character" w:styleId="3">
    <w:name w:val="Заголовок 3 Знак"/>
    <w:qFormat/>
    <w:rPr>
      <w:rFonts w:ascii="Calibri Light" w:hAnsi="Calibri Light" w:eastAsia="SimSun;宋体" w:cs="Times New Roman"/>
      <w:spacing w:val="4"/>
      <w:sz w:val="24"/>
      <w:szCs w:val="24"/>
    </w:rPr>
  </w:style>
  <w:style w:type="character" w:styleId="22">
    <w:name w:val="Заголовок 2 Знак"/>
    <w:qFormat/>
    <w:rPr>
      <w:rFonts w:ascii="Times New Roman" w:hAnsi="Times New Roman" w:eastAsia="SimSun;宋体" w:cs="Times New Roman"/>
      <w:b/>
      <w:bCs/>
      <w:sz w:val="24"/>
      <w:szCs w:val="28"/>
    </w:rPr>
  </w:style>
  <w:style w:type="character" w:styleId="1">
    <w:name w:val="Заголовок 1 Знак"/>
    <w:qFormat/>
    <w:rPr>
      <w:rFonts w:ascii="Times New Roman" w:hAnsi="Times New Roman" w:eastAsia="SimSun;宋体" w:cs="Times New Roman"/>
      <w:b/>
      <w:bCs/>
      <w:sz w:val="28"/>
      <w:szCs w:val="28"/>
    </w:rPr>
  </w:style>
  <w:style w:type="character" w:styleId="4">
    <w:name w:val="Заголовок 4 Знак"/>
    <w:qFormat/>
    <w:rPr>
      <w:rFonts w:ascii="Calibri Light" w:hAnsi="Calibri Light" w:eastAsia="SimSun;宋体" w:cs="Times New Roman"/>
      <w:i/>
      <w:iCs/>
      <w:sz w:val="24"/>
      <w:szCs w:val="24"/>
    </w:rPr>
  </w:style>
  <w:style w:type="character" w:styleId="5">
    <w:name w:val="Заголовок 5 Знак"/>
    <w:qFormat/>
    <w:rPr>
      <w:rFonts w:ascii="Calibri Light" w:hAnsi="Calibri Light" w:eastAsia="SimSun;宋体" w:cs="Times New Roman"/>
      <w:b/>
      <w:bCs/>
    </w:rPr>
  </w:style>
  <w:style w:type="character" w:styleId="6">
    <w:name w:val="Заголовок 6 Знак"/>
    <w:qFormat/>
    <w:rPr>
      <w:rFonts w:ascii="Calibri Light" w:hAnsi="Calibri Light" w:eastAsia="SimSun;宋体" w:cs="Times New Roman"/>
      <w:b/>
      <w:bCs/>
      <w:i/>
      <w:iCs/>
    </w:rPr>
  </w:style>
  <w:style w:type="character" w:styleId="7">
    <w:name w:val="Заголовок 7 Знак"/>
    <w:qFormat/>
    <w:rPr>
      <w:i/>
      <w:iCs/>
    </w:rPr>
  </w:style>
  <w:style w:type="character" w:styleId="8">
    <w:name w:val="Заголовок 8 Знак"/>
    <w:qFormat/>
    <w:rPr>
      <w:b/>
      <w:bCs/>
    </w:rPr>
  </w:style>
  <w:style w:type="character" w:styleId="9">
    <w:name w:val="Заголовок 9 Знак"/>
    <w:qFormat/>
    <w:rPr>
      <w:i/>
      <w:iCs/>
    </w:rPr>
  </w:style>
  <w:style w:type="character" w:styleId="Style13">
    <w:name w:val="Заголовок Знак"/>
    <w:qFormat/>
    <w:rPr>
      <w:rFonts w:ascii="Calibri Light" w:hAnsi="Calibri Light" w:eastAsia="SimSun;宋体" w:cs="Times New Roman"/>
      <w:b/>
      <w:bCs/>
      <w:spacing w:val="-7"/>
      <w:sz w:val="48"/>
      <w:szCs w:val="48"/>
    </w:rPr>
  </w:style>
  <w:style w:type="character" w:styleId="Style14">
    <w:name w:val="Подзаголовок Знак"/>
    <w:qFormat/>
    <w:rPr>
      <w:rFonts w:ascii="Calibri Light" w:hAnsi="Calibri Light" w:eastAsia="SimSun;宋体" w:cs="Times New Roman"/>
      <w:sz w:val="24"/>
      <w:szCs w:val="24"/>
    </w:rPr>
  </w:style>
  <w:style w:type="character" w:styleId="Strong">
    <w:name w:val="Strong"/>
    <w:qFormat/>
    <w:rPr>
      <w:b/>
      <w:bCs/>
      <w:color w:val="000000"/>
    </w:rPr>
  </w:style>
  <w:style w:type="character" w:styleId="Emphasis">
    <w:name w:val="Emphasis"/>
    <w:qFormat/>
    <w:rPr>
      <w:i/>
      <w:iCs/>
      <w:color w:val="000000"/>
    </w:rPr>
  </w:style>
  <w:style w:type="character" w:styleId="23">
    <w:name w:val="Цитата 2 Знак"/>
    <w:qFormat/>
    <w:rPr>
      <w:rFonts w:ascii="Calibri Light" w:hAnsi="Calibri Light" w:eastAsia="SimSun;宋体" w:cs="Times New Roman"/>
      <w:i/>
      <w:iCs/>
      <w:sz w:val="24"/>
      <w:szCs w:val="24"/>
    </w:rPr>
  </w:style>
  <w:style w:type="character" w:styleId="Style15">
    <w:name w:val="Выделенная цитата Знак"/>
    <w:qFormat/>
    <w:rPr>
      <w:rFonts w:ascii="Calibri Light" w:hAnsi="Calibri Light" w:eastAsia="SimSun;宋体" w:cs="Times New Roman"/>
      <w:sz w:val="26"/>
      <w:szCs w:val="26"/>
    </w:rPr>
  </w:style>
  <w:style w:type="character" w:styleId="Style16">
    <w:name w:val="Слабое выделение"/>
    <w:qFormat/>
    <w:rPr>
      <w:i/>
      <w:iCs/>
      <w:color w:val="000000"/>
    </w:rPr>
  </w:style>
  <w:style w:type="character" w:styleId="Style17">
    <w:name w:val="Сильное выделение"/>
    <w:qFormat/>
    <w:rPr>
      <w:b/>
      <w:bCs/>
      <w:i/>
      <w:iCs/>
      <w:color w:val="000000"/>
    </w:rPr>
  </w:style>
  <w:style w:type="character" w:styleId="Style18">
    <w:name w:val="Слабая ссылка"/>
    <w:qFormat/>
    <w:rPr>
      <w:smallCaps/>
      <w:color w:val="000000"/>
      <w:u w:val="single" w:color="7F7F7F"/>
    </w:rPr>
  </w:style>
  <w:style w:type="character" w:styleId="Style19">
    <w:name w:val="Сильная ссылка"/>
    <w:qFormat/>
    <w:rPr>
      <w:b/>
      <w:bCs/>
      <w:smallCaps/>
      <w:color w:val="000000"/>
      <w:u w:val="single"/>
    </w:rPr>
  </w:style>
  <w:style w:type="character" w:styleId="Style20">
    <w:name w:val="Название книги"/>
    <w:qFormat/>
    <w:rPr>
      <w:b/>
      <w:bCs/>
      <w:smallCaps/>
      <w:color w:val="000000"/>
    </w:rPr>
  </w:style>
  <w:style w:type="character" w:styleId="24">
    <w:name w:val="Заголовок №2_"/>
    <w:qFormat/>
    <w:rPr>
      <w:rFonts w:ascii="Times New Roman" w:hAnsi="Times New Roman" w:cs="Times New Roman"/>
      <w:b/>
      <w:bCs/>
      <w:sz w:val="26"/>
      <w:szCs w:val="26"/>
      <w:shd w:fill="FFFFFF" w:val="clear"/>
    </w:rPr>
  </w:style>
  <w:style w:type="character" w:styleId="FontStyle11">
    <w:name w:val="Font Style11"/>
    <w:qFormat/>
    <w:rPr>
      <w:rFonts w:ascii="Times New Roman" w:hAnsi="Times New Roman" w:cs="Times New Roman"/>
      <w:sz w:val="22"/>
      <w:szCs w:val="22"/>
    </w:rPr>
  </w:style>
  <w:style w:type="character" w:styleId="Style21">
    <w:name w:val="Исходный текст"/>
    <w:qFormat/>
    <w:rPr>
      <w:rFonts w:ascii="Liberation Mono;Courier New" w:hAnsi="Liberation Mono;Courier New" w:eastAsia="NSimSun" w:cs="Liberation Mono;Courier New"/>
    </w:rPr>
  </w:style>
  <w:style w:type="character" w:styleId="Style22">
    <w:name w:val="Ссылка указателя"/>
    <w:qFormat/>
    <w:rPr/>
  </w:style>
  <w:style w:type="character" w:styleId="Style23">
    <w:name w:val="Маркеры"/>
    <w:qFormat/>
    <w:rPr>
      <w:rFonts w:ascii="OpenSymbol" w:hAnsi="OpenSymbol" w:eastAsia="OpenSymbol" w:cs="OpenSymbol"/>
    </w:rPr>
  </w:style>
  <w:style w:type="paragraph" w:styleId="Style24">
    <w:name w:val="Заголовок"/>
    <w:basedOn w:val="Normal"/>
    <w:next w:val="Normal"/>
    <w:qFormat/>
    <w:pPr>
      <w:spacing w:lineRule="auto" w:line="240" w:before="0" w:after="0"/>
      <w:contextualSpacing/>
      <w:jc w:val="center"/>
    </w:pPr>
    <w:rPr>
      <w:rFonts w:ascii="Calibri Light" w:hAnsi="Calibri Light" w:eastAsia="SimSun;宋体" w:cs="Times New Roman"/>
      <w:b/>
      <w:bCs/>
      <w:spacing w:val="-7"/>
      <w:sz w:val="48"/>
      <w:szCs w:val="4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5">
    <w:name w:val="Указатель"/>
    <w:basedOn w:val="Normal"/>
    <w:qFormat/>
    <w:pPr>
      <w:suppressLineNumbers/>
    </w:pPr>
    <w:rPr>
      <w:rFonts w:cs="Ari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1">
    <w:name w:val=" Знак1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Style26">
    <w:name w:val="список с точками"/>
    <w:basedOn w:val="Normal"/>
    <w:qFormat/>
    <w:pPr>
      <w:numPr>
        <w:ilvl w:val="0"/>
        <w:numId w:val="3"/>
      </w:numPr>
      <w:spacing w:lineRule="auto" w:line="312"/>
      <w:ind w:hanging="0" w:start="0" w:end="0"/>
    </w:pPr>
    <w:rPr/>
  </w:style>
  <w:style w:type="paragraph" w:styleId="Style27">
    <w:name w:val="Для таблиц"/>
    <w:basedOn w:val="Normal"/>
    <w:qFormat/>
    <w:pPr>
      <w:widowControl/>
      <w:ind w:hanging="0" w:start="0" w:end="0"/>
      <w:jc w:val="start"/>
    </w:pPr>
    <w:rPr/>
  </w:style>
  <w:style w:type="paragraph" w:styleId="Style28">
    <w:name w:val="Колонтитул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widowControl/>
      <w:tabs>
        <w:tab w:val="clear" w:pos="708"/>
        <w:tab w:val="center" w:pos="4677" w:leader="none"/>
        <w:tab w:val="right" w:pos="9355" w:leader="none"/>
      </w:tabs>
      <w:ind w:hanging="0" w:start="0" w:end="0"/>
      <w:jc w:val="start"/>
    </w:pPr>
    <w:rPr/>
  </w:style>
  <w:style w:type="paragraph" w:styleId="Style29">
    <w:name w:val=" Знак"/>
    <w:basedOn w:val="Normal"/>
    <w:qFormat/>
    <w:pPr>
      <w:widowControl/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BodyTextIndent">
    <w:name w:val="Body Text Indent"/>
    <w:basedOn w:val="Normal"/>
    <w:pPr>
      <w:numPr>
        <w:ilvl w:val="0"/>
        <w:numId w:val="2"/>
      </w:numPr>
      <w:spacing w:lineRule="atLeast" w:line="360"/>
    </w:pPr>
    <w:rPr>
      <w:rFonts w:ascii="TimesET;Times New Roman" w:hAnsi="TimesET;Times New Roman" w:cs="TimesET;Times New Roman"/>
      <w:sz w:val="28"/>
      <w:szCs w:val="20"/>
    </w:rPr>
  </w:style>
  <w:style w:type="paragraph" w:styleId="Style30">
    <w:name w:val="Обычный (Интернет)"/>
    <w:basedOn w:val="Normal"/>
    <w:qFormat/>
    <w:pPr>
      <w:numPr>
        <w:ilvl w:val="0"/>
        <w:numId w:val="2"/>
      </w:numPr>
      <w:spacing w:before="280" w:after="280"/>
      <w:ind w:hanging="0" w:start="0" w:end="0"/>
      <w:jc w:val="start"/>
    </w:pPr>
    <w:rPr/>
  </w:style>
  <w:style w:type="paragraph" w:styleId="31">
    <w:name w:val="Маркированный список 3"/>
    <w:basedOn w:val="Normal"/>
    <w:qFormat/>
    <w:pPr>
      <w:widowControl/>
      <w:tabs>
        <w:tab w:val="left" w:pos="708" w:leader="none"/>
      </w:tabs>
      <w:ind w:firstLine="567" w:start="0" w:end="0"/>
      <w:jc w:val="start"/>
    </w:pPr>
    <w:rPr>
      <w:bCs/>
      <w:i/>
      <w:iCs/>
      <w:sz w:val="28"/>
      <w:szCs w:val="28"/>
    </w:rPr>
  </w:style>
  <w:style w:type="paragraph" w:styleId="FR2">
    <w:name w:val="FR2"/>
    <w:qFormat/>
    <w:pPr>
      <w:widowControl w:val="false"/>
      <w:suppressAutoHyphens w:val="true"/>
      <w:bidi w:val="0"/>
      <w:spacing w:lineRule="auto" w:line="300" w:before="0" w:after="160"/>
      <w:ind w:firstLine="720" w:start="0" w:end="0"/>
      <w:jc w:val="both"/>
    </w:pPr>
    <w:rPr>
      <w:rFonts w:ascii="Calibri" w:hAnsi="Calibri" w:eastAsia="Times New Roman" w:cs="Times New Roman"/>
      <w:color w:val="auto"/>
      <w:kern w:val="0"/>
      <w:sz w:val="28"/>
      <w:szCs w:val="22"/>
      <w:lang w:val="ru-RU" w:eastAsia="zh-CN" w:bidi="ar-SA"/>
    </w:rPr>
  </w:style>
  <w:style w:type="paragraph" w:styleId="25">
    <w:name w:val="Основной текст 2"/>
    <w:basedOn w:val="Normal"/>
    <w:qFormat/>
    <w:pPr>
      <w:spacing w:lineRule="auto" w:line="480" w:before="0" w:after="120"/>
    </w:pPr>
    <w:rPr/>
  </w:style>
  <w:style w:type="paragraph" w:styleId="Caaieiaie2">
    <w:name w:val="caaieiaie 2"/>
    <w:basedOn w:val="Normal"/>
    <w:next w:val="Normal"/>
    <w:qFormat/>
    <w:pPr>
      <w:keepNext w:val="true"/>
      <w:tabs>
        <w:tab w:val="clear" w:pos="708"/>
        <w:tab w:val="left" w:pos="432" w:leader="none"/>
        <w:tab w:val="left" w:pos="720" w:leader="none"/>
        <w:tab w:val="left" w:pos="864" w:leader="none"/>
        <w:tab w:val="left" w:pos="1296" w:leader="none"/>
        <w:tab w:val="left" w:pos="1440" w:leader="none"/>
        <w:tab w:val="left" w:pos="1728" w:leader="none"/>
        <w:tab w:val="left" w:pos="1872" w:leader="none"/>
        <w:tab w:val="left" w:pos="2160" w:leader="none"/>
        <w:tab w:val="left" w:pos="2448" w:leader="none"/>
        <w:tab w:val="left" w:pos="2592" w:leader="none"/>
        <w:tab w:val="left" w:pos="2736" w:leader="none"/>
        <w:tab w:val="left" w:pos="3024" w:leader="none"/>
        <w:tab w:val="left" w:pos="3744" w:leader="none"/>
        <w:tab w:val="left" w:pos="3888" w:leader="none"/>
        <w:tab w:val="left" w:pos="4752" w:leader="none"/>
        <w:tab w:val="left" w:pos="5904" w:leader="none"/>
        <w:tab w:val="left" w:pos="6048" w:leader="none"/>
        <w:tab w:val="left" w:pos="6624" w:leader="none"/>
        <w:tab w:val="left" w:pos="8496" w:leader="none"/>
      </w:tabs>
      <w:spacing w:lineRule="auto" w:line="480" w:before="0" w:after="240"/>
      <w:ind w:hanging="0" w:start="0" w:end="0"/>
      <w:jc w:val="start"/>
    </w:pPr>
    <w:rPr>
      <w:sz w:val="28"/>
      <w:szCs w:val="20"/>
    </w:rPr>
  </w:style>
  <w:style w:type="paragraph" w:styleId="BodyText21">
    <w:name w:val="Body Text 21"/>
    <w:basedOn w:val="Normal"/>
    <w:qFormat/>
    <w:pPr>
      <w:tabs>
        <w:tab w:val="clear" w:pos="708"/>
        <w:tab w:val="left" w:pos="432" w:leader="none"/>
        <w:tab w:val="left" w:pos="576" w:leader="none"/>
        <w:tab w:val="left" w:pos="720" w:leader="none"/>
        <w:tab w:val="left" w:pos="864" w:leader="none"/>
        <w:tab w:val="left" w:pos="1296" w:leader="none"/>
        <w:tab w:val="left" w:pos="1440" w:leader="none"/>
        <w:tab w:val="left" w:pos="2304" w:leader="none"/>
        <w:tab w:val="left" w:pos="4176" w:leader="none"/>
      </w:tabs>
      <w:spacing w:before="0" w:after="240"/>
      <w:ind w:hanging="288" w:start="864" w:end="0"/>
    </w:pPr>
    <w:rPr>
      <w:sz w:val="28"/>
      <w:szCs w:val="20"/>
    </w:rPr>
  </w:style>
  <w:style w:type="paragraph" w:styleId="Fortables12">
    <w:name w:val="for_tables_12"/>
    <w:basedOn w:val="Normal"/>
    <w:qFormat/>
    <w:pPr>
      <w:widowControl/>
      <w:tabs>
        <w:tab w:val="clear" w:pos="708"/>
        <w:tab w:val="left" w:pos="643" w:leader="none"/>
      </w:tabs>
      <w:spacing w:lineRule="exact" w:line="320"/>
      <w:ind w:hanging="0" w:start="0" w:end="0"/>
      <w:jc w:val="start"/>
    </w:pPr>
    <w:rPr/>
  </w:style>
  <w:style w:type="paragraph" w:styleId="Style31">
    <w:name w:val="Знак Знак Знак Знак Знак Знак Знак Знак Знак Знак"/>
    <w:basedOn w:val="Normal"/>
    <w:qFormat/>
    <w:pPr>
      <w:widowControl/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Style32">
    <w:name w:val=" Знак Знак Знак Знак Знак Знак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Style33">
    <w:name w:val=" Знак Знак Знак Знак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34">
    <w:name w:val="Абзац списка"/>
    <w:basedOn w:val="Normal"/>
    <w:qFormat/>
    <w:pPr>
      <w:spacing w:before="0" w:after="0"/>
      <w:ind w:firstLine="709" w:start="720" w:end="0"/>
      <w:contextualSpacing/>
    </w:pPr>
    <w:rPr/>
  </w:style>
  <w:style w:type="paragraph" w:styleId="12">
    <w:name w:val="Знак1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13">
    <w:name w:val="Основной текст1"/>
    <w:basedOn w:val="Normal"/>
    <w:qFormat/>
    <w:pPr>
      <w:widowControl/>
      <w:shd w:val="clear" w:fill="FFFFFF"/>
      <w:spacing w:lineRule="exact" w:line="485" w:before="720" w:after="0"/>
      <w:ind w:hanging="0" w:start="0" w:end="0"/>
    </w:pPr>
    <w:rPr>
      <w:sz w:val="26"/>
      <w:szCs w:val="26"/>
      <w:lang w:val="ru-RU"/>
    </w:rPr>
  </w:style>
  <w:style w:type="paragraph" w:styleId="Style35">
    <w:name w:val="Текст выноски"/>
    <w:basedOn w:val="Normal"/>
    <w:qFormat/>
    <w:pPr/>
    <w:rPr>
      <w:rFonts w:ascii="Tahoma" w:hAnsi="Tahoma" w:cs="Tahoma"/>
      <w:sz w:val="16"/>
      <w:szCs w:val="16"/>
      <w:lang w:val="ru-RU"/>
    </w:rPr>
  </w:style>
  <w:style w:type="paragraph" w:styleId="Style36">
    <w:name w:val="Текст примечания"/>
    <w:basedOn w:val="Normal"/>
    <w:qFormat/>
    <w:pPr/>
    <w:rPr>
      <w:sz w:val="20"/>
      <w:szCs w:val="20"/>
    </w:rPr>
  </w:style>
  <w:style w:type="paragraph" w:styleId="Style37">
    <w:name w:val="Тема примечания"/>
    <w:basedOn w:val="Style36"/>
    <w:next w:val="Style36"/>
    <w:qFormat/>
    <w:pPr/>
    <w:rPr>
      <w:b/>
      <w:bCs/>
      <w:lang w:val="ru-RU"/>
    </w:rPr>
  </w:style>
  <w:style w:type="paragraph" w:styleId="211">
    <w:name w:val="Основной текст (2)1"/>
    <w:basedOn w:val="Normal"/>
    <w:qFormat/>
    <w:pPr>
      <w:widowControl/>
      <w:shd w:val="clear" w:fill="FFFFFF"/>
      <w:spacing w:lineRule="exact" w:line="322"/>
      <w:ind w:hanging="0" w:start="0" w:end="0"/>
      <w:jc w:val="start"/>
    </w:pPr>
    <w:rPr>
      <w:b/>
      <w:bCs/>
      <w:sz w:val="27"/>
      <w:szCs w:val="27"/>
      <w:shd w:fill="FFFFFF" w:val="clear"/>
    </w:rPr>
  </w:style>
  <w:style w:type="paragraph" w:styleId="26">
    <w:name w:val="Основной текст (2)"/>
    <w:basedOn w:val="Normal"/>
    <w:qFormat/>
    <w:pPr>
      <w:shd w:val="clear" w:fill="FFFFFF"/>
      <w:spacing w:lineRule="atLeast" w:line="0" w:before="0" w:after="120"/>
      <w:ind w:hanging="0" w:start="0" w:end="0"/>
    </w:pPr>
    <w:rPr>
      <w:color w:val="000000"/>
      <w:sz w:val="28"/>
      <w:szCs w:val="28"/>
      <w:lang w:bidi="ru-RU"/>
    </w:rPr>
  </w:style>
  <w:style w:type="paragraph" w:styleId="Style38">
    <w:name w:val="Без интервала"/>
    <w:qFormat/>
    <w:pPr>
      <w:widowControl/>
      <w:suppressAutoHyphens w:val="true"/>
      <w:bidi w:val="0"/>
      <w:spacing w:before="0" w:after="0"/>
      <w:jc w:val="both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Style39">
    <w:name w:val="Название объекта"/>
    <w:basedOn w:val="Normal"/>
    <w:next w:val="Normal"/>
    <w:qFormat/>
    <w:pPr/>
    <w:rPr>
      <w:b/>
      <w:bCs/>
      <w:sz w:val="18"/>
      <w:szCs w:val="18"/>
    </w:rPr>
  </w:style>
  <w:style w:type="paragraph" w:styleId="Subtitle">
    <w:name w:val="Subtitle"/>
    <w:basedOn w:val="Normal"/>
    <w:next w:val="Normal"/>
    <w:qFormat/>
    <w:pPr>
      <w:numPr>
        <w:ilvl w:val="0"/>
        <w:numId w:val="0"/>
      </w:numPr>
      <w:spacing w:before="0" w:after="240"/>
      <w:ind w:hanging="0" w:start="0" w:end="0"/>
      <w:jc w:val="center"/>
    </w:pPr>
    <w:rPr>
      <w:rFonts w:ascii="Calibri Light" w:hAnsi="Calibri Light" w:eastAsia="SimSun;宋体" w:cs="Times New Roman"/>
      <w:sz w:val="24"/>
      <w:szCs w:val="24"/>
    </w:rPr>
  </w:style>
  <w:style w:type="paragraph" w:styleId="27">
    <w:name w:val="Цитата 2"/>
    <w:basedOn w:val="Normal"/>
    <w:next w:val="Normal"/>
    <w:qFormat/>
    <w:pPr>
      <w:spacing w:lineRule="auto" w:line="264" w:before="200" w:after="0"/>
      <w:ind w:firstLine="709" w:start="864" w:end="864"/>
      <w:jc w:val="center"/>
    </w:pPr>
    <w:rPr>
      <w:rFonts w:ascii="Calibri Light" w:hAnsi="Calibri Light" w:eastAsia="SimSun;宋体" w:cs="Times New Roman"/>
      <w:i/>
      <w:iCs/>
      <w:sz w:val="24"/>
      <w:szCs w:val="24"/>
    </w:rPr>
  </w:style>
  <w:style w:type="paragraph" w:styleId="Style40">
    <w:name w:val="Выделенная цитата"/>
    <w:basedOn w:val="Normal"/>
    <w:next w:val="Normal"/>
    <w:qFormat/>
    <w:pPr>
      <w:spacing w:before="280" w:after="240"/>
      <w:ind w:firstLine="709" w:start="936" w:end="936"/>
      <w:jc w:val="center"/>
    </w:pPr>
    <w:rPr>
      <w:rFonts w:ascii="Calibri Light" w:hAnsi="Calibri Light" w:eastAsia="SimSun;宋体" w:cs="Times New Roman"/>
      <w:sz w:val="26"/>
      <w:szCs w:val="26"/>
    </w:rPr>
  </w:style>
  <w:style w:type="paragraph" w:styleId="IndexHeading">
    <w:name w:val="Index Heading"/>
    <w:basedOn w:val="Style24"/>
    <w:pPr>
      <w:suppressLineNumbers/>
      <w:ind w:hanging="0" w:start="0" w:end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numPr>
        <w:ilvl w:val="0"/>
        <w:numId w:val="0"/>
      </w:numPr>
      <w:ind w:hanging="0" w:start="0" w:end="0"/>
      <w:outlineLvl w:val="9"/>
    </w:pPr>
    <w:rPr>
      <w:rFonts w:ascii="Calibri Light" w:hAnsi="Calibri Light" w:eastAsia="SimSun;宋体" w:cs="Times New Roman"/>
    </w:rPr>
  </w:style>
  <w:style w:type="paragraph" w:styleId="28">
    <w:name w:val="Заголовок №2"/>
    <w:basedOn w:val="Normal"/>
    <w:qFormat/>
    <w:pPr>
      <w:widowControl w:val="false"/>
      <w:shd w:val="clear" w:fill="FFFFFF"/>
      <w:spacing w:lineRule="atLeast" w:line="0" w:before="0" w:after="300"/>
      <w:ind w:hanging="260" w:start="0" w:end="0"/>
      <w:outlineLvl w:val="1"/>
    </w:pPr>
    <w:rPr>
      <w:rFonts w:ascii="Times New Roman" w:hAnsi="Times New Roman" w:cs="Times New Roman"/>
      <w:b/>
      <w:bCs/>
      <w:sz w:val="26"/>
      <w:szCs w:val="26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zh-CN" w:bidi="ar-SA"/>
    </w:rPr>
  </w:style>
  <w:style w:type="paragraph" w:styleId="Msonormalcxspmiddle">
    <w:name w:val="msonormalcxspmiddle"/>
    <w:basedOn w:val="Normal"/>
    <w:qFormat/>
    <w:pPr>
      <w:spacing w:lineRule="auto" w:line="240" w:before="280" w:after="280"/>
      <w:jc w:val="start"/>
    </w:pPr>
    <w:rPr>
      <w:rFonts w:ascii="Times New Roman" w:hAnsi="Times New Roman" w:cs="Times New Roman"/>
      <w:sz w:val="24"/>
      <w:szCs w:val="24"/>
    </w:rPr>
  </w:style>
  <w:style w:type="paragraph" w:styleId="TOC3">
    <w:name w:val="TOC 3"/>
    <w:basedOn w:val="Normal"/>
    <w:next w:val="Normal"/>
    <w:pPr>
      <w:ind w:firstLine="709" w:start="480" w:end="0"/>
      <w:jc w:val="start"/>
    </w:pPr>
    <w:rPr>
      <w:rFonts w:ascii="Calibri" w:hAnsi="Calibri" w:cs="Calibri"/>
      <w:i/>
      <w:iCs/>
      <w:sz w:val="20"/>
      <w:szCs w:val="20"/>
    </w:rPr>
  </w:style>
  <w:style w:type="paragraph" w:styleId="TOC2">
    <w:name w:val="TOC 2"/>
    <w:basedOn w:val="Normal"/>
    <w:next w:val="Normal"/>
    <w:pPr>
      <w:tabs>
        <w:tab w:val="clear" w:pos="708"/>
        <w:tab w:val="left" w:pos="1418" w:leader="none"/>
        <w:tab w:val="right" w:pos="9515" w:leader="dot"/>
      </w:tabs>
      <w:ind w:hanging="426" w:start="1418" w:end="0"/>
      <w:jc w:val="start"/>
    </w:pPr>
    <w:rPr>
      <w:rFonts w:ascii="Calibri" w:hAnsi="Calibri" w:cs="Calibri"/>
      <w:smallCaps/>
      <w:sz w:val="20"/>
      <w:szCs w:val="20"/>
    </w:rPr>
  </w:style>
  <w:style w:type="paragraph" w:styleId="TOC1">
    <w:name w:val="TOC 1"/>
    <w:basedOn w:val="Normal"/>
    <w:next w:val="Normal"/>
    <w:pPr>
      <w:tabs>
        <w:tab w:val="clear" w:pos="708"/>
        <w:tab w:val="right" w:pos="9515" w:leader="dot"/>
      </w:tabs>
      <w:spacing w:before="120" w:after="120"/>
      <w:ind w:hanging="284" w:start="993" w:end="0"/>
      <w:jc w:val="start"/>
    </w:pPr>
    <w:rPr>
      <w:rFonts w:ascii="Calibri" w:hAnsi="Calibri" w:cs="Calibri"/>
      <w:b/>
      <w:bCs/>
      <w:caps/>
      <w:sz w:val="20"/>
      <w:szCs w:val="20"/>
    </w:rPr>
  </w:style>
  <w:style w:type="paragraph" w:styleId="TOC4">
    <w:name w:val="TOC 4"/>
    <w:basedOn w:val="Normal"/>
    <w:next w:val="Normal"/>
    <w:pPr>
      <w:ind w:firstLine="709" w:start="720" w:end="0"/>
      <w:jc w:val="start"/>
    </w:pPr>
    <w:rPr>
      <w:rFonts w:ascii="Calibri" w:hAnsi="Calibri" w:cs="Calibri"/>
      <w:sz w:val="18"/>
      <w:szCs w:val="18"/>
    </w:rPr>
  </w:style>
  <w:style w:type="paragraph" w:styleId="TOC5">
    <w:name w:val="TOC 5"/>
    <w:basedOn w:val="Normal"/>
    <w:next w:val="Normal"/>
    <w:pPr>
      <w:ind w:firstLine="709" w:start="960" w:end="0"/>
      <w:jc w:val="start"/>
    </w:pPr>
    <w:rPr>
      <w:rFonts w:ascii="Calibri" w:hAnsi="Calibri" w:cs="Calibri"/>
      <w:sz w:val="18"/>
      <w:szCs w:val="18"/>
    </w:rPr>
  </w:style>
  <w:style w:type="paragraph" w:styleId="TOC6">
    <w:name w:val="TOC 6"/>
    <w:basedOn w:val="Normal"/>
    <w:next w:val="Normal"/>
    <w:pPr>
      <w:ind w:firstLine="709" w:start="1200" w:end="0"/>
      <w:jc w:val="start"/>
    </w:pPr>
    <w:rPr>
      <w:rFonts w:ascii="Calibri" w:hAnsi="Calibri" w:cs="Calibri"/>
      <w:sz w:val="18"/>
      <w:szCs w:val="18"/>
    </w:rPr>
  </w:style>
  <w:style w:type="paragraph" w:styleId="TOC7">
    <w:name w:val="TOC 7"/>
    <w:basedOn w:val="Normal"/>
    <w:next w:val="Normal"/>
    <w:pPr>
      <w:ind w:firstLine="709" w:start="1440" w:end="0"/>
      <w:jc w:val="start"/>
    </w:pPr>
    <w:rPr>
      <w:rFonts w:ascii="Calibri" w:hAnsi="Calibri" w:cs="Calibri"/>
      <w:sz w:val="18"/>
      <w:szCs w:val="18"/>
    </w:rPr>
  </w:style>
  <w:style w:type="paragraph" w:styleId="TOC8">
    <w:name w:val="TOC 8"/>
    <w:basedOn w:val="Normal"/>
    <w:next w:val="Normal"/>
    <w:pPr>
      <w:ind w:firstLine="709" w:start="1680" w:end="0"/>
      <w:jc w:val="start"/>
    </w:pPr>
    <w:rPr>
      <w:rFonts w:ascii="Calibri" w:hAnsi="Calibri" w:cs="Calibri"/>
      <w:sz w:val="18"/>
      <w:szCs w:val="18"/>
    </w:rPr>
  </w:style>
  <w:style w:type="paragraph" w:styleId="TOC9">
    <w:name w:val="TOC 9"/>
    <w:basedOn w:val="Normal"/>
    <w:next w:val="Normal"/>
    <w:pPr>
      <w:ind w:firstLine="709" w:start="1920" w:end="0"/>
      <w:jc w:val="start"/>
    </w:pPr>
    <w:rPr>
      <w:rFonts w:ascii="Calibri" w:hAnsi="Calibri" w:cs="Calibri"/>
      <w:sz w:val="18"/>
      <w:szCs w:val="18"/>
    </w:rPr>
  </w:style>
  <w:style w:type="paragraph" w:styleId="Style41">
    <w:name w:val="Содержимое таблицы"/>
    <w:basedOn w:val="Normal"/>
    <w:qFormat/>
    <w:pPr>
      <w:widowControl w:val="false"/>
      <w:suppressLineNumbers/>
    </w:pPr>
    <w:rPr/>
  </w:style>
  <w:style w:type="paragraph" w:styleId="Style42">
    <w:name w:val="Заголовок таблицы"/>
    <w:basedOn w:val="Style41"/>
    <w:qFormat/>
    <w:pPr>
      <w:suppressLineNumbers/>
      <w:jc w:val="center"/>
    </w:pPr>
    <w:rPr>
      <w:b/>
      <w:bCs/>
    </w:rPr>
  </w:style>
  <w:style w:type="paragraph" w:styleId="Style43">
    <w:name w:val="Содержимое врезки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Application>LibreOffice/7.6.4.1$Windows_X86_64 LibreOffice_project/e19e193f88cd6c0525a17fb7a176ed8e6a3e2aa1</Application>
  <AppVersion>15.0000</AppVersion>
  <Pages>14</Pages>
  <Words>4039</Words>
  <Characters>33090</Characters>
  <CharactersWithSpaces>36923</CharactersWithSpaces>
  <Paragraphs>290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2023-09-21T09:22:00Z</dcterms:created>
  <dc:creator>Eugenia</dc:creator>
  <dc:description/>
  <dc:language>ru-RU</dc:language>
  <cp:lastModifiedBy/>
  <cp:lastPrinted>2023-09-26T10:14:00Z</cp:lastPrinted>
  <dcterms:modified xsi:type="dcterms:W3CDTF">2026-04-18T22:27:24Z</dcterms:modified>
  <cp:revision>57</cp:revision>
  <dc:subject/>
  <dc:title>Макет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писание">
    <vt:lpwstr>_x0000__x0000__x0000_</vt:lpwstr>
  </property>
</Properties>
</file>