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200" w:after="200"/>
        <w:ind w:hanging="0" w:start="-360" w:end="-360"/>
        <w:rPr>
          <w:rFonts w:ascii="Google Sans" w:hAnsi="Google Sans" w:eastAsia="Google Sans" w:cs="Google Sans"/>
          <w:b/>
          <w:color w:val="3C4043"/>
          <w:sz w:val="40"/>
          <w:szCs w:val="40"/>
        </w:rPr>
      </w:pPr>
      <w:r>
        <w:rPr>
          <w:rFonts w:eastAsia="Google Sans" w:cs="Google Sans" w:ascii="Google Sans" w:hAnsi="Google Sans"/>
          <w:b/>
          <w:color w:val="3C4043"/>
          <w:sz w:val="40"/>
          <w:szCs w:val="40"/>
        </w:rPr>
        <w:t>Incident report analysis</w:t>
      </w:r>
    </w:p>
    <w:tbl>
      <w:tblPr>
        <w:tblStyle w:val="Table1"/>
        <w:tblW w:w="10080" w:type="dxa"/>
        <w:jc w:val="start"/>
        <w:tblInd w:w="-360" w:type="dxa"/>
        <w:tblLayout w:type="fixed"/>
        <w:tblCellMar>
          <w:top w:w="100" w:type="dxa"/>
          <w:start w:w="100" w:type="dxa"/>
          <w:bottom w:w="100" w:type="dxa"/>
          <w:end w:w="100" w:type="dxa"/>
        </w:tblCellMar>
        <w:tblLook w:val="0600"/>
      </w:tblPr>
      <w:tblGrid>
        <w:gridCol w:w="2055"/>
        <w:gridCol w:w="8025"/>
      </w:tblGrid>
      <w:tr>
        <w:trPr>
          <w:trHeight w:val="42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b/>
              </w:rPr>
              <w:t>Summary</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The organization experienced a Denial of Service (DoS) attack, specifically an ICMP flood, which lasted for two hours. The attack compromised the internal network, causing network services to stop responding and preventing legitimate traffic from accessing resources. The cybersecurity team responded by blocking incoming ICMP packets and taking non-critical services offline to restore critical operations.</w:t>
            </w:r>
          </w:p>
        </w:tc>
      </w:tr>
      <w:tr>
        <w:trPr>
          <w:trHeight w:val="42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Identify</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The incident management team audited the network and found the root cause: a misconfigured firewall that lacked rate limiting and source IP verification. This allowed a malicious actor to flood the network with spoofed ICMP packets, exhausting network bandwidth and causing a DoS condition. The affected systems included internal network services and resources accessed by employees.</w:t>
            </w:r>
          </w:p>
        </w:tc>
      </w:tr>
      <w:tr>
        <w:trPr>
          <w:trHeight w:val="42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Protect</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BodyText"/>
              <w:widowControl w:val="false"/>
              <w:spacing w:lineRule="auto" w:line="360"/>
              <w:rPr>
                <w:rFonts w:ascii="Google Sans" w:hAnsi="Google Sans" w:eastAsia="Google Sans" w:cs="Google Sans"/>
                <w:b w:val="false"/>
                <w:bCs w:val="false"/>
              </w:rPr>
            </w:pPr>
            <w:r>
              <w:rPr>
                <w:rFonts w:eastAsia="Google Sans" w:cs="Google Sans" w:ascii="Google Sans" w:hAnsi="Google Sans"/>
                <w:b w:val="false"/>
                <w:bCs w:val="false"/>
              </w:rPr>
              <w:t>To prevent future attacks, the network security team implemented several protective measures:</w:t>
            </w:r>
          </w:p>
          <w:p>
            <w:pPr>
              <w:pStyle w:val="BodyText"/>
              <w:widowControl w:val="false"/>
              <w:numPr>
                <w:ilvl w:val="0"/>
                <w:numId w:val="1"/>
              </w:numPr>
              <w:tabs>
                <w:tab w:val="clear" w:pos="720"/>
                <w:tab w:val="left" w:pos="0" w:leader="none"/>
              </w:tabs>
              <w:spacing w:lineRule="auto" w:line="360"/>
              <w:ind w:hanging="283" w:start="709"/>
              <w:rPr>
                <w:rFonts w:ascii="Google Sans" w:hAnsi="Google Sans" w:eastAsia="Google Sans" w:cs="Google Sans"/>
                <w:b w:val="false"/>
                <w:bCs w:val="false"/>
              </w:rPr>
            </w:pPr>
            <w:r>
              <w:rPr>
                <w:rFonts w:eastAsia="Google Sans" w:cs="Google Sans" w:ascii="Google Sans" w:hAnsi="Google Sans"/>
                <w:b w:val="false"/>
                <w:bCs w:val="false"/>
              </w:rPr>
              <w:t>Added a new firewall rule to limit the rate of incoming ICMP packets.</w:t>
            </w:r>
          </w:p>
          <w:p>
            <w:pPr>
              <w:pStyle w:val="BodyText"/>
              <w:widowControl w:val="false"/>
              <w:numPr>
                <w:ilvl w:val="0"/>
                <w:numId w:val="1"/>
              </w:numPr>
              <w:tabs>
                <w:tab w:val="clear" w:pos="720"/>
                <w:tab w:val="left" w:pos="0" w:leader="none"/>
              </w:tabs>
              <w:spacing w:lineRule="auto" w:line="360"/>
              <w:ind w:hanging="283" w:start="709"/>
              <w:rPr>
                <w:rFonts w:ascii="Google Sans" w:hAnsi="Google Sans" w:eastAsia="Google Sans" w:cs="Google Sans"/>
                <w:b w:val="false"/>
                <w:bCs w:val="false"/>
              </w:rPr>
            </w:pPr>
            <w:r>
              <w:rPr>
                <w:rFonts w:eastAsia="Google Sans" w:cs="Google Sans" w:ascii="Google Sans" w:hAnsi="Google Sans"/>
                <w:b w:val="false"/>
                <w:bCs w:val="false"/>
              </w:rPr>
              <w:t>Enabled source IP address verification on the firewall to check for spoofed IPs.</w:t>
            </w:r>
          </w:p>
          <w:p>
            <w:pPr>
              <w:pStyle w:val="BodyText"/>
              <w:widowControl w:val="false"/>
              <w:numPr>
                <w:ilvl w:val="0"/>
                <w:numId w:val="1"/>
              </w:numPr>
              <w:tabs>
                <w:tab w:val="clear" w:pos="720"/>
                <w:tab w:val="left" w:pos="0" w:leader="none"/>
              </w:tabs>
              <w:spacing w:lineRule="auto" w:line="360" w:before="0" w:after="140"/>
              <w:ind w:hanging="283" w:start="709"/>
              <w:rPr>
                <w:rFonts w:ascii="Google Sans" w:hAnsi="Google Sans" w:eastAsia="Google Sans" w:cs="Google Sans"/>
                <w:b w:val="false"/>
                <w:bCs w:val="false"/>
              </w:rPr>
            </w:pPr>
            <w:r>
              <w:rPr>
                <w:rFonts w:eastAsia="Google Sans" w:cs="Google Sans" w:ascii="Google Sans" w:hAnsi="Google Sans"/>
                <w:b w:val="false"/>
                <w:bCs w:val="false"/>
              </w:rPr>
              <w:t>Implemented an Intrusion Prevention System (IPS) to actively filter out suspicious ICMP traffic based on attack signatures.</w:t>
            </w:r>
          </w:p>
        </w:tc>
      </w:tr>
      <w:tr>
        <w:trPr>
          <w:trHeight w:val="63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Detect</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BodyText"/>
              <w:widowControl w:val="false"/>
              <w:spacing w:lineRule="auto" w:line="360"/>
              <w:ind w:hanging="0" w:start="0"/>
              <w:rPr>
                <w:rFonts w:ascii="Google Sans" w:hAnsi="Google Sans" w:eastAsia="Google Sans" w:cs="Google Sans"/>
              </w:rPr>
            </w:pPr>
            <w:r>
              <w:rPr>
                <w:rFonts w:eastAsia="Google Sans" w:cs="Google Sans" w:ascii="Google Sans" w:hAnsi="Google Sans"/>
              </w:rPr>
              <w:t>To detect potential future incidents, the team will rely on:</w:t>
            </w:r>
          </w:p>
          <w:p>
            <w:pPr>
              <w:pStyle w:val="BodyText"/>
              <w:widowControl w:val="false"/>
              <w:numPr>
                <w:ilvl w:val="0"/>
                <w:numId w:val="2"/>
              </w:numPr>
              <w:tabs>
                <w:tab w:val="clear" w:pos="720"/>
                <w:tab w:val="left" w:pos="0" w:leader="none"/>
              </w:tabs>
              <w:spacing w:lineRule="auto" w:line="360"/>
              <w:ind w:hanging="283" w:start="709"/>
              <w:rPr>
                <w:rFonts w:ascii="Google Sans" w:hAnsi="Google Sans" w:eastAsia="Google Sans" w:cs="Google Sans"/>
              </w:rPr>
            </w:pPr>
            <w:r>
              <w:rPr>
                <w:rStyle w:val="Strong"/>
                <w:rFonts w:eastAsia="Google Sans" w:cs="Google Sans" w:ascii="Google Sans" w:hAnsi="Google Sans"/>
              </w:rPr>
              <w:t>Network monitoring software</w:t>
            </w:r>
            <w:r>
              <w:rPr>
                <w:rFonts w:eastAsia="Google Sans" w:cs="Google Sans" w:ascii="Google Sans" w:hAnsi="Google Sans"/>
              </w:rPr>
              <w:t xml:space="preserve"> to establish a baseline and alert analysts to abnormal traffic patterns (like sudden spikes in ICMP traffic).</w:t>
            </w:r>
          </w:p>
          <w:p>
            <w:pPr>
              <w:pStyle w:val="BodyText"/>
              <w:widowControl w:val="false"/>
              <w:numPr>
                <w:ilvl w:val="0"/>
                <w:numId w:val="2"/>
              </w:numPr>
              <w:tabs>
                <w:tab w:val="clear" w:pos="720"/>
                <w:tab w:val="left" w:pos="0" w:leader="none"/>
              </w:tabs>
              <w:spacing w:lineRule="auto" w:line="360" w:before="0" w:after="140"/>
              <w:ind w:hanging="283" w:start="709"/>
              <w:rPr>
                <w:rFonts w:ascii="Google Sans" w:hAnsi="Google Sans" w:eastAsia="Google Sans" w:cs="Google Sans"/>
              </w:rPr>
            </w:pPr>
            <w:r>
              <w:rPr>
                <w:rFonts w:eastAsia="Google Sans" w:cs="Google Sans" w:ascii="Google Sans" w:hAnsi="Google Sans"/>
              </w:rPr>
              <w:t xml:space="preserve">The </w:t>
            </w:r>
            <w:r>
              <w:rPr>
                <w:rStyle w:val="Strong"/>
                <w:rFonts w:eastAsia="Google Sans" w:cs="Google Sans" w:ascii="Google Sans" w:hAnsi="Google Sans"/>
              </w:rPr>
              <w:t>IDS (Intrusion Detection System)</w:t>
            </w:r>
            <w:r>
              <w:rPr>
                <w:rFonts w:eastAsia="Google Sans" w:cs="Google Sans" w:ascii="Google Sans" w:hAnsi="Google Sans"/>
              </w:rPr>
              <w:t xml:space="preserve"> component, which will continuously monitor incoming traffic and generate alerts for suspicious activity.</w:t>
            </w:r>
          </w:p>
        </w:tc>
      </w:tr>
      <w:tr>
        <w:trPr>
          <w:trHeight w:val="42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Respond</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 xml:space="preserve">During the incident, the team contained the attack by blocking incoming ICMP packets and offlining non-critical services. For future incidents, the team will follow an updated </w:t>
            </w:r>
            <w:r>
              <w:rPr>
                <w:rStyle w:val="Strong"/>
                <w:rFonts w:eastAsia="Google Sans" w:cs="Google Sans" w:ascii="Google Sans" w:hAnsi="Google Sans"/>
              </w:rPr>
              <w:t>Incident Response Playbook</w:t>
            </w:r>
            <w:r>
              <w:rPr>
                <w:rFonts w:eastAsia="Google Sans" w:cs="Google Sans" w:ascii="Google Sans" w:hAnsi="Google Sans"/>
              </w:rPr>
              <w:t>. This includes immediate communication with upper management, isolating affected network segments to prevent lateral movement, and analyzing firewall and IDS logs to identify the attacker's origin.</w:t>
            </w:r>
          </w:p>
        </w:tc>
      </w:tr>
      <w:tr>
        <w:trPr>
          <w:trHeight w:val="420" w:hRule="atLeast"/>
        </w:trPr>
        <w:tc>
          <w:tcPr>
            <w:tcW w:w="205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Recover</w:t>
            </w:r>
          </w:p>
        </w:tc>
        <w:tc>
          <w:tcPr>
            <w:tcW w:w="802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rPr>
                <w:rFonts w:ascii="Google Sans" w:hAnsi="Google Sans" w:eastAsia="Google Sans" w:cs="Google Sans"/>
              </w:rPr>
            </w:pPr>
            <w:r>
              <w:rPr>
                <w:rFonts w:eastAsia="Google Sans" w:cs="Google Sans" w:ascii="Google Sans" w:hAnsi="Google Sans"/>
              </w:rPr>
              <w:t xml:space="preserve">The team successfully restored critical network services during the incident. To improve recovery for future events, the organization will implement a </w:t>
            </w:r>
            <w:r>
              <w:rPr>
                <w:rStyle w:val="Strong"/>
                <w:rFonts w:eastAsia="Google Sans" w:cs="Google Sans" w:ascii="Google Sans" w:hAnsi="Google Sans"/>
              </w:rPr>
              <w:t>Disaster Recovery Plan (DRP)</w:t>
            </w:r>
            <w:r>
              <w:rPr>
                <w:rFonts w:eastAsia="Google Sans" w:cs="Google Sans" w:ascii="Google Sans" w:hAnsi="Google Sans"/>
              </w:rPr>
              <w:t>. This includes regular backups of network configurations (baseline configurations), ensuring critical services can fail over to redundant systems, and conducting post-incident reviews to update recovery procedures.</w:t>
            </w:r>
          </w:p>
        </w:tc>
      </w:tr>
    </w:tbl>
    <w:p>
      <w:pPr>
        <w:pStyle w:val="normal1"/>
        <w:spacing w:lineRule="auto" w:line="360" w:before="0" w:after="200"/>
        <w:ind w:hanging="0" w:start="-360" w:end="-360"/>
        <w:rPr>
          <w:rFonts w:ascii="Google Sans" w:hAnsi="Google Sans" w:eastAsia="Google Sans" w:cs="Google Sans"/>
        </w:rPr>
      </w:pPr>
      <w:r>
        <w:rPr>
          <w:rFonts w:eastAsia="Google Sans" w:cs="Google Sans" w:ascii="Google Sans" w:hAnsi="Google Sans"/>
        </w:rPr>
      </w:r>
    </w:p>
    <w:p>
      <w:pPr>
        <w:pStyle w:val="normal1"/>
        <w:spacing w:lineRule="auto" w:line="360" w:before="0" w:after="200"/>
        <w:ind w:hanging="0" w:start="-360" w:end="-360"/>
        <w:rPr>
          <w:rFonts w:ascii="Google Sans" w:hAnsi="Google Sans" w:eastAsia="Google Sans" w:cs="Google Sans"/>
        </w:rPr>
      </w:pPr>
      <w:r>
        <w:rPr/>
        <mc:AlternateContent>
          <mc:Choice Requires="wps">
            <w:drawing>
              <wp:inline distT="0" distB="0" distL="0" distR="0">
                <wp:extent cx="5943600" cy="19050"/>
                <wp:effectExtent l="0" t="0" r="0" b="12700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467.95pt;height:1.45pt;mso-wrap-style:none;v-text-anchor:middle">
                <v:fill o:detectmouseclick="t" type="solid" color2="#5f5f5f"/>
                <v:stroke color="#3465a4" joinstyle="round" endcap="flat"/>
              </v:rect>
            </w:pict>
          </mc:Fallback>
        </mc:AlternateContent>
      </w:r>
    </w:p>
    <w:p>
      <w:pPr>
        <w:pStyle w:val="normal1"/>
        <w:spacing w:lineRule="auto" w:line="360"/>
        <w:ind w:hanging="0" w:start="-360" w:end="-360"/>
        <w:rPr>
          <w:rFonts w:ascii="Google Sans" w:hAnsi="Google Sans" w:eastAsia="Google Sans" w:cs="Google Sans"/>
        </w:rPr>
      </w:pPr>
      <w:r>
        <w:rPr>
          <w:rFonts w:eastAsia="Google Sans" w:cs="Google Sans" w:ascii="Google Sans" w:hAnsi="Google Sans"/>
        </w:rPr>
      </w:r>
    </w:p>
    <w:tbl>
      <w:tblPr>
        <w:tblStyle w:val="Table2"/>
        <w:tblW w:w="10080" w:type="dxa"/>
        <w:jc w:val="start"/>
        <w:tblInd w:w="-360" w:type="dxa"/>
        <w:tblLayout w:type="fixed"/>
        <w:tblCellMar>
          <w:top w:w="100" w:type="dxa"/>
          <w:start w:w="100" w:type="dxa"/>
          <w:bottom w:w="100" w:type="dxa"/>
          <w:end w:w="100" w:type="dxa"/>
        </w:tblCellMar>
        <w:tblLook w:val="0600"/>
      </w:tblPr>
      <w:tblGrid>
        <w:gridCol w:w="10080"/>
      </w:tblGrid>
      <w:tr>
        <w:trPr/>
        <w:tc>
          <w:tcPr>
            <w:tcW w:w="1008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Google Sans" w:hAnsi="Google Sans" w:eastAsia="Google Sans" w:cs="Google Sans"/>
              </w:rPr>
            </w:pPr>
            <w:r>
              <w:rPr>
                <w:rFonts w:eastAsia="Google Sans" w:cs="Google Sans" w:ascii="Google Sans" w:hAnsi="Google Sans"/>
              </w:rPr>
              <w:t>Reflections/Notes:</w:t>
            </w:r>
          </w:p>
        </w:tc>
      </w:tr>
    </w:tbl>
    <w:p>
      <w:pPr>
        <w:pStyle w:val="normal1"/>
        <w:spacing w:lineRule="auto" w:line="360"/>
        <w:ind w:hanging="0" w:start="-360" w:end="-360"/>
        <w:rPr>
          <w:rFonts w:ascii="Google Sans" w:hAnsi="Google Sans" w:eastAsia="Google Sans" w:cs="Google Sans"/>
        </w:rPr>
      </w:pPr>
      <w:r>
        <w:rPr>
          <w:rFonts w:eastAsia="Google Sans" w:cs="Google Sans" w:ascii="Google Sans" w:hAnsi="Google Sans"/>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inline distT="0" distB="0" distL="0" distR="0">
          <wp:extent cx="1096645" cy="81407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rcRect l="13941" t="28610" r="18906" b="26272"/>
                  <a:stretch>
                    <a:fillRect/>
                  </a:stretch>
                </pic:blipFill>
                <pic:spPr bwMode="auto">
                  <a:xfrm>
                    <a:off x="0" y="0"/>
                    <a:ext cx="1096645" cy="81407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pPr>
      <w:keepNext w:val="true"/>
      <w:keepLines/>
      <w:pageBreakBefore w:val="false"/>
      <w:spacing w:lineRule="auto" w:line="240" w:before="400" w:after="120"/>
    </w:pPr>
    <w:rPr>
      <w:sz w:val="40"/>
      <w:szCs w:val="40"/>
    </w:rPr>
  </w:style>
  <w:style w:type="paragraph" w:styleId="Heading2">
    <w:name w:val="heading 2"/>
    <w:basedOn w:val="normal1"/>
    <w:next w:val="normal1"/>
    <w:pPr>
      <w:keepNext w:val="true"/>
      <w:keepLines/>
      <w:pageBreakBefore w:val="false"/>
      <w:spacing w:lineRule="auto" w:line="240" w:before="360" w:after="120"/>
    </w:pPr>
    <w:rPr>
      <w:b w:val="false"/>
      <w:sz w:val="32"/>
      <w:szCs w:val="32"/>
    </w:rPr>
  </w:style>
  <w:style w:type="paragraph" w:styleId="Heading3">
    <w:name w:val="heading 3"/>
    <w:basedOn w:val="normal1"/>
    <w:next w:val="normal1"/>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pPr>
      <w:keepNext w:val="true"/>
      <w:keepLines/>
      <w:pageBreakBefore w:val="false"/>
      <w:spacing w:lineRule="auto" w:line="240" w:before="280" w:after="80"/>
    </w:pPr>
    <w:rPr>
      <w:color w:val="666666"/>
      <w:sz w:val="24"/>
      <w:szCs w:val="24"/>
    </w:rPr>
  </w:style>
  <w:style w:type="paragraph" w:styleId="Heading5">
    <w:name w:val="heading 5"/>
    <w:basedOn w:val="normal1"/>
    <w:next w:val="normal1"/>
    <w:pPr>
      <w:keepNext w:val="true"/>
      <w:keepLines/>
      <w:pageBreakBefore w:val="false"/>
      <w:spacing w:lineRule="auto" w:line="240" w:before="240" w:after="80"/>
    </w:pPr>
    <w:rPr>
      <w:color w:val="666666"/>
      <w:sz w:val="22"/>
      <w:szCs w:val="22"/>
    </w:rPr>
  </w:style>
  <w:style w:type="paragraph" w:styleId="Heading6">
    <w:name w:val="heading 6"/>
    <w:basedOn w:val="normal1"/>
    <w:next w:val="normal1"/>
    <w:pPr>
      <w:keepNext w:val="true"/>
      <w:keepLines/>
      <w:pageBreakBefore w:val="false"/>
      <w:spacing w:lineRule="auto" w:line="240" w:before="240" w:after="80"/>
    </w:pPr>
    <w:rPr>
      <w:i/>
      <w:color w:val="666666"/>
      <w:sz w:val="22"/>
      <w:szCs w:val="22"/>
    </w:rPr>
  </w:style>
  <w:style w:type="character" w:styleId="Bullets">
    <w:name w:val="Bullets"/>
    <w:rPr>
      <w:rFonts w:ascii="OpenSymbol" w:hAnsi="OpenSymbol" w:eastAsia="OpenSymbol" w:cs="OpenSymbol"/>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normal1" w:default="1">
    <w:name w:val="normal1"/>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pPr>
      <w:keepNext w:val="true"/>
      <w:keepLines/>
      <w:pageBreakBefore w:val="false"/>
      <w:spacing w:lineRule="auto" w:line="240" w:before="0" w:after="60"/>
    </w:pPr>
    <w:rPr>
      <w:sz w:val="52"/>
      <w:szCs w:val="52"/>
    </w:rPr>
  </w:style>
  <w:style w:type="paragraph" w:styleId="Subtitle">
    <w:name w:val="Subtitle"/>
    <w:basedOn w:val="normal1"/>
    <w:next w:val="normal1"/>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LibreOffice/26.8.0.3$Linux_X86_64 LibreOffice_project/680$Build-3</Application>
  <AppVersion>15.0000</AppVersion>
  <Pages>2</Pages>
  <Words>335</Words>
  <Characters>2065</Characters>
  <CharactersWithSpaces>2376</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2026-10-29T09:19:57Z</dcterms:modified>
  <cp:revision>1</cp:revision>
  <dc:subject/>
  <dc:title/>
</cp:coreProperties>
</file>