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7FEE" w14:textId="77777777" w:rsidR="00FE50A3" w:rsidRPr="00FE50A3" w:rsidRDefault="00FE50A3" w:rsidP="00FE50A3">
      <w:pPr>
        <w:spacing w:line="240" w:lineRule="auto"/>
        <w:rPr>
          <w:rFonts w:ascii="Helvetica" w:eastAsia="Times New Roman" w:hAnsi="Helvetica" w:cs="Helvetica"/>
          <w:b/>
          <w:bCs/>
          <w:sz w:val="42"/>
          <w:szCs w:val="42"/>
          <w:lang w:eastAsia="pt-BR"/>
        </w:rPr>
      </w:pPr>
      <w:r w:rsidRPr="00FE50A3">
        <w:rPr>
          <w:rFonts w:ascii="Helvetica" w:eastAsia="Times New Roman" w:hAnsi="Helvetica" w:cs="Helvetica"/>
          <w:b/>
          <w:bCs/>
          <w:sz w:val="42"/>
          <w:szCs w:val="42"/>
          <w:lang w:eastAsia="pt-BR"/>
        </w:rPr>
        <w:t>Como transferir Fundos de Investimentos da Rico para outra instituição?</w:t>
      </w:r>
    </w:p>
    <w:p w14:paraId="5516B47D" w14:textId="77777777" w:rsidR="00FE50A3" w:rsidRPr="00FE50A3" w:rsidRDefault="00FE50A3" w:rsidP="00FE50A3">
      <w:pPr>
        <w:numPr>
          <w:ilvl w:val="0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Faça o download do </w:t>
      </w:r>
      <w:hyperlink r:id="rId5" w:tgtFrame="_blank" w:history="1">
        <w:r w:rsidRPr="00FE50A3">
          <w:rPr>
            <w:rFonts w:ascii="Helvetica" w:eastAsia="Times New Roman" w:hAnsi="Helvetica" w:cs="Helvetica"/>
            <w:color w:val="4A90E2"/>
            <w:sz w:val="27"/>
            <w:szCs w:val="27"/>
            <w:u w:val="single"/>
            <w:lang w:eastAsia="pt-BR"/>
          </w:rPr>
          <w:t>documento de solicitação de transferência</w:t>
        </w:r>
      </w:hyperlink>
    </w:p>
    <w:p w14:paraId="6316EFE2" w14:textId="77777777" w:rsidR="00FE50A3" w:rsidRPr="00FE50A3" w:rsidRDefault="00FE50A3" w:rsidP="00FE50A3">
      <w:pPr>
        <w:numPr>
          <w:ilvl w:val="0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Preencha o documento </w:t>
      </w: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com os dados da RICO (cedente) e os dados da corretora de destino (cessionário);</w:t>
      </w:r>
    </w:p>
    <w:p w14:paraId="01FD8E17" w14:textId="77777777" w:rsidR="00FE50A3" w:rsidRPr="00FE50A3" w:rsidRDefault="00FE50A3" w:rsidP="00FE50A3">
      <w:pPr>
        <w:numPr>
          <w:ilvl w:val="0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Preencha todos os campos da solicitação que deve ser enviada ao cedente</w:t>
      </w: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, contendo o número da conta em ambas partes envolvidas, nome do fundo, CNPJ do fundo e a quantidade de cotas a transferir. Pode-se utilizar a palavra "totalidade" no campo "Quantidade de Cotas" para identificar que deseja transferir toda a posição no fundo;</w:t>
      </w:r>
    </w:p>
    <w:p w14:paraId="7740CBCA" w14:textId="77777777" w:rsidR="00FE50A3" w:rsidRPr="00FE50A3" w:rsidRDefault="00FE50A3" w:rsidP="00FE50A3">
      <w:pPr>
        <w:numPr>
          <w:ilvl w:val="0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Imprima uma via da carta de fundos</w:t>
      </w: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, assine-a conforme seu documento de identidade válido e digitalize a STVM e o documento de identidade válido</w:t>
      </w:r>
    </w:p>
    <w:p w14:paraId="0BD6F083" w14:textId="77777777" w:rsidR="00FE50A3" w:rsidRPr="00FE50A3" w:rsidRDefault="00FE50A3" w:rsidP="00FE50A3">
      <w:pPr>
        <w:numPr>
          <w:ilvl w:val="1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color w:val="4A90E2"/>
          <w:sz w:val="27"/>
          <w:szCs w:val="27"/>
          <w:lang w:eastAsia="pt-BR"/>
        </w:rPr>
        <w:t>Saiba quais são os documentos válidos</w:t>
      </w:r>
    </w:p>
    <w:p w14:paraId="4FD579D3" w14:textId="77777777" w:rsidR="00FE50A3" w:rsidRPr="00FE50A3" w:rsidRDefault="00FE50A3" w:rsidP="00FE50A3">
      <w:pPr>
        <w:numPr>
          <w:ilvl w:val="0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Para fazer o upload dos arquivos digitalizados, </w:t>
      </w:r>
      <w:r w:rsidRPr="00FE50A3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acesse sua conta na RICO</w:t>
      </w: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 e clique em “</w:t>
      </w:r>
      <w:r w:rsidRPr="00FE50A3">
        <w:rPr>
          <w:rFonts w:ascii="Helvetica" w:eastAsia="Times New Roman" w:hAnsi="Helvetica" w:cs="Helvetica"/>
          <w:color w:val="4A90E2"/>
          <w:sz w:val="27"/>
          <w:szCs w:val="27"/>
          <w:lang w:eastAsia="pt-BR"/>
        </w:rPr>
        <w:t>Mande seu e-mail</w:t>
      </w: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”.</w:t>
      </w:r>
    </w:p>
    <w:p w14:paraId="4BAF823F" w14:textId="77777777" w:rsidR="00FE50A3" w:rsidRPr="00FE50A3" w:rsidRDefault="00FE50A3" w:rsidP="00FE50A3">
      <w:pPr>
        <w:numPr>
          <w:ilvl w:val="1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 Assunto:</w:t>
      </w: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  selecione “Transferência de Custódia” </w:t>
      </w:r>
    </w:p>
    <w:p w14:paraId="272488A0" w14:textId="77777777" w:rsidR="00FE50A3" w:rsidRPr="00FE50A3" w:rsidRDefault="00FE50A3" w:rsidP="00FE50A3">
      <w:pPr>
        <w:numPr>
          <w:ilvl w:val="1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b/>
          <w:bCs/>
          <w:sz w:val="27"/>
          <w:szCs w:val="27"/>
          <w:lang w:eastAsia="pt-BR"/>
        </w:rPr>
        <w:t>Motivo: </w:t>
      </w: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Selecione “Envio de formulário STVM”.</w:t>
      </w:r>
    </w:p>
    <w:p w14:paraId="3F9A1E84" w14:textId="77777777" w:rsidR="00FE50A3" w:rsidRPr="00FE50A3" w:rsidRDefault="00FE50A3" w:rsidP="00FE50A3">
      <w:pPr>
        <w:numPr>
          <w:ilvl w:val="1"/>
          <w:numId w:val="1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Preencha os dados, faça o upload de todos os documentos pertinentes e envie;</w:t>
      </w:r>
    </w:p>
    <w:p w14:paraId="1691973B" w14:textId="77777777" w:rsidR="00FE50A3" w:rsidRPr="00FE50A3" w:rsidRDefault="00FE50A3" w:rsidP="00FE50A3">
      <w:pPr>
        <w:spacing w:after="450" w:line="240" w:lineRule="auto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FE50A3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 Informações importantes:</w:t>
      </w:r>
    </w:p>
    <w:p w14:paraId="6A636DC6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Parte da RICO o envio do extrato do cliente para a instituição cessionária. Após esse envio, todo o processo é executado por quem receberá os ativos;</w:t>
      </w:r>
    </w:p>
    <w:p w14:paraId="03773FBE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Só poderão ser realizadas portabilidades de fundos que não tenham resgate (parcial ou total) em andamento;</w:t>
      </w:r>
    </w:p>
    <w:p w14:paraId="10D50457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Durante a portabilidade de fundos de investimento, não será possível solicitar resgates dos fundos objeto de transferência até que o processo seja concluído;</w:t>
      </w:r>
    </w:p>
    <w:p w14:paraId="57142671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Serão aceitos apenas documentos carregados através do portal, na página de “Mande seu e-mail”. Para isso, acesse sua conta e siga os passos descritos acima. DOCUMENTOS ENVIADOS DE OUTRA FORMA SERÃO AUTOMATICAMENTE DESCONSIDERADOS;</w:t>
      </w:r>
    </w:p>
    <w:p w14:paraId="3B1396AA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lastRenderedPageBreak/>
        <w:t>Caso exista alguma pendência relacionada à documentação (carta de transferência de fundos incompleta ou documento não válido, por exemplo), o processo ficará pendente até que novos documentos válidos sejam enviados;</w:t>
      </w:r>
    </w:p>
    <w:p w14:paraId="7987DAE2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Se a carta de solicitação for assinada por um terceiro, este deve estar cadastrado no sistema da RICO como seu procurador e o seu documento de identificação também deve ser enviado de forma digitalizada;</w:t>
      </w:r>
    </w:p>
    <w:p w14:paraId="6BE51C37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Para a conclusão do processo de abono de assinaturas, a carta de transferência de fundos deve estar, obrigatoriamente, assinada conforme o documento de identificação;</w:t>
      </w:r>
    </w:p>
    <w:p w14:paraId="4F785D98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Os processos de portabilidade entre as empresas do Grupo XP seguem o mesmo processo descrito acima;</w:t>
      </w:r>
    </w:p>
    <w:p w14:paraId="57AB748C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Só serão aceitos processos de portabilidade nos quais a carta de solicitação seja de mesma titularidade da conta utilizada para fazer o upload dos arquivos;</w:t>
      </w:r>
    </w:p>
    <w:p w14:paraId="67A30103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 xml:space="preserve">Antes de preencher a solicitação, verifique se a instituição cessionária distribui os fundos que deseja transferir. Para isso, entre em contato diretamente com essa instituição. Também é importante se certificar que os </w:t>
      </w:r>
      <w:proofErr w:type="spellStart"/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CNPJs</w:t>
      </w:r>
      <w:proofErr w:type="spellEnd"/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 xml:space="preserve"> dos fundos em questão sejam os mesmos dos fundos distribuídos na instituição cessionária. Existem fundos com nomes semelhantes, mas que possuem </w:t>
      </w:r>
      <w:proofErr w:type="spellStart"/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CNPJs</w:t>
      </w:r>
      <w:proofErr w:type="spellEnd"/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 xml:space="preserve"> diferentes e, portanto, são fundos diferentes;</w:t>
      </w:r>
    </w:p>
    <w:p w14:paraId="736ACE57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O código de investidor RICO fica disponível no início dessa página (diferente de seu número de conta);</w:t>
      </w:r>
    </w:p>
    <w:p w14:paraId="637AE247" w14:textId="77777777" w:rsidR="00FE50A3" w:rsidRPr="00FE50A3" w:rsidRDefault="00FE50A3" w:rsidP="00FE50A3">
      <w:pPr>
        <w:numPr>
          <w:ilvl w:val="0"/>
          <w:numId w:val="2"/>
        </w:numPr>
        <w:spacing w:before="150" w:after="150" w:line="240" w:lineRule="auto"/>
        <w:rPr>
          <w:rFonts w:ascii="Helvetica" w:eastAsia="Times New Roman" w:hAnsi="Helvetica" w:cs="Helvetica"/>
          <w:sz w:val="27"/>
          <w:szCs w:val="27"/>
          <w:lang w:eastAsia="pt-BR"/>
        </w:rPr>
      </w:pPr>
      <w:r w:rsidRPr="00FE50A3">
        <w:rPr>
          <w:rFonts w:ascii="Helvetica" w:eastAsia="Times New Roman" w:hAnsi="Helvetica" w:cs="Helvetica"/>
          <w:sz w:val="27"/>
          <w:szCs w:val="27"/>
          <w:lang w:eastAsia="pt-BR"/>
        </w:rPr>
        <w:t>Quando solicitado o nome da corretora Rico, preencha com XP investimentos CCTVM – Filial Rico Corretora 386-7.</w:t>
      </w:r>
    </w:p>
    <w:p w14:paraId="703FBAD3" w14:textId="77777777" w:rsidR="008F4CCF" w:rsidRPr="00FE50A3" w:rsidRDefault="008F4CCF" w:rsidP="00FE50A3"/>
    <w:sectPr w:rsidR="008F4CCF" w:rsidRPr="00FE5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E623F"/>
    <w:multiLevelType w:val="multilevel"/>
    <w:tmpl w:val="CB1A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85FE3"/>
    <w:multiLevelType w:val="multilevel"/>
    <w:tmpl w:val="9556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A3"/>
    <w:rsid w:val="008F4CCF"/>
    <w:rsid w:val="00D243A0"/>
    <w:rsid w:val="00F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DA4B"/>
  <w15:chartTrackingRefBased/>
  <w15:docId w15:val="{21EA1105-D925-4EAC-BB96-631969C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E50A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E50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4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elev.io/file/uploads/Guyo2tUJEYIR2dSB3yFTiZKYsndJxIqkAwOS4sEvFFg/5oUCiVw3yhaeh8JMFc6-zyafw6AA09GmO-OqTVWbsBA/2%20-%20Fundos-M8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S. de Aguiar</dc:creator>
  <cp:keywords/>
  <dc:description/>
  <cp:lastModifiedBy>Leandro S. de Aguiar</cp:lastModifiedBy>
  <cp:revision>1</cp:revision>
  <dcterms:created xsi:type="dcterms:W3CDTF">2021-11-02T21:37:00Z</dcterms:created>
  <dcterms:modified xsi:type="dcterms:W3CDTF">2021-11-02T23:10:00Z</dcterms:modified>
</cp:coreProperties>
</file>