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23A5D"/>
          <w:sz w:val="40"/>
        </w:rPr>
        <w:t>Guion ejecutivo · Sumativa 3</w:t>
      </w:r>
    </w:p>
    <w:p>
      <w:pPr>
        <w:jc w:val="center"/>
      </w:pPr>
      <w:r>
        <w:rPr>
          <w:color w:val="64748B"/>
          <w:sz w:val="22"/>
        </w:rPr>
        <w:t>Modelamiento predictivo binario de mala calidad por MP2.5 · 10 minutos</w:t>
      </w:r>
    </w:p>
    <w:p>
      <w:pPr>
        <w:spacing w:after="60"/>
      </w:pPr>
      <w:r>
        <w:rPr>
          <w:color w:val="64748B"/>
          <w:sz w:val="18"/>
        </w:rPr>
        <w:t>Objetivo del diálogo: presentar metodología y resultados con lenguaje simple, datos concretos y foco ejecutivo. No leer tablas completas; defender decisiones.</w:t>
      </w:r>
    </w:p>
    <w:p>
      <w:pPr>
        <w:pStyle w:val="Heading1"/>
      </w:pPr>
      <w:r>
        <w:t>1. Distribución de tiempo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23A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2592"/>
            <w:shd w:fill="123A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92"/>
            <w:shd w:fill="123A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592"/>
            <w:shd w:fill="123A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Evidencia clave</w:t>
            </w:r>
          </w:p>
        </w:tc>
      </w:tr>
      <w:tr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/>
                <w:color w:val="172033"/>
                <w:sz w:val="17"/>
              </w:rPr>
              <w:t>0:00–1:20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Rodrigo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Problema, objetivo, nowcasting y progresión S1→S2→S3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46 variables; 11.603 registros; fuga controlada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7"/>
              </w:rPr>
              <w:t>1:20–3:10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Pablo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Cobertura, MCAR/MAR/MNAR y tres estrategias de faltantes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Cobertura por fila; mediana; regresión; retención</w:t>
            </w:r>
          </w:p>
        </w:tc>
      </w:tr>
      <w:tr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/>
                <w:color w:val="172033"/>
                <w:sz w:val="17"/>
              </w:rPr>
              <w:t>3:10–5:20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Sergio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Tres modelos oficiales, AIC/BIC, backward y forma funcional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M1/M2/M3; nueve combinaciones; Box–Tidwell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7"/>
              </w:rPr>
              <w:t>5:20–7:10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Rodrigo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Test final, umbral, ROC/PR, calibración y matriz de confusión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Recall=0,937; F2=0,845; PR-AUC=0,823</w:t>
            </w:r>
          </w:p>
        </w:tc>
      </w:tr>
      <w:tr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/>
                <w:color w:val="172033"/>
                <w:sz w:val="17"/>
              </w:rPr>
              <w:t>7:10–8:50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Pablo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OR correctos, VIF, residuos, covarianza robusta y bootstrap</w:t>
            </w:r>
          </w:p>
        </w:tc>
        <w:tc>
          <w:tcPr>
            <w:tcW w:type="dxa" w:w="2592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VIF máx.=1,245; 10.000 remuestras; 0 inestables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/>
                <w:color w:val="172033"/>
                <w:sz w:val="17"/>
              </w:rPr>
              <w:t>8:50–10:00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Sergio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Decisión de imputación, sensibilidad S2, limitaciones y monitoreo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Aptos" w:hAnsi="Aptos"/>
                <w:b w:val="0"/>
                <w:color w:val="172033"/>
                <w:sz w:val="17"/>
              </w:rPr>
              <w:t>P=0,0505; variación −17,23%; plan operativo</w:t>
            </w:r>
          </w:p>
        </w:tc>
      </w:tr>
    </w:tbl>
    <w:p>
      <w:pPr>
        <w:pStyle w:val="Heading1"/>
      </w:pPr>
      <w:r>
        <w:t>2. Diálogo sugerido por expositor</w:t>
      </w:r>
    </w:p>
    <w:p>
      <w:pPr>
        <w:pStyle w:val="Heading2"/>
      </w:pPr>
      <w:r>
        <w:t>Rodrigo · 0:00–1:20 · Apertura y trazabilidad</w:t>
      </w:r>
    </w:p>
    <w:p>
      <w:pPr>
        <w:spacing w:after="100"/>
      </w:pPr>
      <w:r>
        <w:t>Buenos días. Presentaremos la Sumativa 3 del proyecto de calidad del aire en Santiago.</w:t>
      </w:r>
    </w:p>
    <w:p>
      <w:pPr>
        <w:spacing w:after="100"/>
      </w:pPr>
      <w:r>
        <w:t>El objetivo es construir y validar un modelo binario para clasificar mala calidad por MP2.5, en lógica de nowcasting estación-día. En simple: no estamos pronosticando días futuros; clasificamos el riesgo contemporáneo con información disponible del mismo día.</w:t>
      </w:r>
    </w:p>
    <w:p>
      <w:pPr>
        <w:spacing w:after="100"/>
      </w:pPr>
      <w:r>
        <w:t>La matriz parte con 16.071 filas y 36 columnas físicas. Replicamos el enriquecimiento de S1 y S2, llegando a 46 variables armonizadas. Al exigir medición válida de MP2.5 y etiqueta, quedan 11.603 registros modelables, con 1.393 casos positivos: una prevalencia de 12,0%.</w:t>
      </w:r>
    </w:p>
    <w:p>
      <w:pPr>
        <w:spacing w:after="100"/>
      </w:pPr>
      <w:r>
        <w:t>El punto metodológico más importante es evitar fuga: se bloquean MP2.5 y variables derivadas directamente del objetivo. El reporte S2 se usa como evidencia metodológica, no como dato de entrenamiento.</w:t>
      </w:r>
    </w:p>
    <w:p>
      <w:r>
        <w:rPr>
          <w:b/>
          <w:color w:val="123A5D"/>
        </w:rPr>
        <w:t xml:space="preserve">Apoyo oral: </w:t>
      </w:r>
      <w:r>
        <w:t>No decir que el modelo predice contaminación futura. · Reforzar que MP10 se usa solo como proxy contemporáneo.</w:t>
      </w:r>
    </w:p>
    <w:p>
      <w:pPr>
        <w:pStyle w:val="Heading2"/>
      </w:pPr>
      <w:r>
        <w:t>Pablo · 1:20–3:10 · Faltantes e imputación</w:t>
      </w:r>
    </w:p>
    <w:p>
      <w:pPr>
        <w:spacing w:after="100"/>
      </w:pPr>
      <w:r>
        <w:t>Para tratar datos faltantes seguimos una regla simple: no imputar por costumbre; primero medir cobertura, error y efecto sobre el modelo.</w:t>
      </w:r>
    </w:p>
    <w:p>
      <w:pPr>
        <w:spacing w:after="100"/>
      </w:pPr>
      <w:r>
        <w:t>La cobertura horaria de MP2.5 se calculó por fila desde registros horarios reales. El emparejamiento fue 100%: 11.603 de 11.603 filas. El indicador operativo marca baja cobertura cuando hay menos de 75% de cobertura o menos de 18 horas válidas.</w:t>
      </w:r>
    </w:p>
    <w:p>
      <w:pPr>
        <w:spacing w:after="100"/>
      </w:pPr>
      <w:r>
        <w:t>Comparamos tres estrategias: casos completos, mediana por mes y temporada, y regresión. La regresión logra menor NRMSE que la mediana: 0,294 versus 0,330. Pero casos completos conserva prácticamente toda la muestra: 99,99% en desarrollo y 99,40% en validación, con desempeño equivalente.</w:t>
      </w:r>
    </w:p>
    <w:p>
      <w:pPr>
        <w:spacing w:after="100"/>
      </w:pPr>
      <w:r>
        <w:t>Por eso la decisión principal es casos completos. La regresión queda como contingencia si la cobertura futura baja o si la retención cae bajo 99%.</w:t>
      </w:r>
    </w:p>
    <w:p>
      <w:r>
        <w:rPr>
          <w:b/>
          <w:color w:val="123A5D"/>
        </w:rPr>
        <w:t xml:space="preserve">Apoyo oral: </w:t>
      </w:r>
      <w:r>
        <w:t>Idea central: imputar menos puede ser mejor si la retención es casi total. · MCAR plausible para MP10; MNAR no se descarta, por eso se informa cautela.</w:t>
      </w:r>
    </w:p>
    <w:p>
      <w:pPr>
        <w:pStyle w:val="Heading2"/>
      </w:pPr>
      <w:r>
        <w:t>Sergio · 3:10–5:20 · Modelos y selección</w:t>
      </w:r>
    </w:p>
    <w:p>
      <w:pPr>
        <w:spacing w:after="100"/>
      </w:pPr>
      <w:r>
        <w:t>Se evaluaron tres modelos oficiales. M1 es el modelo de dominio, con 17 variables sustentadas en S1 y S2. M2 parte desde cero y agrega variables por criterio BIC, registrando AIC. M3 parte desde el modelo completo y elimina variables solo si el BIC mejora de forma relevante.</w:t>
      </w:r>
    </w:p>
    <w:p>
      <w:pPr>
        <w:spacing w:after="100"/>
      </w:pPr>
      <w:r>
        <w:t>Luego se compararon nueve combinaciones: tres modelos por tres estrategias de faltantes. Todo esto se decidió antes de abrir el test.</w:t>
      </w:r>
    </w:p>
    <w:p>
      <w:pPr>
        <w:spacing w:after="100"/>
      </w:pPr>
      <w:r>
        <w:t>La combinación preliminar ganadora fue M2 Forward AIC/BIC con casos completos. Es un modelo parsimonioso de tres variables, con CV PR-AUC de 0,991, recall de validación de 0,937 y F2 de 0,873.</w:t>
      </w:r>
    </w:p>
    <w:p>
      <w:pPr>
        <w:spacing w:after="100"/>
      </w:pPr>
      <w:r>
        <w:t>También se evaluó forma funcional con Box–Tidwell. MP10 tuvo p=0,123 y viento p=0,943; no hubo evidencia fuerte de curvatura, por lo que se mantiene forma lineal en el logit.</w:t>
      </w:r>
    </w:p>
    <w:p>
      <w:r>
        <w:rPr>
          <w:b/>
          <w:color w:val="123A5D"/>
        </w:rPr>
        <w:t xml:space="preserve">Apoyo oral: </w:t>
      </w:r>
      <w:r>
        <w:t>Defensa clave: parsimonia + desempeño + selección sin mirar test. · No sobreexplicar AIC/BIC: decir que BIC penaliza complejidad y evita sobreajuste.</w:t>
      </w:r>
    </w:p>
    <w:p>
      <w:pPr>
        <w:pStyle w:val="Heading2"/>
      </w:pPr>
      <w:r>
        <w:t>Rodrigo · 5:20–7:10 · Resultado en prueba futura</w:t>
      </w:r>
    </w:p>
    <w:p>
      <w:pPr>
        <w:spacing w:after="100"/>
      </w:pPr>
      <w:r>
        <w:t>Aquí está el resultado central. El test se abrió solo después de congelar modelo, estrategia de faltantes, forma funcional y umbral.</w:t>
      </w:r>
    </w:p>
    <w:p>
      <w:pPr>
        <w:spacing w:after="100"/>
      </w:pPr>
      <w:r>
        <w:t>En prueba futura tenemos 2.155 registros y 237 episodios positivos. Con umbral 0,260, el modelo alcanza recall de 0,937, F2 de 0,845, PR-AUC de 0,823 y ROC-AUC de 0,979.</w:t>
      </w:r>
    </w:p>
    <w:p>
      <w:pPr>
        <w:spacing w:after="100"/>
      </w:pPr>
      <w:r>
        <w:t>La matriz de confusión muestra 222 verdaderos positivos, 15 falsos negativos, 1.775 verdaderos negativos y 143 falsos positivos. En términos simples: el modelo detecta la gran mayoría de episodios malos, dejando pocas omisiones, aunque acepta algunas alertas preventivas.</w:t>
      </w:r>
    </w:p>
    <w:p>
      <w:pPr>
        <w:spacing w:after="100"/>
      </w:pPr>
      <w:r>
        <w:t>Esta decisión es coherente con el problema: en calidad del aire, el falso negativo suele ser más costoso que una falsa alerta moderada.</w:t>
      </w:r>
    </w:p>
    <w:p>
      <w:r>
        <w:rPr>
          <w:b/>
          <w:color w:val="123A5D"/>
        </w:rPr>
        <w:t xml:space="preserve">Apoyo oral: </w:t>
      </w:r>
      <w:r>
        <w:t>Subrayar que PR-AUC es más útil que accuracy por clase minoritaria. · Si preguntan por falsos positivos: son el costo de proteger recall.</w:t>
      </w:r>
    </w:p>
    <w:p>
      <w:pPr>
        <w:pStyle w:val="Heading2"/>
      </w:pPr>
      <w:r>
        <w:t>Pablo · 7:10–8:50 · Inferencia y robustez</w:t>
      </w:r>
    </w:p>
    <w:p>
      <w:pPr>
        <w:spacing w:after="100"/>
      </w:pPr>
      <w:r>
        <w:t>Para interpretar el modelo se separó predicción de inferencia. El desempeño se obtiene con el modelo operativo; la interpretación se reajusta con GLM binomial no ponderado, sin penalización.</w:t>
      </w:r>
    </w:p>
    <w:p>
      <w:pPr>
        <w:spacing w:after="100"/>
      </w:pPr>
      <w:r>
        <w:t>Se calcularon odds ratios, intervalos Wald, intervalos robustos por fecha, VIF, residuos e influencia. La covarianza robusta se agrupó por fecha, con 1.022 clusters. El VIF máximo fue 1,245, por lo tanto no hay colinealidad material.</w:t>
      </w:r>
    </w:p>
    <w:p>
      <w:pPr>
        <w:spacing w:after="100"/>
      </w:pPr>
      <w:r>
        <w:t>También se ejecutó bootstrap con 10.000 remuestras: 10.000 exitosas, cero fallos y cero parámetros inestables. Los signos se mantuvieron consistentes.</w:t>
      </w:r>
    </w:p>
    <w:p>
      <w:pPr>
        <w:spacing w:after="100"/>
      </w:pPr>
      <w:r>
        <w:t>La cautela es importante: estas asociaciones son predictivas, no causales. MP10 del mismo día ayuda a clasificar mala calidad por MP2.5, pero no se declara como causa.</w:t>
      </w:r>
    </w:p>
    <w:p>
      <w:r>
        <w:rPr>
          <w:b/>
          <w:color w:val="123A5D"/>
        </w:rPr>
        <w:t xml:space="preserve">Apoyo oral: </w:t>
      </w:r>
      <w:r>
        <w:t>Frase clave: estable no significa causal. · Mencionar bootstrap como validación de estabilidad, no como magia estadística.</w:t>
      </w:r>
    </w:p>
    <w:p>
      <w:pPr>
        <w:pStyle w:val="Heading2"/>
      </w:pPr>
      <w:r>
        <w:t>Sergio · 8:50–10:00 · Decisión final y cierre</w:t>
      </w:r>
    </w:p>
    <w:p>
      <w:pPr>
        <w:spacing w:after="100"/>
      </w:pPr>
      <w:r>
        <w:t>La decisión final es M2 Forward AIC/BIC con casos completos y forma lineal. Es un modelo de tres variables, técnicamente defendible, auditable y con buen desempeño en prueba futura.</w:t>
      </w:r>
    </w:p>
    <w:p>
      <w:pPr>
        <w:spacing w:after="100"/>
      </w:pPr>
      <w:r>
        <w:t>Para uso operativo se proponen dos umbrales: 0,260 si se prioriza F2 y recall mínimo; 0,165 si el costo del falso negativo se considera cinco veces mayor que el falso positivo.</w:t>
      </w:r>
    </w:p>
    <w:p>
      <w:pPr>
        <w:spacing w:after="100"/>
      </w:pPr>
      <w:r>
        <w:t>El resultado sensible heredado de S2 se mantiene explícito: P=0,0505, con variación de −17,23% bajo una alternativa de normal truncada. No lo tratamos como valor operativo cerrado, sino como referencia de riesgo.</w:t>
      </w:r>
    </w:p>
    <w:p>
      <w:pPr>
        <w:spacing w:after="100"/>
      </w:pPr>
      <w:r>
        <w:t>Limitaciones: es nowcasting, no pronóstico futuro; no hay causalidad; y debe monitorearse cobertura, calibración, deriva, recall y desempeño territorial. Con esto cerramos: el modelo es útil como señal de alerta, siempre con monitoreo.</w:t>
      </w:r>
    </w:p>
    <w:p>
      <w:r>
        <w:rPr>
          <w:b/>
          <w:color w:val="123A5D"/>
        </w:rPr>
        <w:t xml:space="preserve">Apoyo oral: </w:t>
      </w:r>
      <w:r>
        <w:t>Cerrar con seguridad: trazabilidad, no fuga, test futuro y monitoreo. · No prometer producción automática sin recalibración operacional.</w:t>
      </w:r>
    </w:p>
    <w:p>
      <w:pPr>
        <w:pStyle w:val="Heading1"/>
      </w:pPr>
      <w:r>
        <w:t>3. Respuestas cortas para preguntas probables</w:t>
      </w:r>
    </w:p>
    <w:p>
      <w:r>
        <w:rPr>
          <w:b/>
          <w:color w:val="123A5D"/>
        </w:rPr>
        <w:t xml:space="preserve">¿Por qué no imputaron como estrategia principal? </w:t>
      </w:r>
      <w:r>
        <w:t>Porque casos completos retuvo 99,99% en desarrollo y 99,40% en validación, con desempeño equivalente; imputar agregaba supuesto sin ganancia material.</w:t>
      </w:r>
    </w:p>
    <w:p>
      <w:r>
        <w:rPr>
          <w:b/>
          <w:color w:val="123A5D"/>
        </w:rPr>
        <w:t xml:space="preserve">¿El modelo predice el día siguiente? </w:t>
      </w:r>
      <w:r>
        <w:t>No. Es nowcasting contemporáneo estación-día; clasifica el estado del mismo día con información disponible y auditable.</w:t>
      </w:r>
    </w:p>
    <w:p>
      <w:r>
        <w:rPr>
          <w:b/>
          <w:color w:val="123A5D"/>
        </w:rPr>
        <w:t xml:space="preserve">¿Hay fuga de información? </w:t>
      </w:r>
      <w:r>
        <w:t>Se bloquean MP2.5 y variables derivadas del objetivo; MP10 se conserva solo como proxy contemporáneo y no causal.</w:t>
      </w:r>
    </w:p>
    <w:p>
      <w:r>
        <w:rPr>
          <w:b/>
          <w:color w:val="123A5D"/>
        </w:rPr>
        <w:t xml:space="preserve">¿Por qué eligieron M2? </w:t>
      </w:r>
      <w:r>
        <w:t>Porque logró alto desempeño con solo 3 variables: CV PR-AUC 0,991, recall 0,937 y F2 0,873 en validación, antes de abrir test.</w:t>
      </w:r>
    </w:p>
    <w:p>
      <w:r>
        <w:rPr>
          <w:b/>
          <w:color w:val="123A5D"/>
        </w:rPr>
        <w:t xml:space="preserve">¿Qué significa el resultado del test? </w:t>
      </w:r>
      <w:r>
        <w:t>En prueba futura detectó 222 de 237 episodios malos, con 15 falsos negativos y 143 falsas alertas.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A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A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