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18" w:space="4"/>
        </w:pBdr>
        <w:spacing w:after="60" w:before="2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Fase 3 — Formulación y Evaluación del Proyecto de Inversión</w:t>
      </w:r>
    </w:p>
    <w:p>
      <w:pPr>
        <w:spacing w:after="200"/>
      </w:pPr>
      <w:r>
        <w:rPr>
          <w:rFonts w:ascii="Arial" w:cs="Arial" w:eastAsia="Arial" w:hAnsi="Arial"/>
          <w:color w:val="2a6f97"/>
          <w:sz w:val="24"/>
          <w:szCs w:val="24"/>
        </w:rPr>
        <w:t xml:space="preserve">Sistema predictivo de episodios críticos de calidad del aire: evaluación económica del ahorro fiscal en salud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Asignatura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MCDI501 — Estadística Computacional para la Toma de Decisiones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Magíster en Ciencias de Datos e Inteligencia Artificial · UNAB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3 — Desarrollo del proyecto a nivel de prefactibilidad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Sustentado en el análisis estadístico de la Fase 2 (datos reales SINCA 2022–2023)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_______________________________   ·   Docente: 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https://github.com/&lt;usuario&gt;/abp_estadistica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Resumen ejecutivo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informe formula y evalúa, a nivel de prefactibilidad, la inversión en un sistema predictivo de episodios críticos de contaminación por material particulado fino (MP2.5) para el Gran Santiago. La Fase 2 demostró estadísticamente que dichos episodios son predecibles a partir de variables meteorológicas. La presente fase traduce esa capacidad en un caso de inversión: anticipar episodios permite una gestión sanitaria proactiva que reduce las atenciones de urgencia respiratoria —especialmente en niños y adultos mayores— y las muertes prematuras, generando ahorro fiscal y beneficio social. El proyecto se evalúa con flujo de caja a 10 años, VAN, TIR y razón beneficio-costo, en perspectivas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fiscal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social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 incorpora análisis de sensibilidad y simulación de Monte Carlo.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Los resultados respaldan la inversión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VAN fiscal positivo (TIR del 26%) y VAN social ampliamente positivo, con una probabilidad del 62% de rentabilidad fiscal bajo incertidumbre.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1. Definición del problema de inversión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Santiago de Chile, por su geografía de cuenca, sufre episodios críticos de contaminación durante el invierno debido a la inversión térmica, que atrapa el material particulado cerca de la superficie. Estos episodios saturan el sistema de salud pública —urgencias respiratorias, hospitalizaciones— y se asocian a muertes prematuras por enfermedades cardiorrespiratorias. La gestión actual es predominantemente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reactiva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las restricciones (vehicular, prohibición de leña) se decretan cuando el episodio ya está ocurriendo.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oportunidad de inversión consiste en desplazar este paradigma hacia una gestión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proactiva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mediante un sistema que prediga los episodios con 24 a 48 horas de antelación, permitiendo activar las medidas de mitigación antes de que la población quede expuesta.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Pregunta de inversión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¿Es socialmente rentable invertir en un sistema predictivo de episodios críticos de calidad del aire, considerando el ahorro fiscal en atenciones de salud y el beneficio social de las muertes prematuras evitadas?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Cadena de valor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Eslabón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Inversión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CAPEX + OPEX del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Estimación prefactibilidad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Capacidad predictiva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Sensibilidad del modelo logístico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Notebook Fase 3 (RA3)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Daño evitable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Atenciones y muertes ligadas a episodios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DEIS, MMA, GreenLabUC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Valorización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Costos unitarios FONASA + VSL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FONASA-MAI, MIDESO-SNI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VAN, TIR, B/C (fiscal y social)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Metodología SNI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2. Modelo predictivo de episodios críticos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componente técnico que habilita el proyecto es un modelo de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regresión logística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que estima la probabilidad de que una hora sea un episodio crítico de MP2.5 (sobre 50 µg/m³) a partir de variables meteorológicas observables con antelación: temperatura, humedad, presión, viento, radiación, altura de la isoterma 0 °C e inversión térmica.</w:t>
      </w:r>
    </w:p>
    <w:p>
      <w:pPr>
        <w:spacing w:after="60"/>
        <w:jc w:val="center"/>
      </w:pPr>
      <w:r>
        <w:drawing>
          <wp:inline distT="0" distB="0" distL="0" distR="0">
            <wp:extent cx="5334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1. Curva ROC (AUC = 0,898) y matriz de confusión del modelo predictivo.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modelo alcanza un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AUC de 0,898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lo que indica una capacidad de discriminación muy buena. La sensibilidad sobre la clase «episodio» es del 85%, es decir, el sistema detectaría correctamente la gran mayoría de los episodios reales. Este parámetro es el que alimenta la cuantificación del beneficio: determina qué fracción de episodios puede anticiparse y, por tanto, mitigarse.</w:t>
      </w:r>
    </w:p>
    <w:p>
      <w:pPr>
        <w:spacing w:after="60"/>
        <w:jc w:val="center"/>
      </w:pPr>
      <w:r>
        <w:drawing>
          <wp:inline distT="0" distB="0" distL="0" distR="0">
            <wp:extent cx="4953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2. Influencia de cada variable meteorológica sobre la probabilidad de episodio crítico.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coeficientes confirman la coherencia física del modelo: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inversión térmica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y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baja temperatura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incrementan la probabilidad de episodio, mientras que el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viento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y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radiación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la disminuyen al favorecer la dispersión de los contaminantes.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3. Cuantificación del impacto y beneficios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capacidad predictiva se traduce en impacto sanitario y económico mediante parámetros oficiales. A partir de los datos reales se estima una carga de aproximadamente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15 días-episodio crítico al año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en la red. La anticipación, combinada con la efectividad de la gestión temprana, evita una fracción de las atenciones y muertes asociadas.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Parámetros del modelo económico (declarados)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Precisión del modelo (sensibilidad)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Notebook Fase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Efectividad de mitigación temprana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Conservador (Minsal)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Atenciones extra por día de episodio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DEIS / literatura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Costo atención urgencia respiratoria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$45.000 CLP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FONASA-MAI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Costo hospitalización respiratoria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$1.200.000 CLP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FONASA-MAI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 de la vida estadística (VSL)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US$4,5 millones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MIDESO-SNI (conservador)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Tasa social de descuento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SNI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 estos parámetros, el sistema evitaría del orden de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2.000 atenciones de urgencia respiratoria al año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(aproximadamente un 65% correspondiente a niños y adultos mayores), con un ahorro fiscal directo en salud cercano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$277 millones anuales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además de las muertes prematuras evitadas valoradas socialmente.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4. Estructura de inversión y costos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inversión inicial (CAPEX) se estima en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$215 millones CLP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y los costos operativos anuales (OPEX) en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$180 millones CLP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según el detalle siguiente.</w:t>
      </w:r>
    </w:p>
    <w:p>
      <w:pPr>
        <w:spacing w:after="6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3. Composición de la inversión inicial (CAPEX) y de los costos operativos anuales (OPEX).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Inversión inicial (CAPEX)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CLP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Desarrollo plataforma web predictiva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$85.000.000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Integración SINCA / DMC / DEIS (APIs)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Infraestructura cloud inicial y MLOps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$28.000.000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Modelos ML y validación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$42.000.000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Diseño UX y sistema de alertas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$25.000.000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CAPEX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$215.000.000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5. Flujo de caja y evaluación económica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proyecto se evalúa a 10 años con tasa social de descuento del 6%, en dos perspectivas.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fiscal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considera solo el ahorro directo en atenciones de salud (lo tangible para las arcas fiscales);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social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añade el valor de las muertes prematuras evitadas.</w:t>
      </w:r>
    </w:p>
    <w:p>
      <w:pPr>
        <w:spacing w:after="60"/>
        <w:jc w:val="center"/>
      </w:pPr>
      <w:r>
        <w:drawing>
          <wp:inline distT="0" distB="0" distL="0" distR="0">
            <wp:extent cx="5143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4. Flujo de caja descontado y acumulado en la perspectiva fiscal.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Indicadores de rentabilidad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Perspectiva fiscal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Perspectiva social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VAN (6%)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+$345 millones CLP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+$14.867 millones CLP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100%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beneficio-costo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10,65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Período de recuperación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Año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Año 1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la perspectiva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fiscal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el proyecto se justifica de forma moderada: el ahorro directo en atenciones supera la inversión a mediano plazo, con una TIR (26%) superior a la tasa social de descuento. En la perspectiva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social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al valorar las vidas salvadas, la rentabilidad es ampliamente positiva. Este patrón es característico de las inversiones en salud pública, cuya justificación principal es social más que de caja directa.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6. Análisis de sensibilidad y de riesgo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Dado que varios parámetros tienen incertidumbre, se realizó un análisis de sensibilidad univariado y una simulación de Monte Carlo que propaga la incertidumbre conjunta al VAN.</w:t>
      </w:r>
    </w:p>
    <w:p>
      <w:pPr>
        <w:spacing w:after="6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5. Sensibilidad del VAN fiscal a la efectividad de la gestión temprana.</w:t>
      </w:r>
    </w:p>
    <w:p>
      <w:pPr>
        <w:spacing w:after="60"/>
        <w:jc w:val="center"/>
      </w:pPr>
      <w:r>
        <w:drawing>
          <wp:inline distT="0" distB="0" distL="0" distR="0">
            <wp:extent cx="5143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d6875"/>
          <w:sz w:val="15"/>
          <w:szCs w:val="15"/>
        </w:rPr>
        <w:t xml:space="preserve">Figura 6. Distribución del VAN fiscal bajo incertidumbre (Monte Carlo, 5.000 simulaciones).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simulación de Monte Carlo indica una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probabilidad del 62% de que el VAN fiscal sea positivo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bajo incertidumbre conjunta de los parámetros (mediana +$242 millones; percentil 5 −$848 millones; percentil 95 +$1.799 millones). La perspectiva social refuerza ampliamente la decisión de inversión. El análisis de sensibilidad muestra que el umbral de rentabilidad fiscal se alcanza con una efectividad de mitigación moderada.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7. Conclusiones y recomendación de inversión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análisis de prefactibilidad respalda la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inversión en el sistema predictivo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sobre la base de cuatro conclusiones: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Viabilidad técnica.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El modelo logístico discrimina episodios críticos con buen desempeño (AUC = 0,898) usando solo variables meteorológicas anticipables, lo que confirma la factibilidad de predecir con 24–48 h de antelación.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Rentabilidad fiscal moderada.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Solo por el ahorro directo en atenciones de salud, el proyecto alcanza VAN positivo y TIR (26%) superior a la tasa social de descuento, con recuperación dentro del horizonte.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Rentabilidad social robusta.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Al incorporar las muertes prematuras evitadas, el VAN social es ampliamente positivo (razón B/C de 10,65).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Decisión informada bajo incertidumbre.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El análisis de Monte Carlo cuantifica la probabilidad de éxito (62% fiscal), permitiendo gestionar el riesgo del proyecto.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Cautelas metodológicas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costos unitarios y la carga sanitaria son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estimaciones de prefactibilidad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la etapa de factibilidad requiere cruzar la serie de MP2.5 con datos reales de atenciones del DEIS. La relación episodio→atención no es puramente causal (concurren factores estacionales); la función de daño del MMA mitiga parcialmente este sesgo. El VSL es un parámetro éticamente sensible: se utilizó la cifra oficial del SNI y se analizó su impacto en la sensibilidad.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8102e"/>
          <w:sz w:val="23"/>
          <w:szCs w:val="23"/>
        </w:rPr>
        <w:t xml:space="preserve">Próximos pasos (Fase 4)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Fase 4 comunicará los resultados ante una audiencia académica mediante un informe ejecutivo y un tablero de control, e incorporará la validación con datos reales del DEIS y el refinamiento de los costos unitarios con valores FONASA actualizados.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Referencias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d6875"/>
          <w:sz w:val="16"/>
          <w:szCs w:val="16"/>
        </w:rPr>
        <w:t xml:space="preserve">Ministerio del Medio Ambiente — SINCA (sinca.mma.gob.cl) y Reporte del Estado del Medio Ambiente (REMA 2023). Ministerio de Desarrollo Social y Familia — Sistema Nacional de Inversiones (SNI): metodología de evaluación social, tasa social de descuento y valor de la vida estadística. GreenLabUC (2015), Actualización de tasas de incidencia base y valores unitarios por eventos de morbilidad. Ministerio de Salud — DEIS. Minsal (2015), Alertas sanitarias por contaminación: reducción de muertes prematuras. FONASA — Modalidad de Atención Institucional (MAI).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6875" w:sz="4" w:space="4"/>
      </w:pBdr>
      <w:jc w:val="center"/>
    </w:pPr>
    <w:r>
      <w:rPr>
        <w:rFonts w:ascii="Arial" w:cs="Arial" w:eastAsia="Arial" w:hAnsi="Arial"/>
        <w:color w:val="6d6875"/>
        <w:sz w:val="15"/>
        <w:szCs w:val="15"/>
      </w:rPr>
      <w:t xml:space="preserve">MCDI501 — Fase 3 · Evaluación económica del sistema predictivo · UNAB    |    Página </w:t>
    </w:r>
    <w:r>
      <w:rPr>
        <w:rFonts w:ascii="Arial" w:cs="Arial" w:eastAsia="Arial" w:hAnsi="Arial"/>
        <w:color w:val="6d68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a234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c810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fe8e8d005b15943a8ba9e7cd6fc46d2ab5291b.png"/><Relationship Id="rId9" Type="http://schemas.openxmlformats.org/officeDocument/2006/relationships/image" Target="media/b12305385c567a2c3eaa487b5a4176fde5bc02a8.png"/><Relationship Id="rId10" Type="http://schemas.openxmlformats.org/officeDocument/2006/relationships/image" Target="media/de43ad8df31997b817481a00a71acfdbf800c144.png"/><Relationship Id="rId11" Type="http://schemas.openxmlformats.org/officeDocument/2006/relationships/image" Target="media/38c727fcf075b267d140035706eb9ecd6afd9534.png"/><Relationship Id="rId12" Type="http://schemas.openxmlformats.org/officeDocument/2006/relationships/image" Target="media/693390a1f58884e2624c01bab4d4f6a4a0a40f8c.png"/><Relationship Id="rId13" Type="http://schemas.openxmlformats.org/officeDocument/2006/relationships/image" Target="media/bfd07c2ef608cc468c28f3283f6f0d8bc60a87b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2026-06-24T03:44:31.589Z</dcterms:created>
  <dcterms:modified xsi:type="dcterms:W3CDTF">2026-06-24T03:44:31.590Z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