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1067"/>
        <w:gridCol w:w="5124"/>
        <w:gridCol w:w="1565"/>
        <w:gridCol w:w="4026"/>
      </w:tblGrid>
      <w:tr w:rsidR="0048426B" w:rsidRPr="0048426B" w14:paraId="029E278A" w14:textId="77777777" w:rsidTr="0053423F">
        <w:trPr>
          <w:trHeight w:val="288"/>
        </w:trPr>
        <w:tc>
          <w:tcPr>
            <w:tcW w:w="1327" w:type="dxa"/>
            <w:noWrap/>
            <w:hideMark/>
          </w:tcPr>
          <w:p w14:paraId="7B0E2278" w14:textId="77777777" w:rsidR="0048426B" w:rsidRPr="0048426B" w:rsidRDefault="0048426B">
            <w:r w:rsidRPr="0048426B">
              <w:t>Variable</w:t>
            </w:r>
          </w:p>
        </w:tc>
        <w:tc>
          <w:tcPr>
            <w:tcW w:w="8505" w:type="dxa"/>
            <w:noWrap/>
            <w:hideMark/>
          </w:tcPr>
          <w:p w14:paraId="684D5B44" w14:textId="77777777" w:rsidR="0048426B" w:rsidRPr="0048426B" w:rsidRDefault="0048426B">
            <w:r w:rsidRPr="0048426B">
              <w:t>Définition</w:t>
            </w:r>
          </w:p>
        </w:tc>
        <w:tc>
          <w:tcPr>
            <w:tcW w:w="2495" w:type="dxa"/>
            <w:noWrap/>
            <w:hideMark/>
          </w:tcPr>
          <w:p w14:paraId="7AB31B56" w14:textId="77777777" w:rsidR="0048426B" w:rsidRPr="0048426B" w:rsidRDefault="0048426B">
            <w:r w:rsidRPr="0048426B">
              <w:t>Source de données</w:t>
            </w:r>
          </w:p>
        </w:tc>
        <w:tc>
          <w:tcPr>
            <w:tcW w:w="2211" w:type="dxa"/>
            <w:noWrap/>
            <w:hideMark/>
          </w:tcPr>
          <w:p w14:paraId="442CB810" w14:textId="77777777" w:rsidR="0048426B" w:rsidRPr="0048426B" w:rsidRDefault="0048426B">
            <w:r w:rsidRPr="0048426B">
              <w:t>Lien</w:t>
            </w:r>
          </w:p>
        </w:tc>
      </w:tr>
      <w:tr w:rsidR="0048426B" w:rsidRPr="0048426B" w14:paraId="02EF022D" w14:textId="77777777" w:rsidTr="0053423F">
        <w:trPr>
          <w:trHeight w:val="288"/>
        </w:trPr>
        <w:tc>
          <w:tcPr>
            <w:tcW w:w="1327" w:type="dxa"/>
            <w:noWrap/>
            <w:hideMark/>
          </w:tcPr>
          <w:p w14:paraId="085F97ED" w14:textId="77777777" w:rsidR="0048426B" w:rsidRPr="0048426B" w:rsidRDefault="0048426B">
            <w:r w:rsidRPr="0048426B">
              <w:t>Investissement privé (% PIB)</w:t>
            </w:r>
          </w:p>
        </w:tc>
        <w:tc>
          <w:tcPr>
            <w:tcW w:w="8505" w:type="dxa"/>
            <w:hideMark/>
          </w:tcPr>
          <w:p w14:paraId="56541AD1" w14:textId="77777777" w:rsidR="0048426B" w:rsidRPr="0048426B" w:rsidRDefault="0048426B"/>
        </w:tc>
        <w:tc>
          <w:tcPr>
            <w:tcW w:w="2495" w:type="dxa"/>
            <w:noWrap/>
            <w:hideMark/>
          </w:tcPr>
          <w:p w14:paraId="7395ABD7" w14:textId="0FDAA2CC" w:rsidR="0048426B" w:rsidRPr="0048426B" w:rsidRDefault="0048426B">
            <w:r w:rsidRPr="0048426B">
              <w:t xml:space="preserve">Fond </w:t>
            </w:r>
            <w:r w:rsidR="0053423F" w:rsidRPr="0048426B">
              <w:t>Monétaire</w:t>
            </w:r>
            <w:r w:rsidRPr="0048426B">
              <w:t xml:space="preserve"> International</w:t>
            </w:r>
          </w:p>
        </w:tc>
        <w:tc>
          <w:tcPr>
            <w:tcW w:w="2211" w:type="dxa"/>
            <w:noWrap/>
            <w:hideMark/>
          </w:tcPr>
          <w:p w14:paraId="4FEE458D" w14:textId="77777777" w:rsidR="0048426B" w:rsidRPr="0048426B" w:rsidRDefault="0048426B">
            <w:pPr>
              <w:rPr>
                <w:u w:val="single"/>
              </w:rPr>
            </w:pPr>
            <w:hyperlink r:id="rId4" w:history="1">
              <w:r w:rsidRPr="0048426B">
                <w:rPr>
                  <w:rStyle w:val="Lienhypertexte"/>
                </w:rPr>
                <w:t>https://www.imf.org/</w:t>
              </w:r>
            </w:hyperlink>
          </w:p>
        </w:tc>
      </w:tr>
      <w:tr w:rsidR="0048426B" w:rsidRPr="0048426B" w14:paraId="4E1C5C9A" w14:textId="77777777" w:rsidTr="0053423F">
        <w:trPr>
          <w:trHeight w:val="5760"/>
        </w:trPr>
        <w:tc>
          <w:tcPr>
            <w:tcW w:w="1327" w:type="dxa"/>
            <w:noWrap/>
            <w:hideMark/>
          </w:tcPr>
          <w:p w14:paraId="2633248F" w14:textId="77777777" w:rsidR="0048426B" w:rsidRPr="0048426B" w:rsidRDefault="0048426B">
            <w:r w:rsidRPr="0048426B">
              <w:t>Transfert des migrants (% PIB)</w:t>
            </w:r>
          </w:p>
        </w:tc>
        <w:tc>
          <w:tcPr>
            <w:tcW w:w="8505" w:type="dxa"/>
            <w:hideMark/>
          </w:tcPr>
          <w:p w14:paraId="130E3BE0" w14:textId="77777777" w:rsidR="0048426B" w:rsidRPr="0048426B" w:rsidRDefault="0048426B" w:rsidP="0048426B">
            <w:pPr>
              <w:jc w:val="both"/>
            </w:pPr>
            <w:r w:rsidRPr="0048426B">
              <w:t xml:space="preserve">Les transferts personnels comprennent les transferts personnels et la rémunération des salariés. Les transferts personnels comprennent tous les transferts courants en espèces ou en nature effectués ou reçus par les ménages résidents à destination ou en provenance des ménages </w:t>
            </w:r>
            <w:proofErr w:type="spellStart"/>
            <w:r w:rsidRPr="0048426B">
              <w:t>non résidents</w:t>
            </w:r>
            <w:proofErr w:type="spellEnd"/>
            <w:r w:rsidRPr="0048426B">
              <w:t xml:space="preserve">. Les transferts personnels comprennent donc tous les transferts courants entre les individus résidents et </w:t>
            </w:r>
            <w:proofErr w:type="spellStart"/>
            <w:r w:rsidRPr="0048426B">
              <w:t>non résidents</w:t>
            </w:r>
            <w:proofErr w:type="spellEnd"/>
            <w:r w:rsidRPr="0048426B">
              <w:t>. La rémunération des salariés désigne le revenu des travailleurs frontaliers, saisonniers et autres travailleurs à court terme qui sont employés dans une économie où ils ne sont pas résidents et des résidents employés par des entités non résidentes. Les données sont la somme de deux éléments définis dans la sixième édition du Manuel de la balance des paiements du FMI : les transferts personnels et la rémunération des salariés.</w:t>
            </w:r>
          </w:p>
        </w:tc>
        <w:tc>
          <w:tcPr>
            <w:tcW w:w="2495" w:type="dxa"/>
            <w:noWrap/>
            <w:hideMark/>
          </w:tcPr>
          <w:p w14:paraId="241BB427" w14:textId="77777777" w:rsidR="0048426B" w:rsidRPr="0048426B" w:rsidRDefault="0048426B">
            <w:r w:rsidRPr="0048426B">
              <w:t xml:space="preserve">World </w:t>
            </w:r>
            <w:proofErr w:type="spellStart"/>
            <w:r w:rsidRPr="0048426B">
              <w:t>development</w:t>
            </w:r>
            <w:proofErr w:type="spellEnd"/>
            <w:r w:rsidRPr="0048426B">
              <w:t xml:space="preserve"> </w:t>
            </w:r>
            <w:proofErr w:type="spellStart"/>
            <w:r w:rsidRPr="0048426B">
              <w:t>indicator</w:t>
            </w:r>
            <w:proofErr w:type="spellEnd"/>
          </w:p>
        </w:tc>
        <w:tc>
          <w:tcPr>
            <w:tcW w:w="2211" w:type="dxa"/>
            <w:noWrap/>
            <w:hideMark/>
          </w:tcPr>
          <w:p w14:paraId="55DB0359" w14:textId="77777777" w:rsidR="0048426B" w:rsidRPr="0048426B" w:rsidRDefault="0048426B">
            <w:pPr>
              <w:rPr>
                <w:u w:val="single"/>
              </w:rPr>
            </w:pPr>
            <w:hyperlink r:id="rId5" w:history="1">
              <w:r w:rsidRPr="0048426B">
                <w:rPr>
                  <w:rStyle w:val="Lienhypertexte"/>
                </w:rPr>
                <w:t>https://databank.worldbank.org/source/world-development-indicators</w:t>
              </w:r>
            </w:hyperlink>
          </w:p>
        </w:tc>
      </w:tr>
      <w:tr w:rsidR="0048426B" w:rsidRPr="0048426B" w14:paraId="5FF4E7FB" w14:textId="77777777" w:rsidTr="0053423F">
        <w:trPr>
          <w:trHeight w:val="4320"/>
        </w:trPr>
        <w:tc>
          <w:tcPr>
            <w:tcW w:w="1327" w:type="dxa"/>
            <w:noWrap/>
            <w:hideMark/>
          </w:tcPr>
          <w:p w14:paraId="31194FAC" w14:textId="77777777" w:rsidR="0048426B" w:rsidRPr="0048426B" w:rsidRDefault="0048426B">
            <w:r w:rsidRPr="0048426B">
              <w:t xml:space="preserve">Investissement direct étranger </w:t>
            </w:r>
          </w:p>
        </w:tc>
        <w:tc>
          <w:tcPr>
            <w:tcW w:w="8505" w:type="dxa"/>
            <w:hideMark/>
          </w:tcPr>
          <w:p w14:paraId="33123727" w14:textId="77777777" w:rsidR="0048426B" w:rsidRPr="0048426B" w:rsidRDefault="0048426B" w:rsidP="0048426B">
            <w:pPr>
              <w:jc w:val="both"/>
            </w:pPr>
            <w:r w:rsidRPr="0048426B">
              <w:t>Les investissements directs étrangers sont les entrées nettes d'investissements visant à acquérir une participation durable à la gestion (10 % ou plus des actions avec droit de vote) d'une entreprise opérant dans une économie autre que celle de l'investisseur. Il s'agit de la somme des capitaux propres, du réinvestissement des bénéfices, des autres capitaux à long terme et des capitaux à court terme tels qu'ils apparaissent dans la balance des paiements. Cette série montre les entrées nettes (nouveaux investissements moins désinvestissement) dans l'économie déclarante en provenance d'investisseurs étrangers, et est divisée par le PIB.</w:t>
            </w:r>
          </w:p>
        </w:tc>
        <w:tc>
          <w:tcPr>
            <w:tcW w:w="2495" w:type="dxa"/>
            <w:noWrap/>
            <w:hideMark/>
          </w:tcPr>
          <w:p w14:paraId="5CDA9973" w14:textId="77777777" w:rsidR="0048426B" w:rsidRPr="0048426B" w:rsidRDefault="0048426B">
            <w:r w:rsidRPr="0048426B">
              <w:t xml:space="preserve">World </w:t>
            </w:r>
            <w:proofErr w:type="spellStart"/>
            <w:r w:rsidRPr="0048426B">
              <w:t>development</w:t>
            </w:r>
            <w:proofErr w:type="spellEnd"/>
            <w:r w:rsidRPr="0048426B">
              <w:t xml:space="preserve"> </w:t>
            </w:r>
            <w:proofErr w:type="spellStart"/>
            <w:r w:rsidRPr="0048426B">
              <w:t>indicator</w:t>
            </w:r>
            <w:proofErr w:type="spellEnd"/>
          </w:p>
        </w:tc>
        <w:tc>
          <w:tcPr>
            <w:tcW w:w="2211" w:type="dxa"/>
            <w:noWrap/>
            <w:hideMark/>
          </w:tcPr>
          <w:p w14:paraId="493DB927" w14:textId="77777777" w:rsidR="0048426B" w:rsidRPr="0048426B" w:rsidRDefault="0048426B">
            <w:pPr>
              <w:rPr>
                <w:u w:val="single"/>
              </w:rPr>
            </w:pPr>
            <w:hyperlink r:id="rId6" w:history="1">
              <w:r w:rsidRPr="0048426B">
                <w:rPr>
                  <w:rStyle w:val="Lienhypertexte"/>
                </w:rPr>
                <w:t>https://databank.worldbank.org/source/world-development-indicators</w:t>
              </w:r>
            </w:hyperlink>
          </w:p>
        </w:tc>
      </w:tr>
      <w:tr w:rsidR="0048426B" w:rsidRPr="0048426B" w14:paraId="3F4B8F83" w14:textId="77777777" w:rsidTr="0053423F">
        <w:trPr>
          <w:trHeight w:val="3744"/>
        </w:trPr>
        <w:tc>
          <w:tcPr>
            <w:tcW w:w="1327" w:type="dxa"/>
            <w:noWrap/>
            <w:hideMark/>
          </w:tcPr>
          <w:p w14:paraId="517467B7" w14:textId="77777777" w:rsidR="0048426B" w:rsidRPr="0048426B" w:rsidRDefault="0048426B">
            <w:r w:rsidRPr="0048426B">
              <w:t>Croissance du PIB</w:t>
            </w:r>
          </w:p>
        </w:tc>
        <w:tc>
          <w:tcPr>
            <w:tcW w:w="8505" w:type="dxa"/>
            <w:hideMark/>
          </w:tcPr>
          <w:p w14:paraId="79BBC805" w14:textId="77777777" w:rsidR="0048426B" w:rsidRPr="0048426B" w:rsidRDefault="0048426B" w:rsidP="0048426B">
            <w:pPr>
              <w:jc w:val="both"/>
            </w:pPr>
            <w:r w:rsidRPr="0048426B">
              <w:t>Taux de croissance annuel en pourcentage du PIB aux prix du marché sur la base de la monnaie locale constante. Les agrégats sont basés sur des prix constants de 2015, exprimés en dollars américains. Le PIB est la somme de la valeur brute ajoutée par tous les producteurs résidents de l'économie, plus les taxes sur les produits et moins les subventions non incluses dans la valeur des produits. Il est calculé sans faire de déductions pour la dépréciation des actifs fabriqués ou pour l'épuisement et la dégradation des ressources naturelles.</w:t>
            </w:r>
          </w:p>
        </w:tc>
        <w:tc>
          <w:tcPr>
            <w:tcW w:w="2495" w:type="dxa"/>
            <w:noWrap/>
            <w:hideMark/>
          </w:tcPr>
          <w:p w14:paraId="33F56147" w14:textId="77777777" w:rsidR="0048426B" w:rsidRPr="0048426B" w:rsidRDefault="0048426B">
            <w:r w:rsidRPr="0048426B">
              <w:t xml:space="preserve">World </w:t>
            </w:r>
            <w:proofErr w:type="spellStart"/>
            <w:r w:rsidRPr="0048426B">
              <w:t>development</w:t>
            </w:r>
            <w:proofErr w:type="spellEnd"/>
            <w:r w:rsidRPr="0048426B">
              <w:t xml:space="preserve"> </w:t>
            </w:r>
            <w:proofErr w:type="spellStart"/>
            <w:r w:rsidRPr="0048426B">
              <w:t>indicator</w:t>
            </w:r>
            <w:proofErr w:type="spellEnd"/>
          </w:p>
        </w:tc>
        <w:tc>
          <w:tcPr>
            <w:tcW w:w="2211" w:type="dxa"/>
            <w:noWrap/>
            <w:hideMark/>
          </w:tcPr>
          <w:p w14:paraId="67A1A533" w14:textId="77777777" w:rsidR="0048426B" w:rsidRPr="0048426B" w:rsidRDefault="0048426B">
            <w:pPr>
              <w:rPr>
                <w:u w:val="single"/>
              </w:rPr>
            </w:pPr>
            <w:hyperlink r:id="rId7" w:history="1">
              <w:r w:rsidRPr="0048426B">
                <w:rPr>
                  <w:rStyle w:val="Lienhypertexte"/>
                </w:rPr>
                <w:t>https://databank.worldbank.org/source/world-development-indicators</w:t>
              </w:r>
            </w:hyperlink>
          </w:p>
        </w:tc>
      </w:tr>
      <w:tr w:rsidR="0048426B" w:rsidRPr="0048426B" w14:paraId="3F4015C3" w14:textId="77777777" w:rsidTr="0053423F">
        <w:trPr>
          <w:trHeight w:val="2592"/>
        </w:trPr>
        <w:tc>
          <w:tcPr>
            <w:tcW w:w="1327" w:type="dxa"/>
            <w:noWrap/>
            <w:hideMark/>
          </w:tcPr>
          <w:p w14:paraId="50CD6357" w14:textId="77777777" w:rsidR="0048426B" w:rsidRPr="0048426B" w:rsidRDefault="0048426B">
            <w:r w:rsidRPr="0048426B">
              <w:lastRenderedPageBreak/>
              <w:t>Crédit privé (% PIB)</w:t>
            </w:r>
          </w:p>
        </w:tc>
        <w:tc>
          <w:tcPr>
            <w:tcW w:w="8505" w:type="dxa"/>
            <w:hideMark/>
          </w:tcPr>
          <w:p w14:paraId="7268D6C5" w14:textId="77777777" w:rsidR="0048426B" w:rsidRPr="0048426B" w:rsidRDefault="0048426B" w:rsidP="0048426B">
            <w:pPr>
              <w:jc w:val="both"/>
            </w:pPr>
            <w:r w:rsidRPr="0048426B">
              <w:t>Le crédit intérieur au secteur privé désigne les ressources financières fournies au secteur privé, par exemple sous forme de prêts, d'achats de titres sans participation, de crédits commerciaux et d'autres comptes à recevoir, qui donnent lieu à une créance de remboursement. Pour certains pays, ces créances comprennent les crédits aux entreprises publiques.</w:t>
            </w:r>
          </w:p>
        </w:tc>
        <w:tc>
          <w:tcPr>
            <w:tcW w:w="2495" w:type="dxa"/>
            <w:noWrap/>
            <w:hideMark/>
          </w:tcPr>
          <w:p w14:paraId="3B043F6C" w14:textId="77777777" w:rsidR="0048426B" w:rsidRPr="0048426B" w:rsidRDefault="0048426B">
            <w:r w:rsidRPr="0048426B">
              <w:t xml:space="preserve">World </w:t>
            </w:r>
            <w:proofErr w:type="spellStart"/>
            <w:r w:rsidRPr="0048426B">
              <w:t>development</w:t>
            </w:r>
            <w:proofErr w:type="spellEnd"/>
            <w:r w:rsidRPr="0048426B">
              <w:t xml:space="preserve"> </w:t>
            </w:r>
            <w:proofErr w:type="spellStart"/>
            <w:r w:rsidRPr="0048426B">
              <w:t>indicator</w:t>
            </w:r>
            <w:proofErr w:type="spellEnd"/>
          </w:p>
        </w:tc>
        <w:tc>
          <w:tcPr>
            <w:tcW w:w="2211" w:type="dxa"/>
            <w:noWrap/>
            <w:hideMark/>
          </w:tcPr>
          <w:p w14:paraId="2D01F5D1" w14:textId="77777777" w:rsidR="0048426B" w:rsidRPr="0048426B" w:rsidRDefault="0048426B">
            <w:pPr>
              <w:rPr>
                <w:u w:val="single"/>
              </w:rPr>
            </w:pPr>
            <w:hyperlink r:id="rId8" w:history="1">
              <w:r w:rsidRPr="0048426B">
                <w:rPr>
                  <w:rStyle w:val="Lienhypertexte"/>
                </w:rPr>
                <w:t>https://databank.worldbank.org/source/world-development-indicators</w:t>
              </w:r>
            </w:hyperlink>
          </w:p>
        </w:tc>
      </w:tr>
      <w:tr w:rsidR="0048426B" w:rsidRPr="0048426B" w14:paraId="6B3B1A2E" w14:textId="77777777" w:rsidTr="0053423F">
        <w:trPr>
          <w:trHeight w:val="288"/>
        </w:trPr>
        <w:tc>
          <w:tcPr>
            <w:tcW w:w="1327" w:type="dxa"/>
            <w:noWrap/>
            <w:hideMark/>
          </w:tcPr>
          <w:p w14:paraId="188FB495" w14:textId="535C48F2" w:rsidR="0048426B" w:rsidRPr="0048426B" w:rsidRDefault="0048426B">
            <w:r w:rsidRPr="0048426B">
              <w:t xml:space="preserve">Stabilité </w:t>
            </w:r>
            <w:r>
              <w:t>du gouvernement</w:t>
            </w:r>
            <w:r w:rsidRPr="0048426B">
              <w:t xml:space="preserve"> </w:t>
            </w:r>
          </w:p>
        </w:tc>
        <w:tc>
          <w:tcPr>
            <w:tcW w:w="8505" w:type="dxa"/>
            <w:hideMark/>
          </w:tcPr>
          <w:p w14:paraId="5C0F6A54" w14:textId="72FBB923" w:rsidR="0048426B" w:rsidRPr="0048426B" w:rsidRDefault="0048426B" w:rsidP="0048426B">
            <w:pPr>
              <w:jc w:val="both"/>
            </w:pPr>
            <w:r w:rsidRPr="0048426B">
              <w:t xml:space="preserve">Stabilité </w:t>
            </w:r>
            <w:r>
              <w:t>du gouvernement</w:t>
            </w:r>
          </w:p>
        </w:tc>
        <w:tc>
          <w:tcPr>
            <w:tcW w:w="2495" w:type="dxa"/>
            <w:noWrap/>
            <w:hideMark/>
          </w:tcPr>
          <w:p w14:paraId="566F0D2E" w14:textId="77777777" w:rsidR="0048426B" w:rsidRPr="0048426B" w:rsidRDefault="0048426B">
            <w:pPr>
              <w:rPr>
                <w:lang w:val="en-US"/>
              </w:rPr>
            </w:pPr>
            <w:r w:rsidRPr="0048426B">
              <w:rPr>
                <w:lang w:val="en-US"/>
              </w:rPr>
              <w:t>The International Country Risk Guide database</w:t>
            </w:r>
          </w:p>
        </w:tc>
        <w:tc>
          <w:tcPr>
            <w:tcW w:w="2211" w:type="dxa"/>
            <w:noWrap/>
            <w:hideMark/>
          </w:tcPr>
          <w:p w14:paraId="7D59706E" w14:textId="77777777" w:rsidR="0048426B" w:rsidRPr="0048426B" w:rsidRDefault="0048426B">
            <w:pPr>
              <w:rPr>
                <w:u w:val="single"/>
                <w:lang w:val="en-US"/>
              </w:rPr>
            </w:pPr>
            <w:hyperlink r:id="rId9" w:history="1">
              <w:r w:rsidRPr="0048426B">
                <w:rPr>
                  <w:rStyle w:val="Lienhypertexte"/>
                  <w:lang w:val="en-US"/>
                </w:rPr>
                <w:t>https://doi.org/10.7910/DVN/4YHTPU</w:t>
              </w:r>
            </w:hyperlink>
          </w:p>
        </w:tc>
      </w:tr>
      <w:tr w:rsidR="0048426B" w:rsidRPr="0048426B" w14:paraId="702D1DE9" w14:textId="77777777" w:rsidTr="0053423F">
        <w:trPr>
          <w:trHeight w:val="288"/>
        </w:trPr>
        <w:tc>
          <w:tcPr>
            <w:tcW w:w="1327" w:type="dxa"/>
            <w:noWrap/>
            <w:hideMark/>
          </w:tcPr>
          <w:p w14:paraId="5568380B" w14:textId="77777777" w:rsidR="0048426B" w:rsidRPr="0048426B" w:rsidRDefault="0048426B">
            <w:r w:rsidRPr="0048426B">
              <w:t>Contrôle de corruption</w:t>
            </w:r>
          </w:p>
        </w:tc>
        <w:tc>
          <w:tcPr>
            <w:tcW w:w="8505" w:type="dxa"/>
            <w:noWrap/>
            <w:hideMark/>
          </w:tcPr>
          <w:p w14:paraId="1A3AD60A" w14:textId="77777777" w:rsidR="0048426B" w:rsidRPr="0048426B" w:rsidRDefault="0048426B" w:rsidP="0048426B">
            <w:pPr>
              <w:jc w:val="both"/>
            </w:pPr>
            <w:r w:rsidRPr="0048426B">
              <w:t>Contrôle de corruption</w:t>
            </w:r>
          </w:p>
        </w:tc>
        <w:tc>
          <w:tcPr>
            <w:tcW w:w="2495" w:type="dxa"/>
            <w:noWrap/>
            <w:hideMark/>
          </w:tcPr>
          <w:p w14:paraId="5E320184" w14:textId="77777777" w:rsidR="0048426B" w:rsidRPr="0048426B" w:rsidRDefault="0048426B">
            <w:pPr>
              <w:rPr>
                <w:lang w:val="en-US"/>
              </w:rPr>
            </w:pPr>
            <w:r w:rsidRPr="0048426B">
              <w:rPr>
                <w:lang w:val="en-US"/>
              </w:rPr>
              <w:t>The International Country Risk Guide database</w:t>
            </w:r>
          </w:p>
        </w:tc>
        <w:tc>
          <w:tcPr>
            <w:tcW w:w="2211" w:type="dxa"/>
            <w:noWrap/>
            <w:hideMark/>
          </w:tcPr>
          <w:p w14:paraId="3F711486" w14:textId="77777777" w:rsidR="0048426B" w:rsidRPr="0048426B" w:rsidRDefault="0048426B">
            <w:pPr>
              <w:rPr>
                <w:u w:val="single"/>
                <w:lang w:val="en-US"/>
              </w:rPr>
            </w:pPr>
            <w:r w:rsidRPr="0048426B">
              <w:rPr>
                <w:u w:val="single"/>
                <w:lang w:val="en-US"/>
              </w:rPr>
              <w:t>https://doi.org/10.7910/DVN/4YHTPU</w:t>
            </w:r>
          </w:p>
        </w:tc>
      </w:tr>
      <w:tr w:rsidR="0048426B" w:rsidRPr="0048426B" w14:paraId="4125D711" w14:textId="77777777" w:rsidTr="0053423F">
        <w:trPr>
          <w:trHeight w:val="864"/>
        </w:trPr>
        <w:tc>
          <w:tcPr>
            <w:tcW w:w="1327" w:type="dxa"/>
            <w:noWrap/>
            <w:hideMark/>
          </w:tcPr>
          <w:p w14:paraId="0DE16D8E" w14:textId="77777777" w:rsidR="0048426B" w:rsidRPr="0048426B" w:rsidRDefault="0048426B">
            <w:r w:rsidRPr="0048426B">
              <w:t>Ouverture commerciale</w:t>
            </w:r>
          </w:p>
        </w:tc>
        <w:tc>
          <w:tcPr>
            <w:tcW w:w="8505" w:type="dxa"/>
            <w:hideMark/>
          </w:tcPr>
          <w:p w14:paraId="1C34A872" w14:textId="77777777" w:rsidR="0048426B" w:rsidRPr="0048426B" w:rsidRDefault="0048426B" w:rsidP="0048426B">
            <w:pPr>
              <w:jc w:val="both"/>
            </w:pPr>
            <w:r w:rsidRPr="0048426B">
              <w:t>La somme des exportations et des importations de biens et de services, mesurée en pourcentage du produit intérieur brut.</w:t>
            </w:r>
          </w:p>
        </w:tc>
        <w:tc>
          <w:tcPr>
            <w:tcW w:w="2495" w:type="dxa"/>
            <w:noWrap/>
            <w:hideMark/>
          </w:tcPr>
          <w:p w14:paraId="2B2ED84F" w14:textId="77777777" w:rsidR="0048426B" w:rsidRPr="0048426B" w:rsidRDefault="0048426B">
            <w:r w:rsidRPr="0048426B">
              <w:t xml:space="preserve">World </w:t>
            </w:r>
            <w:proofErr w:type="spellStart"/>
            <w:r w:rsidRPr="0048426B">
              <w:t>development</w:t>
            </w:r>
            <w:proofErr w:type="spellEnd"/>
            <w:r w:rsidRPr="0048426B">
              <w:t xml:space="preserve"> </w:t>
            </w:r>
            <w:proofErr w:type="spellStart"/>
            <w:r w:rsidRPr="0048426B">
              <w:t>indicator</w:t>
            </w:r>
            <w:proofErr w:type="spellEnd"/>
          </w:p>
        </w:tc>
        <w:tc>
          <w:tcPr>
            <w:tcW w:w="2211" w:type="dxa"/>
            <w:noWrap/>
            <w:hideMark/>
          </w:tcPr>
          <w:p w14:paraId="3F2D1FB2" w14:textId="77777777" w:rsidR="0048426B" w:rsidRPr="0048426B" w:rsidRDefault="0048426B">
            <w:pPr>
              <w:rPr>
                <w:u w:val="single"/>
              </w:rPr>
            </w:pPr>
            <w:hyperlink r:id="rId10" w:history="1">
              <w:r w:rsidRPr="0048426B">
                <w:rPr>
                  <w:rStyle w:val="Lienhypertexte"/>
                </w:rPr>
                <w:t>https://databank.worldbank.org/source/world-development-indicators</w:t>
              </w:r>
            </w:hyperlink>
          </w:p>
        </w:tc>
      </w:tr>
      <w:tr w:rsidR="0048426B" w:rsidRPr="0048426B" w14:paraId="544D8B7F" w14:textId="77777777" w:rsidTr="0053423F">
        <w:trPr>
          <w:trHeight w:val="1152"/>
        </w:trPr>
        <w:tc>
          <w:tcPr>
            <w:tcW w:w="1327" w:type="dxa"/>
            <w:noWrap/>
            <w:hideMark/>
          </w:tcPr>
          <w:p w14:paraId="63B87420" w14:textId="78EA913F" w:rsidR="0048426B" w:rsidRPr="0048426B" w:rsidRDefault="0048426B">
            <w:r w:rsidRPr="0048426B">
              <w:t xml:space="preserve">Proximité </w:t>
            </w:r>
            <w:r w:rsidR="00D137B3" w:rsidRPr="0048426B">
              <w:t>linguistique</w:t>
            </w:r>
          </w:p>
        </w:tc>
        <w:tc>
          <w:tcPr>
            <w:tcW w:w="8505" w:type="dxa"/>
            <w:hideMark/>
          </w:tcPr>
          <w:p w14:paraId="364BDE5F" w14:textId="77777777" w:rsidR="0048426B" w:rsidRPr="0048426B" w:rsidRDefault="0048426B" w:rsidP="0048426B">
            <w:pPr>
              <w:jc w:val="both"/>
            </w:pPr>
            <w:r w:rsidRPr="0048426B">
              <w:t>Proximités linguistiques calculé sur la base de la classification « Ethnologue des arbres linguistiques » entre arbres, branches et sous-branches.</w:t>
            </w:r>
          </w:p>
        </w:tc>
        <w:tc>
          <w:tcPr>
            <w:tcW w:w="2495" w:type="dxa"/>
            <w:noWrap/>
            <w:hideMark/>
          </w:tcPr>
          <w:p w14:paraId="179EA7D3" w14:textId="77777777" w:rsidR="0048426B" w:rsidRPr="0048426B" w:rsidRDefault="0048426B">
            <w:r w:rsidRPr="0048426B">
              <w:t>Centre d’études prospectives et d'informations internationales</w:t>
            </w:r>
          </w:p>
        </w:tc>
        <w:tc>
          <w:tcPr>
            <w:tcW w:w="2211" w:type="dxa"/>
            <w:noWrap/>
            <w:hideMark/>
          </w:tcPr>
          <w:p w14:paraId="3C98FDCE" w14:textId="77777777" w:rsidR="0048426B" w:rsidRPr="0048426B" w:rsidRDefault="0048426B">
            <w:pPr>
              <w:rPr>
                <w:u w:val="single"/>
              </w:rPr>
            </w:pPr>
            <w:hyperlink r:id="rId11" w:history="1">
              <w:r w:rsidRPr="0048426B">
                <w:rPr>
                  <w:rStyle w:val="Lienhypertexte"/>
                </w:rPr>
                <w:t>http://www.cepii.fr/CEPII/fr/bdd_modele/bdd_modele_item.asp?id=19</w:t>
              </w:r>
            </w:hyperlink>
          </w:p>
        </w:tc>
      </w:tr>
      <w:tr w:rsidR="0048426B" w:rsidRPr="0048426B" w14:paraId="064E51DD" w14:textId="77777777" w:rsidTr="0053423F">
        <w:trPr>
          <w:trHeight w:val="288"/>
        </w:trPr>
        <w:tc>
          <w:tcPr>
            <w:tcW w:w="1327" w:type="dxa"/>
            <w:noWrap/>
            <w:hideMark/>
          </w:tcPr>
          <w:p w14:paraId="3DED61CD" w14:textId="77777777" w:rsidR="0048426B" w:rsidRPr="0048426B" w:rsidRDefault="0048426B">
            <w:r w:rsidRPr="0048426B">
              <w:t>Ouverture financière</w:t>
            </w:r>
          </w:p>
        </w:tc>
        <w:tc>
          <w:tcPr>
            <w:tcW w:w="8505" w:type="dxa"/>
            <w:noWrap/>
            <w:hideMark/>
          </w:tcPr>
          <w:p w14:paraId="56CDC712" w14:textId="77777777" w:rsidR="0048426B" w:rsidRPr="0048426B" w:rsidRDefault="0048426B" w:rsidP="0048426B">
            <w:pPr>
              <w:jc w:val="both"/>
            </w:pPr>
            <w:r w:rsidRPr="0048426B">
              <w:t>Ouverture financière</w:t>
            </w:r>
          </w:p>
        </w:tc>
        <w:tc>
          <w:tcPr>
            <w:tcW w:w="2495" w:type="dxa"/>
            <w:noWrap/>
            <w:hideMark/>
          </w:tcPr>
          <w:p w14:paraId="2F5ACFF6" w14:textId="77777777" w:rsidR="0048426B" w:rsidRPr="0048426B" w:rsidRDefault="0048426B">
            <w:proofErr w:type="spellStart"/>
            <w:r w:rsidRPr="0048426B">
              <w:t>Chinn</w:t>
            </w:r>
            <w:proofErr w:type="spellEnd"/>
            <w:r w:rsidRPr="0048426B">
              <w:t xml:space="preserve">, </w:t>
            </w:r>
            <w:proofErr w:type="spellStart"/>
            <w:r w:rsidRPr="0048426B">
              <w:t>Menzie</w:t>
            </w:r>
            <w:proofErr w:type="spellEnd"/>
            <w:r w:rsidRPr="0048426B">
              <w:t xml:space="preserve"> D. and Hiro Ito (2006).</w:t>
            </w:r>
          </w:p>
        </w:tc>
        <w:tc>
          <w:tcPr>
            <w:tcW w:w="2211" w:type="dxa"/>
            <w:noWrap/>
            <w:hideMark/>
          </w:tcPr>
          <w:p w14:paraId="49E8E2B7" w14:textId="77777777" w:rsidR="0048426B" w:rsidRPr="0048426B" w:rsidRDefault="0048426B">
            <w:pPr>
              <w:rPr>
                <w:u w:val="single"/>
              </w:rPr>
            </w:pPr>
            <w:hyperlink r:id="rId12" w:history="1">
              <w:r w:rsidRPr="0048426B">
                <w:rPr>
                  <w:rStyle w:val="Lienhypertexte"/>
                </w:rPr>
                <w:t>https://web.pdx.edu/~ito/Chinn-Ito_website.htm</w:t>
              </w:r>
            </w:hyperlink>
          </w:p>
        </w:tc>
      </w:tr>
      <w:tr w:rsidR="0048426B" w:rsidRPr="0048426B" w14:paraId="774DC7EB" w14:textId="77777777" w:rsidTr="0053423F">
        <w:trPr>
          <w:trHeight w:val="1152"/>
        </w:trPr>
        <w:tc>
          <w:tcPr>
            <w:tcW w:w="1327" w:type="dxa"/>
            <w:noWrap/>
            <w:hideMark/>
          </w:tcPr>
          <w:p w14:paraId="05A7346D" w14:textId="77777777" w:rsidR="0048426B" w:rsidRPr="0048426B" w:rsidRDefault="0048426B">
            <w:r w:rsidRPr="0048426B">
              <w:t>Developpement financier</w:t>
            </w:r>
          </w:p>
        </w:tc>
        <w:tc>
          <w:tcPr>
            <w:tcW w:w="8505" w:type="dxa"/>
            <w:hideMark/>
          </w:tcPr>
          <w:p w14:paraId="7A92E25B" w14:textId="77777777" w:rsidR="0048426B" w:rsidRPr="0048426B" w:rsidRDefault="0048426B" w:rsidP="0048426B">
            <w:pPr>
              <w:jc w:val="both"/>
            </w:pPr>
            <w:r w:rsidRPr="0048426B">
              <w:t>Il résume le degré de développement des institutions financières et des marchés financiers en termes de profondeur, d'accès et d'efficacité.</w:t>
            </w:r>
          </w:p>
        </w:tc>
        <w:tc>
          <w:tcPr>
            <w:tcW w:w="2495" w:type="dxa"/>
            <w:noWrap/>
            <w:hideMark/>
          </w:tcPr>
          <w:p w14:paraId="7002B611" w14:textId="77777777" w:rsidR="0048426B" w:rsidRPr="0048426B" w:rsidRDefault="0048426B">
            <w:r w:rsidRPr="0048426B">
              <w:t xml:space="preserve">Fond </w:t>
            </w:r>
            <w:proofErr w:type="spellStart"/>
            <w:r w:rsidRPr="0048426B">
              <w:t>Monetaire</w:t>
            </w:r>
            <w:proofErr w:type="spellEnd"/>
            <w:r w:rsidRPr="0048426B">
              <w:t xml:space="preserve"> International</w:t>
            </w:r>
          </w:p>
        </w:tc>
        <w:tc>
          <w:tcPr>
            <w:tcW w:w="2211" w:type="dxa"/>
            <w:noWrap/>
            <w:hideMark/>
          </w:tcPr>
          <w:p w14:paraId="330F9181" w14:textId="77777777" w:rsidR="0048426B" w:rsidRPr="0048426B" w:rsidRDefault="0048426B">
            <w:pPr>
              <w:rPr>
                <w:u w:val="single"/>
              </w:rPr>
            </w:pPr>
            <w:hyperlink r:id="rId13" w:history="1">
              <w:r w:rsidRPr="0048426B">
                <w:rPr>
                  <w:rStyle w:val="Lienhypertexte"/>
                </w:rPr>
                <w:t>https://data.imf.org/?sk=F8032E80-B36C-43B1-AC26-493C5B1CD33B</w:t>
              </w:r>
            </w:hyperlink>
          </w:p>
        </w:tc>
      </w:tr>
      <w:tr w:rsidR="0048426B" w:rsidRPr="0048426B" w14:paraId="518A95A4" w14:textId="77777777" w:rsidTr="0053423F">
        <w:trPr>
          <w:trHeight w:val="864"/>
        </w:trPr>
        <w:tc>
          <w:tcPr>
            <w:tcW w:w="1327" w:type="dxa"/>
            <w:noWrap/>
            <w:hideMark/>
          </w:tcPr>
          <w:p w14:paraId="7DFB7C33" w14:textId="77777777" w:rsidR="0048426B" w:rsidRPr="0048426B" w:rsidRDefault="0048426B">
            <w:r w:rsidRPr="0048426B">
              <w:t>Masse monétaire M2</w:t>
            </w:r>
          </w:p>
        </w:tc>
        <w:tc>
          <w:tcPr>
            <w:tcW w:w="8505" w:type="dxa"/>
            <w:hideMark/>
          </w:tcPr>
          <w:p w14:paraId="33D8BE38" w14:textId="77777777" w:rsidR="0048426B" w:rsidRPr="0048426B" w:rsidRDefault="0048426B" w:rsidP="0048426B">
            <w:pPr>
              <w:jc w:val="both"/>
            </w:pPr>
            <w:r w:rsidRPr="0048426B">
              <w:t>en termes de profondeur, d'accès et d'efficacité, pour aboutir à l'indice final de développement financier.</w:t>
            </w:r>
          </w:p>
        </w:tc>
        <w:tc>
          <w:tcPr>
            <w:tcW w:w="2495" w:type="dxa"/>
            <w:noWrap/>
            <w:hideMark/>
          </w:tcPr>
          <w:p w14:paraId="1D063067" w14:textId="77777777" w:rsidR="0048426B" w:rsidRPr="0048426B" w:rsidRDefault="0048426B">
            <w:r w:rsidRPr="0048426B">
              <w:t xml:space="preserve">World </w:t>
            </w:r>
            <w:proofErr w:type="spellStart"/>
            <w:r w:rsidRPr="0048426B">
              <w:t>development</w:t>
            </w:r>
            <w:proofErr w:type="spellEnd"/>
            <w:r w:rsidRPr="0048426B">
              <w:t xml:space="preserve"> </w:t>
            </w:r>
            <w:proofErr w:type="spellStart"/>
            <w:r w:rsidRPr="0048426B">
              <w:t>indicator</w:t>
            </w:r>
            <w:proofErr w:type="spellEnd"/>
          </w:p>
        </w:tc>
        <w:tc>
          <w:tcPr>
            <w:tcW w:w="2211" w:type="dxa"/>
            <w:noWrap/>
            <w:hideMark/>
          </w:tcPr>
          <w:p w14:paraId="117BB2E4" w14:textId="77777777" w:rsidR="0048426B" w:rsidRPr="0048426B" w:rsidRDefault="0048426B">
            <w:pPr>
              <w:rPr>
                <w:u w:val="single"/>
              </w:rPr>
            </w:pPr>
            <w:hyperlink r:id="rId14" w:history="1">
              <w:r w:rsidRPr="0048426B">
                <w:rPr>
                  <w:rStyle w:val="Lienhypertexte"/>
                </w:rPr>
                <w:t>https://databank.worldbank.org/source/world-development-indicators</w:t>
              </w:r>
            </w:hyperlink>
          </w:p>
        </w:tc>
      </w:tr>
      <w:tr w:rsidR="0048426B" w:rsidRPr="0048426B" w14:paraId="60D3F2A3" w14:textId="77777777" w:rsidTr="0053423F">
        <w:trPr>
          <w:trHeight w:val="288"/>
        </w:trPr>
        <w:tc>
          <w:tcPr>
            <w:tcW w:w="1327" w:type="dxa"/>
            <w:noWrap/>
            <w:hideMark/>
          </w:tcPr>
          <w:p w14:paraId="4C9B92FD" w14:textId="77777777" w:rsidR="0048426B" w:rsidRPr="0048426B" w:rsidRDefault="0048426B">
            <w:r w:rsidRPr="0048426B">
              <w:t>Taux de change réel</w:t>
            </w:r>
          </w:p>
        </w:tc>
        <w:tc>
          <w:tcPr>
            <w:tcW w:w="8505" w:type="dxa"/>
            <w:noWrap/>
            <w:hideMark/>
          </w:tcPr>
          <w:p w14:paraId="0762C8A8" w14:textId="77777777" w:rsidR="0048426B" w:rsidRPr="0048426B" w:rsidRDefault="0048426B" w:rsidP="0048426B">
            <w:pPr>
              <w:jc w:val="both"/>
            </w:pPr>
            <w:r w:rsidRPr="0048426B">
              <w:t>Taux de change de la devise étrangère appliqué à la transaction par le prestataire de services de transfert de fonds.</w:t>
            </w:r>
          </w:p>
        </w:tc>
        <w:tc>
          <w:tcPr>
            <w:tcW w:w="2495" w:type="dxa"/>
            <w:noWrap/>
            <w:hideMark/>
          </w:tcPr>
          <w:p w14:paraId="73B89937" w14:textId="77777777" w:rsidR="0048426B" w:rsidRPr="0048426B" w:rsidRDefault="0048426B">
            <w:r w:rsidRPr="0048426B">
              <w:t>Penn World Table</w:t>
            </w:r>
          </w:p>
        </w:tc>
        <w:tc>
          <w:tcPr>
            <w:tcW w:w="2211" w:type="dxa"/>
            <w:noWrap/>
            <w:hideMark/>
          </w:tcPr>
          <w:p w14:paraId="0BDAB810" w14:textId="77777777" w:rsidR="0048426B" w:rsidRPr="0048426B" w:rsidRDefault="0048426B">
            <w:pPr>
              <w:rPr>
                <w:u w:val="single"/>
              </w:rPr>
            </w:pPr>
            <w:hyperlink r:id="rId15" w:history="1">
              <w:r w:rsidRPr="0048426B">
                <w:rPr>
                  <w:rStyle w:val="Lienhypertexte"/>
                </w:rPr>
                <w:t>https://www.rug.nl/ggdc/productivity/pwt/?lang=en</w:t>
              </w:r>
            </w:hyperlink>
          </w:p>
        </w:tc>
      </w:tr>
      <w:tr w:rsidR="0048426B" w:rsidRPr="0048426B" w14:paraId="084162D5" w14:textId="77777777" w:rsidTr="0053423F">
        <w:trPr>
          <w:trHeight w:val="288"/>
        </w:trPr>
        <w:tc>
          <w:tcPr>
            <w:tcW w:w="1327" w:type="dxa"/>
            <w:noWrap/>
            <w:hideMark/>
          </w:tcPr>
          <w:p w14:paraId="3E10333A" w14:textId="77777777" w:rsidR="0048426B" w:rsidRPr="0048426B" w:rsidRDefault="0048426B">
            <w:r w:rsidRPr="0048426B">
              <w:t>Inflation</w:t>
            </w:r>
          </w:p>
        </w:tc>
        <w:tc>
          <w:tcPr>
            <w:tcW w:w="8505" w:type="dxa"/>
            <w:noWrap/>
            <w:hideMark/>
          </w:tcPr>
          <w:p w14:paraId="0E8A1403" w14:textId="2858DB0C" w:rsidR="0048426B" w:rsidRPr="0048426B" w:rsidRDefault="0048426B">
            <w:r>
              <w:t>Taux d’inflation</w:t>
            </w:r>
          </w:p>
        </w:tc>
        <w:tc>
          <w:tcPr>
            <w:tcW w:w="2495" w:type="dxa"/>
            <w:noWrap/>
            <w:hideMark/>
          </w:tcPr>
          <w:p w14:paraId="622E65B2" w14:textId="77777777" w:rsidR="0048426B" w:rsidRPr="0048426B" w:rsidRDefault="0048426B">
            <w:r w:rsidRPr="0048426B">
              <w:t xml:space="preserve">World </w:t>
            </w:r>
            <w:proofErr w:type="spellStart"/>
            <w:r w:rsidRPr="0048426B">
              <w:t>economic</w:t>
            </w:r>
            <w:proofErr w:type="spellEnd"/>
            <w:r w:rsidRPr="0048426B">
              <w:t xml:space="preserve"> </w:t>
            </w:r>
            <w:proofErr w:type="spellStart"/>
            <w:r w:rsidRPr="0048426B">
              <w:t>outlook</w:t>
            </w:r>
            <w:proofErr w:type="spellEnd"/>
            <w:r w:rsidRPr="0048426B">
              <w:t xml:space="preserve"> </w:t>
            </w:r>
            <w:proofErr w:type="spellStart"/>
            <w:r w:rsidRPr="0048426B">
              <w:t>database</w:t>
            </w:r>
            <w:proofErr w:type="spellEnd"/>
          </w:p>
        </w:tc>
        <w:tc>
          <w:tcPr>
            <w:tcW w:w="2211" w:type="dxa"/>
            <w:noWrap/>
            <w:hideMark/>
          </w:tcPr>
          <w:p w14:paraId="290036C1" w14:textId="77777777" w:rsidR="0048426B" w:rsidRPr="0048426B" w:rsidRDefault="0048426B">
            <w:pPr>
              <w:rPr>
                <w:u w:val="single"/>
              </w:rPr>
            </w:pPr>
            <w:hyperlink r:id="rId16" w:anchor="sort=%40imfdate%20descending" w:history="1">
              <w:r w:rsidRPr="0048426B">
                <w:rPr>
                  <w:rStyle w:val="Lienhypertexte"/>
                </w:rPr>
                <w:t>https://www.imf.org/en/Publications/SPROLLs/world-economic-outlook-databases#sort=%40imfdate%20descending</w:t>
              </w:r>
            </w:hyperlink>
          </w:p>
        </w:tc>
      </w:tr>
    </w:tbl>
    <w:p w14:paraId="1639E044" w14:textId="77777777" w:rsidR="00AE28E4" w:rsidRPr="0048426B" w:rsidRDefault="00AE28E4" w:rsidP="0048426B"/>
    <w:sectPr w:rsidR="00AE28E4" w:rsidRPr="0048426B" w:rsidSect="0048426B">
      <w:pgSz w:w="11906" w:h="16838"/>
      <w:pgMar w:top="57" w:right="57" w:bottom="57" w:left="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937"/>
    <w:rsid w:val="00460A3D"/>
    <w:rsid w:val="0048426B"/>
    <w:rsid w:val="0053423F"/>
    <w:rsid w:val="005C2937"/>
    <w:rsid w:val="00AE28E4"/>
    <w:rsid w:val="00C265E5"/>
    <w:rsid w:val="00D137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0123"/>
  <w15:chartTrackingRefBased/>
  <w15:docId w15:val="{5529AA83-E155-497C-8F74-4E5BBCDBA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60A3D"/>
    <w:rPr>
      <w:color w:val="0563C1"/>
      <w:u w:val="single"/>
    </w:rPr>
  </w:style>
  <w:style w:type="table" w:styleId="Grilledutableau">
    <w:name w:val="Table Grid"/>
    <w:basedOn w:val="TableauNormal"/>
    <w:uiPriority w:val="39"/>
    <w:rsid w:val="00460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460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10220">
      <w:bodyDiv w:val="1"/>
      <w:marLeft w:val="0"/>
      <w:marRight w:val="0"/>
      <w:marTop w:val="0"/>
      <w:marBottom w:val="0"/>
      <w:divBdr>
        <w:top w:val="none" w:sz="0" w:space="0" w:color="auto"/>
        <w:left w:val="none" w:sz="0" w:space="0" w:color="auto"/>
        <w:bottom w:val="none" w:sz="0" w:space="0" w:color="auto"/>
        <w:right w:val="none" w:sz="0" w:space="0" w:color="auto"/>
      </w:divBdr>
    </w:div>
    <w:div w:id="846554516">
      <w:bodyDiv w:val="1"/>
      <w:marLeft w:val="0"/>
      <w:marRight w:val="0"/>
      <w:marTop w:val="0"/>
      <w:marBottom w:val="0"/>
      <w:divBdr>
        <w:top w:val="none" w:sz="0" w:space="0" w:color="auto"/>
        <w:left w:val="none" w:sz="0" w:space="0" w:color="auto"/>
        <w:bottom w:val="none" w:sz="0" w:space="0" w:color="auto"/>
        <w:right w:val="none" w:sz="0" w:space="0" w:color="auto"/>
      </w:divBdr>
    </w:div>
    <w:div w:id="11596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nk.worldbank.org/source/world-development-indicators" TargetMode="External"/><Relationship Id="rId13" Type="http://schemas.openxmlformats.org/officeDocument/2006/relationships/hyperlink" Target="https://data.imf.org/?sk=F8032E80-B36C-43B1-AC26-493C5B1CD33B"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atabank.worldbank.org/source/world-development-indicators" TargetMode="External"/><Relationship Id="rId12" Type="http://schemas.openxmlformats.org/officeDocument/2006/relationships/hyperlink" Target="https://web.pdx.edu/~ito/Chinn-Ito_website.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imf.org/en/Publications/SPROLLs/world-economic-outlook-databases" TargetMode="External"/><Relationship Id="rId1" Type="http://schemas.openxmlformats.org/officeDocument/2006/relationships/styles" Target="styles.xml"/><Relationship Id="rId6" Type="http://schemas.openxmlformats.org/officeDocument/2006/relationships/hyperlink" Target="https://databank.worldbank.org/source/world-development-indicators" TargetMode="External"/><Relationship Id="rId11" Type="http://schemas.openxmlformats.org/officeDocument/2006/relationships/hyperlink" Target="http://www.cepii.fr/CEPII/fr/bdd_modele/bdd_modele_item.asp?id=19" TargetMode="External"/><Relationship Id="rId5" Type="http://schemas.openxmlformats.org/officeDocument/2006/relationships/hyperlink" Target="https://databank.worldbank.org/source/world-development-indicators" TargetMode="External"/><Relationship Id="rId15" Type="http://schemas.openxmlformats.org/officeDocument/2006/relationships/hyperlink" Target="https://www.rug.nl/ggdc/productivity/pwt/?lang=en" TargetMode="External"/><Relationship Id="rId10" Type="http://schemas.openxmlformats.org/officeDocument/2006/relationships/hyperlink" Target="https://databank.worldbank.org/source/world-development-indicators" TargetMode="External"/><Relationship Id="rId4" Type="http://schemas.openxmlformats.org/officeDocument/2006/relationships/hyperlink" Target="https://www.imf.org/" TargetMode="External"/><Relationship Id="rId9" Type="http://schemas.openxmlformats.org/officeDocument/2006/relationships/hyperlink" Target="https://doi.org/10.7910/DVN/4YHTPU" TargetMode="External"/><Relationship Id="rId14" Type="http://schemas.openxmlformats.org/officeDocument/2006/relationships/hyperlink" Target="https://databank.worldbank.org/source/world-development-indicato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889</Words>
  <Characters>4893</Characters>
  <Application>Microsoft Office Word</Application>
  <DocSecurity>0</DocSecurity>
  <Lines>40</Lines>
  <Paragraphs>11</Paragraphs>
  <ScaleCrop>false</ScaleCrop>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Gilbert Nikiema</dc:creator>
  <cp:keywords/>
  <dc:description/>
  <cp:lastModifiedBy>Richard Gilbert Nikiema</cp:lastModifiedBy>
  <cp:revision>6</cp:revision>
  <dcterms:created xsi:type="dcterms:W3CDTF">2023-01-21T17:37:00Z</dcterms:created>
  <dcterms:modified xsi:type="dcterms:W3CDTF">2023-01-21T22:57:00Z</dcterms:modified>
</cp:coreProperties>
</file>