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5276"/>
          <w:sz w:val="56"/>
          <w:szCs w:val="56"/>
        </w:rPr>
        <w:t xml:space="preserve">ONLINE RETAIL</w:t>
      </w:r>
    </w:p>
    <w:p>
      <w:pPr>
        <w:spacing w:after="160"/>
        <w:jc w:val="center"/>
      </w:pPr>
      <w:r>
        <w:rPr>
          <w:color w:val="2874A6"/>
          <w:sz w:val="34"/>
          <w:szCs w:val="34"/>
        </w:rPr>
        <w:t xml:space="preserve">Customer Intelligence &amp; Churn Analysis</w:t>
      </w:r>
    </w:p>
    <w:p>
      <w:pPr>
        <w:pBdr>
          <w:bottom w:val="single" w:color="1A5276" w:sz="8" w:space="4"/>
        </w:pBdr>
        <w:spacing w:after="480"/>
        <w:jc w:val="center"/>
      </w:pPr>
      <w:r>
        <w:rPr>
          <w:i/>
          <w:iCs/>
          <w:color w:val="7F8C8D"/>
          <w:sz w:val="22"/>
          <w:szCs w:val="22"/>
        </w:rPr>
        <w:t xml:space="preserve">Advanced EDA  |  RFM Segmentation  |  Cohort Retention  |  ML Churn Prediction  |  CLV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AUC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4,338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18,532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£8,911,408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33.4%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1.000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Dataset: UCI Online Retail  |  Period: December 2010 – December 2011  |  37 Countries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1. Dataset Overview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The Online Retail dataset contains all transactions from a UK-based e-commerce gift retailer over a 13-month period. After removing cancellations, zero-quantity rows, and records with missing customer IDs, 397,884 clean transactions remain across 4,338 unique customers.</w:t>
      </w:r>
    </w:p>
    <w:p>
      <w:pPr>
        <w:spacing w:after="120"/>
      </w:pPr>
      <w:r>
        <w:t xml:space="preserve"/>
      </w:r>
    </w:p>
    <w:p>
      <w:pPr>
        <w:pBdr>
          <w:bottom w:val="single" w:color="1A5276" w:sz="6" w:space="1"/>
        </w:pBdr>
        <w:spacing w:after="120" w:before="240"/>
      </w:pPr>
      <w:r>
        <w:rPr>
          <w:b/>
          <w:bCs/>
          <w:color w:val="1A5276"/>
          <w:sz w:val="28"/>
          <w:szCs w:val="28"/>
        </w:rPr>
        <w:t xml:space="preserve">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Raw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541,909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Clean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397,884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4,338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Unique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3,877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Countries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01 Dec 2010 – 09 Dec 2011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£8,911,408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£480.87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Exploratory Data Analysis</w:t>
      </w:r>
    </w:p>
    <w:p>
      <w:pPr>
        <w:pStyle w:val="Heading2"/>
      </w:pPr>
      <w:r>
        <w:t xml:space="preserve">2.1 Revenue Trends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Monthly revenue shows strong seasonality with a clear Q4 spike. November 2011 was the peak month at £1.16M — a 72% uplift over the dataset average.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(£)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(£)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Dec 2010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£572,714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Jul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£600,091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Jan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£569,445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Aug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£645,344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Feb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£447,137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Sep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£952,838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Mar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£595,501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Oct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£1,039,319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Apr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£469,200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Nov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£1,161,817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May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£678,595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Dec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£518,193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Jun 2011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£661,214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Revenue by Country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The United Kingdom accounts for 82% of total revenue. The Netherlands, Ireland, Germany, and France represent the next tier of growth opportunity.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2808"/>
        <w:gridCol w:w="2340"/>
      </w:tblGrid>
      <w:tr>
        <w:trPr>
          <w:tblHeader/>
        </w:trPr>
        <w:tc>
          <w:tcPr>
            <w:tcW w:type="dxa" w:w="93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7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8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(£)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£7,308,392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82.0%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£285,446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EIRE (Ireland)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£265,546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Germany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£228,867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2.6%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£209,024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2.3%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Australia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£138,521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1.6%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Spain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£61,577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0.7%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£56,444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0.6%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Belgium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£41,196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Sweden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£38,378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0.4%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Top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(£)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Paper Craft, Little Birdie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£168,470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Regency Cakestand 3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£142,593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White Hanging Heart T-Light 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£100,448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Jumbo Bag Red Retrospot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£85,221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Medium Ceramic Top Storage Jar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£81,417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£77,804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Party Bunting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£68,844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Assorted Colour Bird Ornament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£56,580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RFM Segmentation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RFM (Recency, Frequency, Monetary) analysis scores each customer on three dimensions and groups them into actionable business segments. Recency measures days since last purchase; Frequency counts unique orders; Monetary sums total revenue.</w:t>
      </w:r>
    </w:p>
    <w:p>
      <w:pPr>
        <w:spacing w:after="120"/>
      </w:pPr>
      <w:r>
        <w:t xml:space="preserve"/>
      </w:r>
    </w:p>
    <w:p>
      <w:pPr>
        <w:pBdr>
          <w:bottom w:val="single" w:color="1A5276" w:sz="6" w:space="1"/>
        </w:pBdr>
        <w:spacing w:after="120" w:before="240"/>
      </w:pPr>
      <w:r>
        <w:rPr>
          <w:b/>
          <w:bCs/>
          <w:color w:val="1A5276"/>
          <w:sz w:val="28"/>
          <w:szCs w:val="28"/>
        </w:rPr>
        <w:t xml:space="preserve">RFM Segment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60"/>
        <w:gridCol w:w="1760"/>
        <w:gridCol w:w="1120"/>
        <w:gridCol w:w="132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Revenue (£)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Recency (days)</w:t>
            </w:r>
          </w:p>
        </w:tc>
        <w:tc>
          <w:tcPr>
            <w:tcW w:type="dxa" w:w="1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Orders</w:t>
            </w:r>
          </w:p>
        </w:tc>
        <w:tc>
          <w:tcPr>
            <w:tcW w:type="dxa" w:w="13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 (£)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Champions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1,268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£5,398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9.9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£6,844,045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Loyal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843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£1,250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£1,053,431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Potential Loyalists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£699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87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1.9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£654,325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At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£314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171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£310,152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£163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268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£49,455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Champions (29% of customers) generate £6.8M — 77% of total revenue. Retaining this segment is the single highest-leverage action the business can take.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Cohort Retention Analysis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Cohort analysis groups customers by their first purchase month and tracks what percentage return in subsequent months. This reveals structural retention patterns independent of acquisition volume.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1080"/>
        <w:gridCol w:w="1080"/>
        <w:gridCol w:w="1080"/>
        <w:gridCol w:w="1080"/>
        <w:gridCol w:w="1080"/>
        <w:gridCol w:w="68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Cohort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0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4</w:t>
            </w:r>
          </w:p>
        </w:tc>
        <w:tc>
          <w:tcPr>
            <w:tcW w:type="dxa" w:w="1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5</w:t>
            </w:r>
          </w:p>
        </w:tc>
        <w:tc>
          <w:tcPr>
            <w:tcW w:type="dxa" w:w="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Dec 2010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36.6%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32.3%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38.4%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36.3%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39.8%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36.3%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Jan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22.1%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26.6%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23.0%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32.1%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28.8%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24.7%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Feb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18.7%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18.7%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28.4%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27.1%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24.7%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25.3%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Mar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15.0%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25.2%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19.9%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22.4%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16.8%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26.8%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Apr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21.3%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20.3%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21.0%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19.7%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22.7%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21.7%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May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19.0%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17.2%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17.2%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20.8%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23.2%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26.4%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Jun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17.4%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15.7%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26.5%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23.1%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33.5%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Sep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23.4%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30.1%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11.4%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Oct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24.0%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11.5%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Nov 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11.2%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Average Month-1 retention: 20.6%. The December 2010 cohort has the highest long-run retention (36.6% Month-1) and is the benchmark cohort for acquisition quality.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Machine Learning: Churn Prediction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Churn is defined as no purchase in the final 90 days of the dataset window (12 Sep – 09 Dec 2011). 33.4% of customers meet this definition.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rPr>
          <w:tblHeader/>
        </w:trPr>
        <w:tc>
          <w:tcPr>
            <w:tcW w:type="dxa" w:w="28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3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63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3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 (Churn)</w:t>
            </w:r>
          </w:p>
        </w:tc>
        <w:tc>
          <w:tcPr>
            <w:tcW w:type="dxa" w:w="163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 (Churn)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1.000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1.000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7F8C8D"/>
          <w:sz w:val="22"/>
          <w:szCs w:val="22"/>
        </w:rPr>
        <w:t xml:space="preserve">Note: Perfect model performance reflects that the churn definition (90-day window) is directly encoded in the Recency feature. In a production system, churn should be predicted before the event occurs — use a rolling 60-day lead window with the model trained on Recency/Frequency/Monetary at T-60 days.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5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Recency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87.0%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Days since last purchase — strongest churn 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7.3%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Order count — more orders = stickier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Monetary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5.7%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Total spend — moderate predictor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Churn Rate by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5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Suppression list — cost of win-back exceeds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At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~85%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Priority 1 — urgent win-back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Potential Loyalists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~40%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Priority 2 — re-engagement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Loyal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Maintain — satisfaction surveys, loyalty rewards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Champions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Protect — VIP programme, dedicated support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Customer Lifetime Value</w:t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CLV is estimated as: (Total Revenue / Active Months) × 12. This gives a 12-month forward projection per customer based on their historical spend rate.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12-Month CLV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Champions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£7,725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Highest priority to retain — VIP treatment justified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Potential Loyalists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£5,689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High upside — guide to second purchase quickly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Loyal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£5,015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Stable revenue — nurture with consistency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At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£3,434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Recoverable — win-back ROI positive if acted on quickly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£1,959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Low CLV — only re-engage with very low-cost channels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2C3E50"/>
          <w:sz w:val="22"/>
          <w:szCs w:val="22"/>
        </w:rPr>
        <w:t xml:space="preserve">Overall average CLV: £5,379 | Top 20% CLV threshold: £5,977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Business Recommendations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UK Revenue Concentration Risk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82% of revenue from UK alone. Netherlands (£285K), Germany (£229K), and France (£209K) show strong signals. Localise marketing and currency for these three markets immediately.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Q4 Seasonality — Prepare Early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Nov 2011 hit £1.16M — 72% above average. Stock, staffing, and marketing must be locked in by October. Build a Q4 activation calendar.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Protect Your Champions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1,268 customers generate £6.8M (77% of revenue). Introduce a VIP programme: early access to products, dedicated account manager, exclusive bundles.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Win Back At-Risk Customers Now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988 At-Risk customers with avg £314 revenue. A personalised win-back email at Day 90 inactivity with a 10% offer costs little but can recover £310K in revenue.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Automate Recency Triggers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Recency drives 87% of churn prediction. Set automated alerts: Day 30 nudge, Day 60 offer, Day 90 win-back. This alone can reduce churn rate meaningfully.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Lift Average Order Value on Top Products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Paper Craft Birdie (£168K) and Regency Cakestand (£143K) are revenue stars. Bundle each with 2–3 complementary items and test a 'Complete the Set' upsell at checkout.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Replicate the Dec 2010 Cohort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The Dec 2010 cohort has 36.6% Month-1 retention vs 20.6% average. Investigate the acquisition channel (likely a specific campaign or source) and reallocate budget toward it.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Improve New Customer Onboarding</w:t>
            </w:r>
          </w:p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Most cohorts drop to 15–22% retention by Month 1. A structured onboarding sequence (welcome email, product discovery, social proof) within the first 14 days can lift this rate significantly.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Tools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3.10+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Core analysis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Data loading, cleaning, transformation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NumPy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1.23+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Numerical computation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1.1+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Random Forest, Logistic Regression, 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Chart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Seaborn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0.12+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Heatmaps and styled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Interactive exploration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jc w:val="right"/>
    </w:pPr>
    <w:r>
      <w:rPr>
        <w:i/>
        <w:iCs/>
        <w:color w:val="7F8C8D"/>
        <w:sz w:val="18"/>
        <w:szCs w:val="18"/>
      </w:rPr>
      <w:t xml:space="preserve">Online Retail — Customer Intelligence Report  |  2010–2011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2026-04-18T09:06:35.255Z</dcterms:created>
  <dcterms:modified xsi:type="dcterms:W3CDTF">2026-04-18T09:06:35.255Z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