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F4E79"/>
          <w:sz w:val="56"/>
          <w:szCs w:val="56"/>
        </w:rPr>
        <w:t xml:space="preserve">Marketing Funnel &amp;</w:t>
      </w:r>
    </w:p>
    <w:p>
      <w:pPr>
        <w:spacing w:after="160" w:before="0"/>
      </w:pPr>
      <w:r>
        <w:rPr>
          <w:rFonts w:ascii="Arial" w:cs="Arial" w:eastAsia="Arial" w:hAnsi="Arial"/>
          <w:b/>
          <w:bCs/>
          <w:color w:val="2E75B6"/>
          <w:sz w:val="56"/>
          <w:szCs w:val="56"/>
        </w:rPr>
        <w:t xml:space="preserve">Conversion Performance Analysis</w:t>
      </w:r>
    </w:p>
    <w:p>
      <w:pPr>
        <w:pBdr>
          <w:bottom w:val="single" w:color="2E75B6" w:sz="12" w:space="4"/>
        </w:pBdr>
        <w:spacing w:after="240" w:before="0"/>
      </w:pPr>
    </w:p>
    <w:p>
      <w:pPr>
        <w:spacing w:after="80" w:before="0"/>
      </w:pPr>
      <w:r>
        <w:rPr>
          <w:rFonts w:ascii="Arial" w:cs="Arial" w:eastAsia="Arial" w:hAnsi="Arial"/>
          <w:color w:val="595959"/>
          <w:sz w:val="24"/>
          <w:szCs w:val="24"/>
        </w:rPr>
        <w:t xml:space="preserve">30-Day Performance Report  |  April 2026</w:t>
      </w:r>
    </w:p>
    <w:p>
      <w:pPr>
        <w:spacing w:after="720" w:before="0"/>
      </w:pPr>
      <w:r>
        <w:rPr>
          <w:rFonts w:ascii="Arial" w:cs="Arial" w:eastAsia="Arial" w:hAnsi="Arial"/>
          <w:color w:val="595959"/>
          <w:sz w:val="22"/>
          <w:szCs w:val="22"/>
        </w:rPr>
        <w:t xml:space="preserve">Analytics Team  |  Growth &amp; Marketing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40"/>
              <w:right w:type="dxa" w:w="120"/>
            </w:tcMar>
          </w:tcPr>
          <w:p>
            <w:pPr>
              <w:jc w:val="center"/>
            </w:pPr>
            <w:r>
              <w:rPr>
                <w:rFonts w:ascii="Arial" w:cs="Arial" w:eastAsia="Arial" w:hAnsi="Arial"/>
                <w:b/>
                <w:bCs/>
                <w:color w:val="FFFFFF"/>
                <w:sz w:val="20"/>
                <w:szCs w:val="20"/>
              </w:rPr>
              <w:t xml:space="preserve">Total Visitors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40"/>
              <w:right w:type="dxa" w:w="120"/>
            </w:tcMar>
          </w:tcPr>
          <w:p>
            <w:pPr>
              <w:jc w:val="center"/>
            </w:pPr>
            <w:r>
              <w:rPr>
                <w:rFonts w:ascii="Arial" w:cs="Arial" w:eastAsia="Arial" w:hAnsi="Arial"/>
                <w:b/>
                <w:bCs/>
                <w:color w:val="FFFFFF"/>
                <w:sz w:val="20"/>
                <w:szCs w:val="20"/>
              </w:rPr>
              <w:t xml:space="preserve">Leads Generated</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40"/>
              <w:right w:type="dxa" w:w="120"/>
            </w:tcMar>
          </w:tcPr>
          <w:p>
            <w:pPr>
              <w:jc w:val="center"/>
            </w:pPr>
            <w:r>
              <w:rPr>
                <w:rFonts w:ascii="Arial" w:cs="Arial" w:eastAsia="Arial" w:hAnsi="Arial"/>
                <w:b/>
                <w:bCs/>
                <w:color w:val="FFFFFF"/>
                <w:sz w:val="20"/>
                <w:szCs w:val="20"/>
              </w:rPr>
              <w:t xml:space="preserve">MQLs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40"/>
              <w:right w:type="dxa" w:w="120"/>
            </w:tcMar>
          </w:tcPr>
          <w:p>
            <w:pPr>
              <w:jc w:val="center"/>
            </w:pPr>
            <w:r>
              <w:rPr>
                <w:rFonts w:ascii="Arial" w:cs="Arial" w:eastAsia="Arial" w:hAnsi="Arial"/>
                <w:b/>
                <w:bCs/>
                <w:color w:val="FFFFFF"/>
                <w:sz w:val="20"/>
                <w:szCs w:val="20"/>
              </w:rPr>
              <w:t xml:space="preserve">Customers Won</w:t>
            </w:r>
          </w:p>
        </w:tc>
      </w:tr>
      <w:tr>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40"/>
              <w:right w:type="dxa" w:w="120"/>
            </w:tcMar>
          </w:tcPr>
          <w:p>
            <w:pPr>
              <w:jc w:val="center"/>
            </w:pPr>
            <w:r>
              <w:rPr>
                <w:rFonts w:ascii="Arial" w:cs="Arial" w:eastAsia="Arial" w:hAnsi="Arial"/>
                <w:b/>
                <w:bCs/>
                <w:color w:val="1F4E79"/>
                <w:sz w:val="32"/>
                <w:szCs w:val="32"/>
              </w:rPr>
              <w:t xml:space="preserve">124,500</w:t>
            </w:r>
          </w:p>
        </w:tc>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40"/>
              <w:right w:type="dxa" w:w="120"/>
            </w:tcMar>
          </w:tcPr>
          <w:p>
            <w:pPr>
              <w:jc w:val="center"/>
            </w:pPr>
            <w:r>
              <w:rPr>
                <w:rFonts w:ascii="Arial" w:cs="Arial" w:eastAsia="Arial" w:hAnsi="Arial"/>
                <w:b/>
                <w:bCs/>
                <w:color w:val="1F4E79"/>
                <w:sz w:val="32"/>
                <w:szCs w:val="32"/>
              </w:rPr>
              <w:t xml:space="preserve">6,842</w:t>
            </w:r>
          </w:p>
        </w:tc>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40"/>
              <w:right w:type="dxa" w:w="120"/>
            </w:tcMar>
          </w:tcPr>
          <w:p>
            <w:pPr>
              <w:jc w:val="center"/>
            </w:pPr>
            <w:r>
              <w:rPr>
                <w:rFonts w:ascii="Arial" w:cs="Arial" w:eastAsia="Arial" w:hAnsi="Arial"/>
                <w:b/>
                <w:bCs/>
                <w:color w:val="1F4E79"/>
                <w:sz w:val="32"/>
                <w:szCs w:val="32"/>
              </w:rPr>
              <w:t xml:space="preserve">1,710</w:t>
            </w:r>
          </w:p>
        </w:tc>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40"/>
              <w:right w:type="dxa" w:w="120"/>
            </w:tcMar>
          </w:tcPr>
          <w:p>
            <w:pPr>
              <w:jc w:val="center"/>
            </w:pPr>
            <w:r>
              <w:rPr>
                <w:rFonts w:ascii="Arial" w:cs="Arial" w:eastAsia="Arial" w:hAnsi="Arial"/>
                <w:b/>
                <w:bCs/>
                <w:color w:val="1F4E79"/>
                <w:sz w:val="32"/>
                <w:szCs w:val="32"/>
              </w:rPr>
              <w:t xml:space="preserve">114</w:t>
            </w:r>
          </w:p>
        </w:tc>
      </w:tr>
      <w:tr>
        <w:tc>
          <w:tcPr>
            <w:tcW w:type="dxa" w:w="2340"/>
            <w:tcBorders>
              <w:top w:val="single" w:color="CCCCCC" w:sz="4"/>
              <w:left w:val="single" w:color="CCCCCC" w:sz="4"/>
              <w:bottom w:val="single" w:color="CCCCCC" w:sz="4"/>
              <w:right w:val="single" w:color="CCCCCC" w:sz="4"/>
            </w:tcBorders>
            <w:shd w:fill="E2EFDA" w:val="clear"/>
            <w:tcMar>
              <w:top w:type="dxa" w:w="40"/>
              <w:left w:type="dxa" w:w="120"/>
              <w:bottom w:type="dxa" w:w="80"/>
              <w:right w:type="dxa" w:w="120"/>
            </w:tcMar>
          </w:tcPr>
          <w:p>
            <w:pPr>
              <w:jc w:val="center"/>
            </w:pPr>
            <w:r>
              <w:rPr>
                <w:rFonts w:ascii="Arial" w:cs="Arial" w:eastAsia="Arial" w:hAnsi="Arial"/>
                <w:color w:val="1E7145"/>
                <w:sz w:val="18"/>
                <w:szCs w:val="18"/>
              </w:rPr>
              <w:t xml:space="preserve">+8.2% MoM</w:t>
            </w:r>
          </w:p>
        </w:tc>
        <w:tc>
          <w:tcPr>
            <w:tcW w:type="dxa" w:w="2340"/>
            <w:tcBorders>
              <w:top w:val="single" w:color="CCCCCC" w:sz="4"/>
              <w:left w:val="single" w:color="CCCCCC" w:sz="4"/>
              <w:bottom w:val="single" w:color="CCCCCC" w:sz="4"/>
              <w:right w:val="single" w:color="CCCCCC" w:sz="4"/>
            </w:tcBorders>
            <w:shd w:fill="E2EFDA" w:val="clear"/>
            <w:tcMar>
              <w:top w:type="dxa" w:w="40"/>
              <w:left w:type="dxa" w:w="120"/>
              <w:bottom w:type="dxa" w:w="80"/>
              <w:right w:type="dxa" w:w="120"/>
            </w:tcMar>
          </w:tcPr>
          <w:p>
            <w:pPr>
              <w:jc w:val="center"/>
            </w:pPr>
            <w:r>
              <w:rPr>
                <w:rFonts w:ascii="Arial" w:cs="Arial" w:eastAsia="Arial" w:hAnsi="Arial"/>
                <w:color w:val="1E7145"/>
                <w:sz w:val="18"/>
                <w:szCs w:val="18"/>
              </w:rPr>
              <w:t xml:space="preserve">+12.4% MoM</w:t>
            </w:r>
          </w:p>
        </w:tc>
        <w:tc>
          <w:tcPr>
            <w:tcW w:type="dxa" w:w="2340"/>
            <w:tcBorders>
              <w:top w:val="single" w:color="CCCCCC" w:sz="4"/>
              <w:left w:val="single" w:color="CCCCCC" w:sz="4"/>
              <w:bottom w:val="single" w:color="CCCCCC" w:sz="4"/>
              <w:right w:val="single" w:color="CCCCCC" w:sz="4"/>
            </w:tcBorders>
            <w:shd w:fill="E2EFDA" w:val="clear"/>
            <w:tcMar>
              <w:top w:type="dxa" w:w="40"/>
              <w:left w:type="dxa" w:w="120"/>
              <w:bottom w:type="dxa" w:w="80"/>
              <w:right w:type="dxa" w:w="120"/>
            </w:tcMar>
          </w:tcPr>
          <w:p>
            <w:pPr>
              <w:jc w:val="center"/>
            </w:pPr>
            <w:r>
              <w:rPr>
                <w:rFonts w:ascii="Arial" w:cs="Arial" w:eastAsia="Arial" w:hAnsi="Arial"/>
                <w:color w:val="1E7145"/>
                <w:sz w:val="18"/>
                <w:szCs w:val="18"/>
              </w:rPr>
              <w:t xml:space="preserve">+3.1% MoM</w:t>
            </w:r>
          </w:p>
        </w:tc>
        <w:tc>
          <w:tcPr>
            <w:tcW w:type="dxa" w:w="2340"/>
            <w:tcBorders>
              <w:top w:val="single" w:color="CCCCCC" w:sz="4"/>
              <w:left w:val="single" w:color="CCCCCC" w:sz="4"/>
              <w:bottom w:val="single" w:color="CCCCCC" w:sz="4"/>
              <w:right w:val="single" w:color="CCCCCC" w:sz="4"/>
            </w:tcBorders>
            <w:shd w:fill="FCE4D6" w:val="clear"/>
            <w:tcMar>
              <w:top w:type="dxa" w:w="40"/>
              <w:left w:type="dxa" w:w="120"/>
              <w:bottom w:type="dxa" w:w="80"/>
              <w:right w:type="dxa" w:w="120"/>
            </w:tcMar>
          </w:tcPr>
          <w:p>
            <w:pPr>
              <w:jc w:val="center"/>
            </w:pPr>
            <w:r>
              <w:rPr>
                <w:rFonts w:ascii="Arial" w:cs="Arial" w:eastAsia="Arial" w:hAnsi="Arial"/>
                <w:color w:val="C00000"/>
                <w:sz w:val="18"/>
                <w:szCs w:val="18"/>
              </w:rPr>
              <w:t xml:space="preserve">-2.3% MoM</w:t>
            </w:r>
          </w:p>
        </w:tc>
      </w:tr>
    </w:tbl>
    <w:p>
      <w:pPr>
        <w:spacing w:after="0" w:before="240"/>
      </w:pPr>
      <w:r>
        <w:t xml:space="preserve"/>
      </w:r>
    </w:p>
    <w:p>
      <w:pPr>
        <w:spacing w:after="120" w:before="240"/>
      </w:pPr>
      <w:r>
        <w:rPr>
          <w:rFonts w:ascii="Arial" w:cs="Arial" w:eastAsia="Arial" w:hAnsi="Arial"/>
          <w:b/>
          <w:bCs/>
          <w:color w:val="1F4E79"/>
          <w:sz w:val="26"/>
          <w:szCs w:val="26"/>
        </w:rPr>
        <w:t xml:space="preserve">Executive Summary</w:t>
      </w:r>
    </w:p>
    <w:p>
      <w:pPr>
        <w:spacing w:after="80" w:before="60"/>
      </w:pPr>
      <w:r>
        <w:rPr>
          <w:rFonts w:ascii="Arial" w:cs="Arial" w:eastAsia="Arial" w:hAnsi="Arial"/>
          <w:color w:val="2C2C2C"/>
          <w:sz w:val="22"/>
          <w:szCs w:val="22"/>
        </w:rPr>
        <w:t xml:space="preserve">This report presents a comprehensive analysis of our marketing funnel performance over the past 30 days. We generated 124,500 visitors and converted 114 of them into paying customers — an overall end-to-end conversion rate of 0.09%. While lead volume is growing (+12.4%), a significant drop-off at the top of the funnel and poor efficiency in Social Paid are limiting revenue outcomes.</w:t>
      </w:r>
    </w:p>
    <w:p>
      <w:pPr>
        <w:spacing w:after="80" w:before="60"/>
      </w:pPr>
      <w:r>
        <w:rPr>
          <w:rFonts w:ascii="Arial" w:cs="Arial" w:eastAsia="Arial" w:hAnsi="Arial"/>
          <w:color w:val="2C2C2C"/>
          <w:sz w:val="22"/>
          <w:szCs w:val="22"/>
        </w:rPr>
        <w:t xml:space="preserve">Three critical issues demand immediate action: (1) the Visitor-to-Lead conversion rate is below industry benchmark by ~2.5 percentage points, (2) 60% of MQLs fail to become SQLs, and (3) Social Paid is generating volume at 4x the cost-per-customer of Email. Addressing these in priority order can unlock an estimated 25–40% improvement in customer acquisition within 60 days.</w:t>
      </w:r>
    </w:p>
    <w:p>
      <w:pPr>
        <w:spacing w:after="0" w:before="200"/>
      </w:pPr>
      <w:r>
        <w:t xml:space="preserve"/>
      </w:r>
    </w:p>
    <w:p>
      <w:pPr>
        <w:spacing w:after="0" w:before="0"/>
      </w:pPr>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Full Funnel Conversion Analysis</w:t>
      </w:r>
    </w:p>
    <w:p>
      <w:pPr>
        <w:spacing w:after="80" w:before="60"/>
      </w:pPr>
      <w:r>
        <w:rPr>
          <w:rFonts w:ascii="Arial" w:cs="Arial" w:eastAsia="Arial" w:hAnsi="Arial"/>
          <w:color w:val="2C2C2C"/>
          <w:sz w:val="22"/>
          <w:szCs w:val="22"/>
        </w:rPr>
        <w:t xml:space="preserve">The table below maps every stage of our funnel from first visit to closed customer. Stage conversion % shows the rate from the immediately preceding stage; Overall conversion % shows the rate relative to total visitors.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Funnel Stage</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 Conv. %</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Conv. %</w:t>
            </w:r>
          </w:p>
        </w:tc>
        <w:tc>
          <w:tcPr>
            <w:tcW w:type="dxa" w:w="2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left"/>
            </w:pPr>
            <w:r>
              <w:rPr>
                <w:rFonts w:ascii="Arial" w:cs="Arial" w:eastAsia="Arial" w:hAnsi="Arial"/>
                <w:color w:val="1F4E79"/>
                <w:sz w:val="20"/>
                <w:szCs w:val="20"/>
              </w:rPr>
              <w:t xml:space="preserve">Visitors</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124,500</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w:t>
            </w:r>
          </w:p>
        </w:tc>
        <w:tc>
          <w:tcPr>
            <w:tcW w:type="dxa" w:w="160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100%</w:t>
            </w:r>
          </w:p>
        </w:tc>
        <w:tc>
          <w:tcPr>
            <w:tcW w:type="dxa" w:w="256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left"/>
            </w:pPr>
            <w:r>
              <w:rPr>
                <w:rFonts w:ascii="Arial" w:cs="Arial" w:eastAsia="Arial" w:hAnsi="Arial"/>
                <w:color w:val="1F4E79"/>
                <w:sz w:val="20"/>
                <w:szCs w:val="20"/>
              </w:rPr>
              <w:t xml:space="preserve">Entry point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Leads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6,842</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5.49%</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5.49%</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Top-of-funnel capture</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MQLs</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1,710</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24.99%</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1.37%</w:t>
            </w:r>
          </w:p>
        </w:tc>
        <w:tc>
          <w:tcPr>
            <w:tcW w:type="dxa" w:w="25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Marketing qualified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SQLs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684</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39.98%</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0.55%</w:t>
            </w:r>
          </w:p>
        </w:tc>
        <w:tc>
          <w:tcPr>
            <w:tcW w:type="dxa" w:w="2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Sales qualified</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Opportunities</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342</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50.00%</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0.27%</w:t>
            </w:r>
          </w:p>
        </w:tc>
        <w:tc>
          <w:tcPr>
            <w:tcW w:type="dxa" w:w="25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Active pipeline</w:t>
            </w:r>
          </w:p>
        </w:tc>
      </w:tr>
      <w:tr>
        <w:tc>
          <w:tcPr>
            <w:tcW w:type="dxa" w:w="20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left"/>
            </w:pPr>
            <w:r>
              <w:rPr>
                <w:rFonts w:ascii="Arial" w:cs="Arial" w:eastAsia="Arial" w:hAnsi="Arial"/>
                <w:color w:val="1E7145"/>
                <w:sz w:val="20"/>
                <w:szCs w:val="20"/>
              </w:rPr>
              <w:t xml:space="preserve">Customers Won</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color w:val="1E7145"/>
                <w:sz w:val="20"/>
                <w:szCs w:val="20"/>
              </w:rPr>
              <w:t xml:space="preserve">114</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color w:val="1E7145"/>
                <w:sz w:val="20"/>
                <w:szCs w:val="20"/>
              </w:rPr>
              <w:t xml:space="preserve">33.33%</w:t>
            </w:r>
          </w:p>
        </w:tc>
        <w:tc>
          <w:tcPr>
            <w:tcW w:type="dxa" w:w="16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color w:val="1E7145"/>
                <w:sz w:val="20"/>
                <w:szCs w:val="20"/>
              </w:rPr>
              <w:t xml:space="preserve">0.09%</w:t>
            </w:r>
          </w:p>
        </w:tc>
        <w:tc>
          <w:tcPr>
            <w:tcW w:type="dxa" w:w="25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left"/>
            </w:pPr>
            <w:r>
              <w:rPr>
                <w:rFonts w:ascii="Arial" w:cs="Arial" w:eastAsia="Arial" w:hAnsi="Arial"/>
                <w:color w:val="1E7145"/>
                <w:sz w:val="20"/>
                <w:szCs w:val="20"/>
              </w:rPr>
              <w:t xml:space="preserve">Revenue generated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CE4D6"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Critical Drop-Off: Visitor to Lead (94.5% lost)</w:t>
            </w:r>
          </w:p>
          <w:p>
            <w:pPr>
              <w:spacing w:after="40" w:before="0"/>
            </w:pPr>
            <w:r>
              <w:rPr>
                <w:rFonts w:ascii="Arial" w:cs="Arial" w:eastAsia="Arial" w:hAnsi="Arial"/>
                <w:color w:val="2C2C2C"/>
                <w:sz w:val="20"/>
                <w:szCs w:val="20"/>
              </w:rPr>
              <w:t xml:space="preserve">This is the single largest volume loss in the funnel. For every 100 visitors, only 5–6 become leads. The industry benchmark for B2B SaaS is 7–10%. Closing this gap alone could add 1,800+ additional leads per month at current traffic levels.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22"/>
                <w:szCs w:val="22"/>
              </w:rPr>
              <w:t xml:space="preserve">Secondary Drop-Off: MQL to SQL (60% lost)</w:t>
            </w:r>
          </w:p>
          <w:p>
            <w:pPr>
              <w:spacing w:after="40" w:before="0"/>
            </w:pPr>
            <w:r>
              <w:rPr>
                <w:rFonts w:ascii="Arial" w:cs="Arial" w:eastAsia="Arial" w:hAnsi="Arial"/>
                <w:color w:val="2C2C2C"/>
                <w:sz w:val="20"/>
                <w:szCs w:val="20"/>
              </w:rPr>
              <w:t xml:space="preserve">A 60% disqualification rate from MQL to SQL typically signals a mismatch between marketing's lead scoring model and sales' qualification criteria. This inflates MQL numbers without improving pipeline quality.</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Channel Performance &amp; Lead Quality</w:t>
      </w:r>
    </w:p>
    <w:p>
      <w:pPr>
        <w:spacing w:after="80" w:before="60"/>
      </w:pPr>
      <w:r>
        <w:rPr>
          <w:rFonts w:ascii="Arial" w:cs="Arial" w:eastAsia="Arial" w:hAnsi="Arial"/>
          <w:color w:val="2C2C2C"/>
          <w:sz w:val="22"/>
          <w:szCs w:val="22"/>
        </w:rPr>
        <w:t xml:space="preserve">Understanding not just how many leads each channel produces, but how well they convert downstream, is the foundation of efficient budget allocation. The table below ranks all six acquisition channels across volume, conversion rate, and a composite lead quality score (0–100).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Leads</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 Rate</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Quality Score</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Organic SEO</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2,340</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8.4%</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87/100</w:t>
            </w:r>
          </w:p>
        </w:tc>
        <w:tc>
          <w:tcPr>
            <w:tcW w:type="dxa" w:w="13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1E7145"/>
                <w:sz w:val="20"/>
                <w:szCs w:val="20"/>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Increase content production</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Paid Search</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1,820</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5.1%</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71/100</w:t>
            </w:r>
          </w:p>
        </w:tc>
        <w:tc>
          <w:tcPr>
            <w:tcW w:type="dxa" w:w="13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Medium</w:t>
            </w:r>
          </w:p>
        </w:tc>
        <w:tc>
          <w:tcPr>
            <w:tcW w:type="dxa" w:w="19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Refine keyword targeting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Email</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980</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11.2%</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93/100</w:t>
            </w:r>
          </w:p>
        </w:tc>
        <w:tc>
          <w:tcPr>
            <w:tcW w:type="dxa" w:w="13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1E7145"/>
                <w:sz w:val="20"/>
                <w:szCs w:val="20"/>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Scale nurture sequences</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Social Paid</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1,240</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2.8%</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44/100</w:t>
            </w:r>
          </w:p>
        </w:tc>
        <w:tc>
          <w:tcPr>
            <w:tcW w:type="dxa" w:w="130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Low</w:t>
            </w:r>
          </w:p>
        </w:tc>
        <w:tc>
          <w:tcPr>
            <w:tcW w:type="dxa" w:w="19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Reduce budget, improve creative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Referral</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310</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14.3%</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96/100</w:t>
            </w:r>
          </w:p>
        </w:tc>
        <w:tc>
          <w:tcPr>
            <w:tcW w:type="dxa" w:w="130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1E7145"/>
                <w:sz w:val="20"/>
                <w:szCs w:val="20"/>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Build formal referral program</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Direct</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152</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6.7%</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val="false"/>
                <w:bCs w:val="false"/>
                <w:color w:val="2C2C2C"/>
                <w:sz w:val="20"/>
                <w:szCs w:val="20"/>
              </w:rPr>
              <w:t xml:space="preserve">78/100</w:t>
            </w:r>
          </w:p>
        </w:tc>
        <w:tc>
          <w:tcPr>
            <w:tcW w:type="dxa" w:w="130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Medium</w:t>
            </w:r>
          </w:p>
        </w:tc>
        <w:tc>
          <w:tcPr>
            <w:tcW w:type="dxa" w:w="19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Investigate branded intent</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2.1 Channel Insights</w:t>
      </w:r>
    </w:p>
    <w:p>
      <w:pPr>
        <w:pStyle w:val="ListParagraph"/>
        <w:numPr>
          <w:ilvl w:val="0"/>
          <w:numId w:val="2"/>
        </w:numPr>
        <w:spacing w:after="40" w:before="40"/>
      </w:pPr>
      <w:r>
        <w:rPr>
          <w:rFonts w:ascii="Arial" w:cs="Arial" w:eastAsia="Arial" w:hAnsi="Arial"/>
          <w:color w:val="2C2C2C"/>
          <w:sz w:val="22"/>
          <w:szCs w:val="22"/>
        </w:rPr>
        <w:t xml:space="preserve">Referral converts at 14.3% — nearly 3x the rate of Paid Search — but generates only 310 leads. This channel has enormous untapped potential and should be scaled with a formal referral program.</w:t>
      </w:r>
    </w:p>
    <w:p>
      <w:pPr>
        <w:pStyle w:val="ListParagraph"/>
        <w:numPr>
          <w:ilvl w:val="0"/>
          <w:numId w:val="2"/>
        </w:numPr>
        <w:spacing w:after="40" w:before="40"/>
      </w:pPr>
      <w:r>
        <w:rPr>
          <w:rFonts w:ascii="Arial" w:cs="Arial" w:eastAsia="Arial" w:hAnsi="Arial"/>
          <w:color w:val="2C2C2C"/>
          <w:sz w:val="22"/>
          <w:szCs w:val="22"/>
        </w:rPr>
        <w:t xml:space="preserve">Email delivers the best balance of quality (93/100) and conversion (11.2%) and should be the primary focus of nurture investment.</w:t>
      </w:r>
    </w:p>
    <w:p>
      <w:pPr>
        <w:pStyle w:val="ListParagraph"/>
        <w:numPr>
          <w:ilvl w:val="0"/>
          <w:numId w:val="2"/>
        </w:numPr>
        <w:spacing w:after="40" w:before="40"/>
      </w:pPr>
      <w:r>
        <w:rPr>
          <w:rFonts w:ascii="Arial" w:cs="Arial" w:eastAsia="Arial" w:hAnsi="Arial"/>
          <w:color w:val="2C2C2C"/>
          <w:sz w:val="22"/>
          <w:szCs w:val="22"/>
        </w:rPr>
        <w:t xml:space="preserve">Social Paid generates the second-highest lead volume (1,240) but the lowest quality (44/100) and worst conversion rate (2.8%). The cost-per-customer from this channel is approximately 4x that of Email.</w:t>
      </w:r>
    </w:p>
    <w:p>
      <w:pPr>
        <w:pStyle w:val="ListParagraph"/>
        <w:numPr>
          <w:ilvl w:val="0"/>
          <w:numId w:val="2"/>
        </w:numPr>
        <w:spacing w:after="40" w:before="40"/>
      </w:pPr>
      <w:r>
        <w:rPr>
          <w:rFonts w:ascii="Arial" w:cs="Arial" w:eastAsia="Arial" w:hAnsi="Arial"/>
          <w:color w:val="2C2C2C"/>
          <w:sz w:val="22"/>
          <w:szCs w:val="22"/>
        </w:rPr>
        <w:t xml:space="preserve">Organic SEO is the highest-volume quality channel and should be accelerated with increased content production and topic authority building.</w:t>
      </w:r>
    </w:p>
    <w:p>
      <w:pPr>
        <w:spacing w:after="0" w:before="160"/>
      </w:pPr>
      <w:r>
        <w:t xml:space="preserve"/>
      </w:r>
    </w:p>
    <w:p>
      <w:pPr>
        <w:spacing w:after="0" w:before="0"/>
      </w:pPr>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Monthly Conversion Trend</w:t>
      </w:r>
    </w:p>
    <w:p>
      <w:pPr>
        <w:spacing w:after="80" w:before="60"/>
      </w:pPr>
      <w:r>
        <w:rPr>
          <w:rFonts w:ascii="Arial" w:cs="Arial" w:eastAsia="Arial" w:hAnsi="Arial"/>
          <w:color w:val="2C2C2C"/>
          <w:sz w:val="22"/>
          <w:szCs w:val="22"/>
        </w:rPr>
        <w:t xml:space="preserve">The following data tracks three key conversion metrics across the past four months. Trends reveal seasonal patterns and campaign impacts.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Traffic → Lead %</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Lead → Customer %</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 Funnel %</w:t>
            </w:r>
          </w:p>
        </w:tc>
      </w:tr>
      <w:tr>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January 2026</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4.8%</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1.4%</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0.068%</w:t>
            </w:r>
          </w:p>
        </w:tc>
      </w:tr>
      <w:tr>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February 2026</w:t>
            </w:r>
          </w:p>
        </w:tc>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6.1%</w:t>
            </w:r>
          </w:p>
        </w:tc>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1.5%</w:t>
            </w:r>
          </w:p>
        </w:tc>
        <w:tc>
          <w:tcPr>
            <w:tcW w:type="dxa" w:w="234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0.091%</w:t>
            </w:r>
          </w:p>
        </w:tc>
      </w:tr>
      <w:tr>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March 2026</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5.2%</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1.9%</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0.099%</w:t>
            </w:r>
          </w:p>
        </w:tc>
      </w:tr>
      <w:tr>
        <w:tc>
          <w:tcPr>
            <w:tcW w:type="dxa" w:w="234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left"/>
            </w:pPr>
            <w:r>
              <w:rPr>
                <w:rFonts w:ascii="Arial" w:cs="Arial" w:eastAsia="Arial" w:hAnsi="Arial"/>
                <w:color w:val="1F4E79"/>
                <w:sz w:val="20"/>
                <w:szCs w:val="20"/>
              </w:rPr>
              <w:t xml:space="preserve">April 2026 (MTD)</w:t>
            </w:r>
          </w:p>
        </w:tc>
        <w:tc>
          <w:tcPr>
            <w:tcW w:type="dxa" w:w="234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5.5%</w:t>
            </w:r>
          </w:p>
        </w:tc>
        <w:tc>
          <w:tcPr>
            <w:tcW w:type="dxa" w:w="234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1.7%</w:t>
            </w:r>
          </w:p>
        </w:tc>
        <w:tc>
          <w:tcPr>
            <w:tcW w:type="dxa" w:w="2340"/>
            <w:tcBorders>
              <w:top w:val="single" w:color="CCCCCC" w:sz="4"/>
              <w:left w:val="single" w:color="CCCCCC" w:sz="4"/>
              <w:bottom w:val="single" w:color="CCCCCC" w:sz="4"/>
              <w:right w:val="single" w:color="CCCCCC" w:sz="4"/>
            </w:tcBorders>
            <w:shd w:fill="D5E8F0" w:val="clear"/>
            <w:tcMar>
              <w:top w:type="dxa" w:w="70"/>
              <w:left w:type="dxa" w:w="120"/>
              <w:bottom w:type="dxa" w:w="70"/>
              <w:right w:type="dxa" w:w="120"/>
            </w:tcMar>
          </w:tcPr>
          <w:p>
            <w:pPr>
              <w:jc w:val="center"/>
            </w:pPr>
            <w:r>
              <w:rPr>
                <w:rFonts w:ascii="Arial" w:cs="Arial" w:eastAsia="Arial" w:hAnsi="Arial"/>
                <w:color w:val="1F4E79"/>
                <w:sz w:val="20"/>
                <w:szCs w:val="20"/>
              </w:rPr>
              <w:t xml:space="preserve">0.094%</w:t>
            </w:r>
          </w:p>
        </w:tc>
      </w:tr>
    </w:tbl>
    <w:p>
      <w:pPr>
        <w:spacing w:after="0" w:before="120"/>
      </w:pPr>
      <w:r>
        <w:t xml:space="preserve"/>
      </w:r>
    </w:p>
    <w:p>
      <w:pPr>
        <w:spacing w:after="80" w:before="60"/>
      </w:pPr>
      <w:r>
        <w:rPr>
          <w:rFonts w:ascii="Arial" w:cs="Arial" w:eastAsia="Arial" w:hAnsi="Arial"/>
          <w:color w:val="2C2C2C"/>
          <w:sz w:val="22"/>
          <w:szCs w:val="22"/>
        </w:rPr>
        <w:t xml:space="preserve">February's Traffic-to-Lead spike to 6.1% aligns with the Q1 email campaign launch. March's Lead-to-Customer improvement to 1.9% reflects the new SQL qualification criteria implemented in mid-February. April is trending slightly below March — monitoring is recommended.</w:t>
      </w:r>
    </w:p>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Prioritized Recommendations</w:t>
      </w:r>
    </w:p>
    <w:p>
      <w:pPr>
        <w:spacing w:after="80" w:before="60"/>
      </w:pPr>
      <w:r>
        <w:rPr>
          <w:rFonts w:ascii="Arial" w:cs="Arial" w:eastAsia="Arial" w:hAnsi="Arial"/>
          <w:color w:val="2C2C2C"/>
          <w:sz w:val="22"/>
          <w:szCs w:val="22"/>
        </w:rPr>
        <w:t xml:space="preserve">The following six recommendations are ranked by impact and urgency. Actions are mapped to specific funnel stages and channels identified in this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360"/>
        <w:gridCol w:w="2000"/>
        <w:gridCol w:w="2400"/>
      </w:tblGrid>
      <w:tr>
        <w:trPr>
          <w:tblHeader/>
        </w:trP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 / Channel</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Visitor → Lead Gap</w:t>
            </w:r>
          </w:p>
        </w:tc>
        <w:tc>
          <w:tcPr>
            <w:tcW w:type="dxa" w:w="236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Only 5.5% of visitors convert — 50% below benchmark</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Add lead magnets to top-traffic blog posts; A/B test CTA copy and placement; introduce exit-intent popups</w:t>
            </w:r>
          </w:p>
        </w:tc>
      </w:tr>
      <w:tr>
        <w:tc>
          <w:tcPr>
            <w:tcW w:type="dxa" w:w="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MQL → SQL Leakage</w:t>
            </w:r>
          </w:p>
        </w:tc>
        <w:tc>
          <w:tcPr>
            <w:tcW w:type="dxa" w:w="236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60% of MQLs fail to qualify — scoring model mismatch</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Audit lead scoring thresholds with sales team; remove low-intent signals (e.g. content-only downloads)</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Social Paid Efficiency</w:t>
            </w:r>
          </w:p>
        </w:tc>
        <w:tc>
          <w:tcPr>
            <w:tcW w:type="dxa" w:w="2360"/>
            <w:tcBorders>
              <w:top w:val="single" w:color="CCCCCC" w:sz="4"/>
              <w:left w:val="single" w:color="CCCCCC" w:sz="4"/>
              <w:bottom w:val="single" w:color="CCCCCC" w:sz="4"/>
              <w:right w:val="single" w:color="CCCCCC" w:sz="4"/>
            </w:tcBorders>
            <w:shd w:fill="FCE4D6" w:val="clear"/>
            <w:tcMar>
              <w:top w:type="dxa" w:w="70"/>
              <w:left w:type="dxa" w:w="120"/>
              <w:bottom w:type="dxa" w:w="70"/>
              <w:right w:type="dxa" w:w="120"/>
            </w:tcMar>
          </w:tcPr>
          <w:p>
            <w:pPr>
              <w:jc w:val="center"/>
            </w:pPr>
            <w:r>
              <w:rPr>
                <w:rFonts w:ascii="Arial" w:cs="Arial" w:eastAsia="Arial" w:hAnsi="Arial"/>
                <w:b/>
                <w:bCs/>
                <w:color w:val="C00000"/>
                <w:sz w:val="20"/>
                <w:szCs w:val="20"/>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2.8% conv. rate vs 11.2% Email — CAC is 4x higher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Shift 30% of Social Paid budget to Email nurture and Referral program investment</w:t>
            </w:r>
          </w:p>
        </w:tc>
      </w:tr>
      <w:tr>
        <w:tc>
          <w:tcPr>
            <w:tcW w:type="dxa" w:w="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Late-Stage Deal Loss</w:t>
            </w:r>
          </w:p>
        </w:tc>
        <w:tc>
          <w:tcPr>
            <w:tcW w:type="dxa" w:w="236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66.7% opportunity-to-close loss — velocity problem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Add time-limited proposals; launch 24hr demo follow-up sequence; offer pilot program for hesitant prospects</w:t>
            </w:r>
          </w:p>
        </w:tc>
      </w:tr>
      <w:tr>
        <w:tc>
          <w:tcPr>
            <w:tcW w:type="dxa" w:w="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Referral Scale-Up</w:t>
            </w:r>
          </w:p>
        </w:tc>
        <w:tc>
          <w:tcPr>
            <w:tcW w:type="dxa" w:w="2360"/>
            <w:tcBorders>
              <w:top w:val="single" w:color="CCCCCC" w:sz="4"/>
              <w:left w:val="single" w:color="CCCCCC" w:sz="4"/>
              <w:bottom w:val="single" w:color="CCCCCC" w:sz="4"/>
              <w:right w:val="single" w:color="CCCCCC" w:sz="4"/>
            </w:tcBorders>
            <w:shd w:fill="FFF2CC" w:val="clear"/>
            <w:tcMar>
              <w:top w:type="dxa" w:w="70"/>
              <w:left w:type="dxa" w:w="120"/>
              <w:bottom w:type="dxa" w:w="70"/>
              <w:right w:type="dxa" w:w="120"/>
            </w:tcMar>
          </w:tcPr>
          <w:p>
            <w:pPr>
              <w:jc w:val="center"/>
            </w:pPr>
            <w:r>
              <w:rPr>
                <w:rFonts w:ascii="Arial" w:cs="Arial" w:eastAsia="Arial" w:hAnsi="Arial"/>
                <w:b/>
                <w:bCs/>
                <w:color w:val="7F6000"/>
                <w:sz w:val="20"/>
                <w:szCs w:val="20"/>
              </w:rPr>
              <w:t xml:space="preserve">MED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14.3% conv. — best channel but smallest volume (310 leads)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Launch structured referral program; offer incentives; automate referral tracking in CRM</w:t>
            </w:r>
          </w:p>
        </w:tc>
      </w:tr>
      <w:tr>
        <w:tc>
          <w:tcPr>
            <w:tcW w:type="dxa" w:w="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b/>
                <w:bCs/>
                <w:color w:val="2C2C2C"/>
                <w:sz w:val="22"/>
                <w:szCs w:val="22"/>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Email Nurture Depth</w:t>
            </w:r>
          </w:p>
        </w:tc>
        <w:tc>
          <w:tcPr>
            <w:tcW w:type="dxa" w:w="2360"/>
            <w:tcBorders>
              <w:top w:val="single" w:color="CCCCCC" w:sz="4"/>
              <w:left w:val="single" w:color="CCCCCC" w:sz="4"/>
              <w:bottom w:val="single" w:color="CCCCCC" w:sz="4"/>
              <w:right w:val="single" w:color="CCCCCC" w:sz="4"/>
            </w:tcBorders>
            <w:shd w:fill="E2EFDA" w:val="clear"/>
            <w:tcMar>
              <w:top w:type="dxa" w:w="70"/>
              <w:left w:type="dxa" w:w="120"/>
              <w:bottom w:type="dxa" w:w="70"/>
              <w:right w:type="dxa" w:w="120"/>
            </w:tcMar>
          </w:tcPr>
          <w:p>
            <w:pPr>
              <w:jc w:val="center"/>
            </w:pPr>
            <w:r>
              <w:rPr>
                <w:rFonts w:ascii="Arial" w:cs="Arial" w:eastAsia="Arial" w:hAnsi="Arial"/>
                <w:b/>
                <w:bCs/>
                <w:color w:val="1E7145"/>
                <w:sz w:val="20"/>
                <w:szCs w:val="20"/>
              </w:rPr>
              <w:t xml:space="preserve">LOW</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11.2% conv. but only 980 leads — limited reach</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b w:val="false"/>
                <w:bCs w:val="false"/>
                <w:color w:val="2C2C2C"/>
                <w:sz w:val="20"/>
                <w:szCs w:val="20"/>
              </w:rPr>
              <w:t xml:space="preserve">Expand email capture via gated content; segment by intent level; add 6-touch drip sequences</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5. 60-Day Action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Week 1–2</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Audit lead scoring with sales</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Marketing + Sales Ops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Reduce MQL-SQL gap by 20%</w:t>
            </w:r>
          </w:p>
        </w:tc>
      </w:tr>
      <w:tr>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Week 1–2</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A/B test 3 new CTA variants on top blog posts</w:t>
            </w:r>
          </w:p>
        </w:tc>
        <w:tc>
          <w:tcPr>
            <w:tcW w:type="dxa" w:w="27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Content Team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+1.5pp Traffic-to-Lead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Week 2–3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Shift 30% Social Paid budget to Email</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Paid &amp; Email Teams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Reduce blended CAC by 20%</w:t>
            </w:r>
          </w:p>
        </w:tc>
      </w:tr>
      <w:tr>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Week 3–4</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Launch gated lead magnet (guide/tool)</w:t>
            </w:r>
          </w:p>
        </w:tc>
        <w:tc>
          <w:tcPr>
            <w:tcW w:type="dxa" w:w="27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Content Team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+800 leads/month</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Week 4–6</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Build referral program with CRM tracking</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Growth Team</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+200 high-quality leads/month</w:t>
            </w:r>
          </w:p>
        </w:tc>
      </w:tr>
      <w:tr>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Week 6–8</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Deploy 24hr opportunity follow-up sequence</w:t>
            </w:r>
          </w:p>
        </w:tc>
        <w:tc>
          <w:tcPr>
            <w:tcW w:type="dxa" w:w="276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Sales Team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+10pp Opportunity-to-Close</w:t>
            </w:r>
          </w:p>
        </w:tc>
      </w:tr>
    </w:tbl>
    <w:p>
      <w:pPr>
        <w:spacing w:after="0" w:before="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KPI Targets — Next 30 Days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w:t>
            </w:r>
          </w:p>
        </w:tc>
        <w:tc>
          <w:tcPr>
            <w:tcW w:type="dxa" w:w="22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30-Day Target</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Stretch Goal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Traffic → Lead conversion</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5.49%</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6.5%</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7.5%</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MQL → SQL conversion</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39.98%</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50%</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60%</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Opportunity → Customer</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33.33%</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40%</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45%</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Monthly leads (total)</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6,842</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8,000</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9,500</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color w:val="2C2C2C"/>
                <w:sz w:val="20"/>
                <w:szCs w:val="20"/>
              </w:rPr>
              <w:t xml:space="preserve">Monthly customers won</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114</w:t>
            </w:r>
          </w:p>
        </w:tc>
        <w:tc>
          <w:tcPr>
            <w:tcW w:type="dxa" w:w="2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140</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2C2C2C"/>
                <w:sz w:val="20"/>
                <w:szCs w:val="20"/>
              </w:rPr>
              <w:t xml:space="preserve">170</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left"/>
            </w:pPr>
            <w:r>
              <w:rPr>
                <w:rFonts w:ascii="Arial" w:cs="Arial" w:eastAsia="Arial" w:hAnsi="Arial"/>
                <w:color w:val="2C2C2C"/>
                <w:sz w:val="20"/>
                <w:szCs w:val="20"/>
              </w:rPr>
              <w:t xml:space="preserve">Email lead quality score</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93/100</w:t>
            </w:r>
          </w:p>
        </w:tc>
        <w:tc>
          <w:tcPr>
            <w:tcW w:type="dxa" w:w="228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93/100</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jc w:val="center"/>
            </w:pPr>
            <w:r>
              <w:rPr>
                <w:rFonts w:ascii="Arial" w:cs="Arial" w:eastAsia="Arial" w:hAnsi="Arial"/>
                <w:color w:val="2C2C2C"/>
                <w:sz w:val="20"/>
                <w:szCs w:val="20"/>
              </w:rPr>
              <w:t xml:space="preserve">95/100</w:t>
            </w:r>
          </w:p>
        </w:tc>
      </w:tr>
    </w:tbl>
    <w:p>
      <w:pPr>
        <w:spacing w:after="0" w:before="200"/>
      </w:pPr>
      <w:r>
        <w:t xml:space="preserve"/>
      </w:r>
    </w:p>
    <w:p>
      <w:pPr>
        <w:pBdr>
          <w:top w:val="single" w:color="2E75B6" w:sz="6" w:space="6"/>
        </w:pBdr>
        <w:spacing w:after="120" w:before="240"/>
      </w:pPr>
    </w:p>
    <w:p>
      <w:pPr>
        <w:spacing w:after="80" w:before="0"/>
      </w:pPr>
      <w:r>
        <w:rPr>
          <w:rFonts w:ascii="Arial" w:cs="Arial" w:eastAsia="Arial" w:hAnsi="Arial"/>
          <w:b/>
          <w:bCs/>
          <w:color w:val="2E75B6"/>
          <w:sz w:val="22"/>
          <w:szCs w:val="22"/>
        </w:rPr>
        <w:t xml:space="preserve">About This Report</w:t>
      </w:r>
    </w:p>
    <w:p>
      <w:pPr>
        <w:spacing w:after="80" w:before="60"/>
      </w:pPr>
      <w:r>
        <w:rPr>
          <w:rFonts w:ascii="Arial" w:cs="Arial" w:eastAsia="Arial" w:hAnsi="Arial"/>
          <w:color w:val="2C2C2C"/>
          <w:sz w:val="22"/>
          <w:szCs w:val="22"/>
        </w:rPr>
        <w:t xml:space="preserve">This analysis is based on 30-day funnel data across all active acquisition channels. Lead quality scores are composite indices combining stage conversion rate, average sales cycle length, and deal size signals. All percentage changes are versus the prior 30-day period. For questions, contact the Growth Analytics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95959"/>
        <w:sz w:val="18"/>
        <w:szCs w:val="18"/>
      </w:rPr>
      <w:t xml:space="preserve">Generated by Funnel Analytics Team  |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Marketing Funnel &amp; Conversion Performance Report</w:t>
    </w:r>
    <w:r>
      <w:rPr>
        <w:sz w:val="18"/>
        <w:szCs w:val="18"/>
      </w:rPr>
      <w:t xml:space="preserve">	</w:t>
    </w:r>
    <w:r>
      <w:rPr>
        <w:rFonts w:ascii="Arial" w:cs="Arial" w:eastAsia="Arial" w:hAnsi="Arial"/>
        <w:color w:val="595959"/>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2026-04-18T13:12:00.349Z</dcterms:created>
  <dcterms:modified xsi:type="dcterms:W3CDTF">2026-04-18T13:12:00.350Z</dcterms:modified>
</cp:coreProperties>
</file>

<file path=docProps/custom.xml><?xml version="1.0" encoding="utf-8"?>
<Properties xmlns="http://schemas.openxmlformats.org/officeDocument/2006/custom-properties" xmlns:vt="http://schemas.openxmlformats.org/officeDocument/2006/docPropsVTypes"/>
</file>