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Planejamento da Primeira Sprint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Projeto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Gestão de finanças pessoal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Aplicativo de gestão financeira pessoal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[Rhaony Alves]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[25/09/2026]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Objetivo da Sprint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Estruturar a base do projeto, autenticação de usuário e a funcionalidade principal de inclusão de movimentações para validação inicial do MVP. 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kjwd5sw32ur8" w:id="0"/>
      <w:bookmarkEnd w:id="0"/>
      <w:r w:rsidDel="00000000" w:rsidR="00000000" w:rsidRPr="00000000">
        <w:rPr>
          <w:rtl w:val="0"/>
        </w:rPr>
        <w:t xml:space="preserve">2. Duração da Sprint</w:t>
        <w:br w:type="textWrapping"/>
      </w:r>
      <w:r w:rsidDel="00000000" w:rsidR="00000000" w:rsidRPr="00000000">
        <w:rPr>
          <w:b w:val="0"/>
          <w:bCs w:val="0"/>
          <w:color w:val="202124"/>
          <w:sz w:val="22"/>
          <w:szCs w:val="22"/>
          <w:rtl w:val="0"/>
        </w:rPr>
        <w:t xml:space="preserve">2 semanas (10 dias úteis).</w:t>
        <w:br w:type="textWrapping"/>
        <w:br w:type="textWrapping"/>
      </w:r>
      <w:r w:rsidDel="00000000" w:rsidR="00000000" w:rsidRPr="00000000">
        <w:rPr>
          <w:rtl w:val="0"/>
        </w:rPr>
        <w:t xml:space="preserve">3. Issues selecionadas para a Sprint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Escopo: permitir que pacientes localizem profissionais, consultem horários e realizem agendamentos pela internet.</w:t>
      </w:r>
    </w:p>
    <w:tbl>
      <w:tblPr>
        <w:tblStyle w:val="Table2"/>
        <w:tblW w:w="74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Título da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do Repositório e Setup Inicial da Aplicação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[US01]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Cadastro Básico de Contas Bancárias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[US05]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Formulário de Lançamento de Receita e Despesa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[US02]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Clínica Conecta  •  Material didático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KIT DE ANÁLISE DE REQUISITOS  |  MODELO EDITÁVEL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124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83b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before="0" w:line="240" w:lineRule="auto"/>
    </w:pPr>
    <w:rPr>
      <w:rFonts w:ascii="Calibri" w:cs="Calibri" w:eastAsia="Calibri" w:hAnsi="Calibri"/>
      <w:b w:val="1"/>
      <w:bCs w:val="1"/>
      <w:color w:val="183b56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  <property fmtid="{D5CDD505-2E9C-101B-9397-08002B2CF9AE}" pid="3" name="MediaServiceImageTags">
    <vt:lpwstr>MediaServiceImageTags</vt:lpwstr>
  </property>
</Properties>
</file>