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E0A9EE">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DESIGN AND IMPLEMENTATION OF A MOBILE BASED CLOTHING EXCHANGE SYSTEM FOR NYSC ORIENTATION CAMPS</w:t>
      </w:r>
    </w:p>
    <w:p w14:paraId="3F2D2E8B">
      <w:pPr>
        <w:spacing w:line="360" w:lineRule="auto"/>
        <w:jc w:val="center"/>
        <w:rPr>
          <w:rFonts w:hint="default" w:ascii="Times New Roman" w:hAnsi="Times New Roman" w:cs="Times New Roman"/>
          <w:sz w:val="24"/>
          <w:szCs w:val="24"/>
          <w:lang w:val="en-US"/>
        </w:rPr>
      </w:pPr>
    </w:p>
    <w:p w14:paraId="7B56735B">
      <w:pPr>
        <w:spacing w:line="360" w:lineRule="auto"/>
        <w:jc w:val="center"/>
        <w:rPr>
          <w:rFonts w:hint="default" w:ascii="Times New Roman" w:hAnsi="Times New Roman" w:cs="Times New Roman"/>
          <w:sz w:val="24"/>
          <w:szCs w:val="24"/>
          <w:lang w:val="en-US"/>
        </w:rPr>
      </w:pPr>
    </w:p>
    <w:p w14:paraId="147DE5D8">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BY</w:t>
      </w:r>
    </w:p>
    <w:p w14:paraId="77E299B4">
      <w:pPr>
        <w:spacing w:line="360" w:lineRule="auto"/>
        <w:jc w:val="center"/>
        <w:rPr>
          <w:rFonts w:hint="default" w:ascii="Times New Roman" w:hAnsi="Times New Roman" w:cs="Times New Roman"/>
          <w:sz w:val="24"/>
          <w:szCs w:val="24"/>
          <w:lang w:val="en-US"/>
        </w:rPr>
      </w:pPr>
    </w:p>
    <w:p w14:paraId="3DF8657F">
      <w:pPr>
        <w:spacing w:line="360" w:lineRule="auto"/>
        <w:jc w:val="center"/>
        <w:rPr>
          <w:rFonts w:hint="default" w:ascii="Times New Roman" w:hAnsi="Times New Roman" w:cs="Times New Roman"/>
          <w:sz w:val="24"/>
          <w:szCs w:val="24"/>
          <w:lang w:val="en-US"/>
        </w:rPr>
      </w:pPr>
    </w:p>
    <w:p w14:paraId="15F06361">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MUKORO OGHENTEGA DANIEL</w:t>
      </w:r>
    </w:p>
    <w:p w14:paraId="05618873">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SCN/CSC/230485</w:t>
      </w:r>
    </w:p>
    <w:p w14:paraId="6CE771BA">
      <w:pPr>
        <w:spacing w:line="360" w:lineRule="auto"/>
        <w:jc w:val="center"/>
        <w:rPr>
          <w:rFonts w:hint="default" w:ascii="Times New Roman" w:hAnsi="Times New Roman" w:cs="Times New Roman"/>
          <w:sz w:val="24"/>
          <w:szCs w:val="24"/>
          <w:lang w:val="en-US"/>
        </w:rPr>
      </w:pPr>
    </w:p>
    <w:p w14:paraId="7EF96F97">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DEPARTMENT OF COMPUTER SCIENCE,</w:t>
      </w:r>
    </w:p>
    <w:p w14:paraId="5CF6F46D">
      <w:pPr>
        <w:spacing w:line="360" w:lineRule="auto"/>
        <w:jc w:val="center"/>
        <w:rPr>
          <w:rFonts w:hint="default" w:ascii="Times New Roman" w:hAnsi="Times New Roman" w:cs="Times New Roman"/>
          <w:sz w:val="24"/>
          <w:szCs w:val="24"/>
          <w:lang w:val="en-US"/>
        </w:rPr>
      </w:pPr>
    </w:p>
    <w:p w14:paraId="23000014">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FACULTY OF COMPUTING,</w:t>
      </w:r>
    </w:p>
    <w:p w14:paraId="00E2FE5C">
      <w:pPr>
        <w:spacing w:line="360" w:lineRule="auto"/>
        <w:jc w:val="center"/>
        <w:rPr>
          <w:rFonts w:hint="default" w:ascii="Times New Roman" w:hAnsi="Times New Roman" w:cs="Times New Roman"/>
          <w:sz w:val="24"/>
          <w:szCs w:val="24"/>
          <w:lang w:val="en-US"/>
        </w:rPr>
      </w:pPr>
    </w:p>
    <w:p w14:paraId="77C669D0">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BENSON IDAHOSA UNIVERSITY,</w:t>
      </w:r>
    </w:p>
    <w:p w14:paraId="073EC69B">
      <w:pPr>
        <w:spacing w:line="360" w:lineRule="auto"/>
        <w:jc w:val="center"/>
        <w:rPr>
          <w:rFonts w:hint="default" w:ascii="Times New Roman" w:hAnsi="Times New Roman" w:cs="Times New Roman"/>
          <w:sz w:val="24"/>
          <w:szCs w:val="24"/>
          <w:lang w:val="en-US"/>
        </w:rPr>
      </w:pPr>
    </w:p>
    <w:p w14:paraId="537B6148">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BENIN CITY, EDO STATE</w:t>
      </w:r>
    </w:p>
    <w:p w14:paraId="3201A5BF">
      <w:pPr>
        <w:spacing w:line="360" w:lineRule="auto"/>
        <w:jc w:val="center"/>
        <w:rPr>
          <w:rFonts w:hint="default" w:ascii="Times New Roman" w:hAnsi="Times New Roman" w:cs="Times New Roman"/>
          <w:sz w:val="24"/>
          <w:szCs w:val="24"/>
          <w:lang w:val="en-US"/>
        </w:rPr>
      </w:pPr>
    </w:p>
    <w:p w14:paraId="01A6C9D0">
      <w:pPr>
        <w:spacing w:line="360" w:lineRule="auto"/>
        <w:jc w:val="center"/>
        <w:rPr>
          <w:rFonts w:hint="default" w:ascii="Times New Roman" w:hAnsi="Times New Roman" w:cs="Times New Roman"/>
          <w:sz w:val="24"/>
          <w:szCs w:val="24"/>
          <w:lang w:val="en-US"/>
        </w:rPr>
      </w:pPr>
    </w:p>
    <w:p w14:paraId="3B75FA4B">
      <w:pPr>
        <w:spacing w:line="360" w:lineRule="auto"/>
        <w:jc w:val="center"/>
        <w:rPr>
          <w:rFonts w:hint="default" w:ascii="Times New Roman" w:hAnsi="Times New Roman" w:cs="Times New Roman"/>
          <w:sz w:val="24"/>
          <w:szCs w:val="24"/>
          <w:lang w:val="en-US"/>
        </w:rPr>
      </w:pPr>
    </w:p>
    <w:p w14:paraId="7870E8BF">
      <w:pPr>
        <w:spacing w:line="360" w:lineRule="auto"/>
        <w:jc w:val="center"/>
        <w:rPr>
          <w:rFonts w:hint="default" w:ascii="Times New Roman" w:hAnsi="Times New Roman" w:cs="Times New Roman"/>
          <w:sz w:val="24"/>
          <w:szCs w:val="24"/>
          <w:lang w:val="en-US"/>
        </w:rPr>
      </w:pPr>
    </w:p>
    <w:p w14:paraId="45CD8994">
      <w:pPr>
        <w:spacing w:line="360" w:lineRule="auto"/>
        <w:jc w:val="center"/>
        <w:rPr>
          <w:rFonts w:hint="default" w:ascii="Times New Roman" w:hAnsi="Times New Roman" w:cs="Times New Roman"/>
          <w:sz w:val="24"/>
          <w:szCs w:val="24"/>
          <w:lang w:val="en-US"/>
        </w:rPr>
      </w:pPr>
    </w:p>
    <w:p w14:paraId="765B124B">
      <w:pPr>
        <w:spacing w:line="360" w:lineRule="auto"/>
        <w:jc w:val="center"/>
        <w:rPr>
          <w:rFonts w:hint="default" w:ascii="Times New Roman" w:hAnsi="Times New Roman" w:cs="Times New Roman"/>
          <w:sz w:val="24"/>
          <w:szCs w:val="24"/>
          <w:lang w:val="en-US"/>
        </w:rPr>
      </w:pPr>
    </w:p>
    <w:p w14:paraId="444313E4">
      <w:pPr>
        <w:spacing w:line="360" w:lineRule="auto"/>
        <w:jc w:val="center"/>
        <w:rPr>
          <w:rFonts w:hint="default" w:ascii="Times New Roman" w:hAnsi="Times New Roman" w:cs="Times New Roman"/>
          <w:sz w:val="24"/>
          <w:szCs w:val="24"/>
          <w:lang w:val="en-US"/>
        </w:rPr>
      </w:pPr>
    </w:p>
    <w:p w14:paraId="481B0C69">
      <w:pPr>
        <w:spacing w:line="360" w:lineRule="auto"/>
        <w:jc w:val="center"/>
        <w:rPr>
          <w:rFonts w:hint="default" w:ascii="Times New Roman" w:hAnsi="Times New Roman" w:cs="Times New Roman"/>
          <w:sz w:val="24"/>
          <w:szCs w:val="24"/>
          <w:lang w:val="en-US"/>
        </w:rPr>
      </w:pPr>
    </w:p>
    <w:p w14:paraId="2E2AB327">
      <w:pPr>
        <w:spacing w:line="360" w:lineRule="auto"/>
        <w:jc w:val="center"/>
        <w:rPr>
          <w:rFonts w:hint="default" w:ascii="Times New Roman" w:hAnsi="Times New Roman" w:cs="Times New Roman"/>
          <w:sz w:val="24"/>
          <w:szCs w:val="24"/>
          <w:lang w:val="en-US"/>
        </w:rPr>
      </w:pPr>
    </w:p>
    <w:p w14:paraId="47722F2E">
      <w:pPr>
        <w:spacing w:line="360" w:lineRule="auto"/>
        <w:jc w:val="center"/>
        <w:rPr>
          <w:rFonts w:hint="default" w:ascii="Times New Roman" w:hAnsi="Times New Roman" w:cs="Times New Roman"/>
          <w:sz w:val="24"/>
          <w:szCs w:val="24"/>
          <w:lang w:val="en-US"/>
        </w:rPr>
      </w:pPr>
    </w:p>
    <w:p w14:paraId="202EA343">
      <w:pPr>
        <w:spacing w:line="360" w:lineRule="auto"/>
        <w:jc w:val="center"/>
        <w:rPr>
          <w:rFonts w:hint="default" w:ascii="Times New Roman" w:hAnsi="Times New Roman" w:cs="Times New Roman"/>
          <w:sz w:val="24"/>
          <w:szCs w:val="24"/>
          <w:lang w:val="en-US"/>
        </w:rPr>
      </w:pPr>
    </w:p>
    <w:p w14:paraId="4CDDDD10">
      <w:pPr>
        <w:spacing w:line="360" w:lineRule="auto"/>
        <w:jc w:val="center"/>
        <w:rPr>
          <w:rFonts w:hint="default" w:ascii="Times New Roman" w:hAnsi="Times New Roman" w:cs="Times New Roman"/>
          <w:sz w:val="24"/>
          <w:szCs w:val="24"/>
          <w:lang w:val="en-US"/>
        </w:rPr>
      </w:pPr>
    </w:p>
    <w:p w14:paraId="4B35ADF6">
      <w:pPr>
        <w:spacing w:line="360" w:lineRule="auto"/>
        <w:jc w:val="center"/>
        <w:rPr>
          <w:rFonts w:hint="default" w:ascii="Times New Roman" w:hAnsi="Times New Roman" w:cs="Times New Roman"/>
          <w:sz w:val="24"/>
          <w:szCs w:val="24"/>
          <w:lang w:val="en-US"/>
        </w:rPr>
      </w:pPr>
    </w:p>
    <w:p w14:paraId="46C8EC71">
      <w:pPr>
        <w:spacing w:line="360" w:lineRule="auto"/>
        <w:jc w:val="center"/>
        <w:rPr>
          <w:rFonts w:hint="default" w:ascii="Times New Roman" w:hAnsi="Times New Roman" w:cs="Times New Roman"/>
          <w:sz w:val="24"/>
          <w:szCs w:val="24"/>
          <w:lang w:val="en-US"/>
        </w:rPr>
      </w:pPr>
    </w:p>
    <w:p w14:paraId="1459FE78">
      <w:pPr>
        <w:spacing w:line="360" w:lineRule="auto"/>
        <w:jc w:val="center"/>
        <w:rPr>
          <w:rFonts w:hint="default" w:ascii="Times New Roman" w:hAnsi="Times New Roman" w:cs="Times New Roman"/>
          <w:sz w:val="24"/>
          <w:szCs w:val="24"/>
          <w:lang w:val="en-US"/>
        </w:rPr>
      </w:pPr>
    </w:p>
    <w:p w14:paraId="3A9A82AF">
      <w:pPr>
        <w:spacing w:line="360" w:lineRule="auto"/>
        <w:jc w:val="center"/>
        <w:rPr>
          <w:rFonts w:hint="default" w:ascii="Times New Roman" w:hAnsi="Times New Roman" w:cs="Times New Roman"/>
          <w:sz w:val="24"/>
          <w:szCs w:val="24"/>
          <w:lang w:val="en-US"/>
        </w:rPr>
      </w:pPr>
    </w:p>
    <w:p w14:paraId="0E5352BB">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MARCH, 2026</w:t>
      </w:r>
    </w:p>
    <w:p w14:paraId="064D9ED9">
      <w:pPr>
        <w:spacing w:line="360" w:lineRule="auto"/>
        <w:jc w:val="center"/>
        <w:rPr>
          <w:rFonts w:hint="default" w:ascii="Times New Roman" w:hAnsi="Times New Roman" w:cs="Times New Roman"/>
          <w:sz w:val="24"/>
          <w:szCs w:val="24"/>
          <w:lang w:val="en-US"/>
        </w:rPr>
      </w:pPr>
    </w:p>
    <w:p w14:paraId="3336F44D">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DESIGN AND IMPLEMENTATION OF A MOBILE BASED CLOTHING EXCHANGE SYSTEM FOR NYSC ORIENTATION CAMPS</w:t>
      </w:r>
    </w:p>
    <w:p w14:paraId="34A6D20A">
      <w:pPr>
        <w:spacing w:line="360" w:lineRule="auto"/>
        <w:jc w:val="center"/>
        <w:rPr>
          <w:rFonts w:hint="default" w:ascii="Times New Roman" w:hAnsi="Times New Roman" w:cs="Times New Roman"/>
          <w:sz w:val="24"/>
          <w:szCs w:val="24"/>
          <w:lang w:val="en-US"/>
        </w:rPr>
      </w:pPr>
    </w:p>
    <w:p w14:paraId="3DBA431E">
      <w:pPr>
        <w:spacing w:line="360" w:lineRule="auto"/>
        <w:jc w:val="center"/>
        <w:rPr>
          <w:rFonts w:hint="default" w:ascii="Times New Roman" w:hAnsi="Times New Roman" w:cs="Times New Roman"/>
          <w:sz w:val="24"/>
          <w:szCs w:val="24"/>
          <w:lang w:val="en-US"/>
        </w:rPr>
      </w:pPr>
    </w:p>
    <w:p w14:paraId="31FE169E">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BY</w:t>
      </w:r>
    </w:p>
    <w:p w14:paraId="4BD6564A">
      <w:pPr>
        <w:spacing w:line="360" w:lineRule="auto"/>
        <w:jc w:val="center"/>
        <w:rPr>
          <w:rFonts w:hint="default" w:ascii="Times New Roman" w:hAnsi="Times New Roman" w:cs="Times New Roman"/>
          <w:sz w:val="24"/>
          <w:szCs w:val="24"/>
          <w:lang w:val="en-US"/>
        </w:rPr>
      </w:pPr>
    </w:p>
    <w:p w14:paraId="61E89358">
      <w:pPr>
        <w:spacing w:line="360" w:lineRule="auto"/>
        <w:jc w:val="center"/>
        <w:rPr>
          <w:rFonts w:hint="default" w:ascii="Times New Roman" w:hAnsi="Times New Roman" w:cs="Times New Roman"/>
          <w:sz w:val="24"/>
          <w:szCs w:val="24"/>
          <w:lang w:val="en-US"/>
        </w:rPr>
      </w:pPr>
    </w:p>
    <w:p w14:paraId="2061A65B">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MUKORO OGHENTEGA DANIEL</w:t>
      </w:r>
    </w:p>
    <w:p w14:paraId="3CD4C735">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SCN/CSC/230485</w:t>
      </w:r>
    </w:p>
    <w:p w14:paraId="7C767F48">
      <w:pPr>
        <w:spacing w:line="360" w:lineRule="auto"/>
        <w:jc w:val="center"/>
        <w:rPr>
          <w:rFonts w:hint="default" w:ascii="Times New Roman" w:hAnsi="Times New Roman" w:cs="Times New Roman"/>
          <w:sz w:val="24"/>
          <w:szCs w:val="24"/>
          <w:lang w:val="en-US"/>
        </w:rPr>
      </w:pPr>
    </w:p>
    <w:p w14:paraId="7700E8BD">
      <w:pPr>
        <w:spacing w:line="360" w:lineRule="auto"/>
        <w:jc w:val="center"/>
        <w:rPr>
          <w:rFonts w:hint="default" w:ascii="Times New Roman" w:hAnsi="Times New Roman" w:cs="Times New Roman"/>
          <w:sz w:val="24"/>
          <w:szCs w:val="24"/>
          <w:lang w:val="en-US"/>
        </w:rPr>
      </w:pPr>
    </w:p>
    <w:p w14:paraId="259FD252">
      <w:pPr>
        <w:spacing w:line="360" w:lineRule="auto"/>
        <w:jc w:val="center"/>
        <w:rPr>
          <w:rFonts w:hint="default" w:ascii="Times New Roman" w:hAnsi="Times New Roman" w:cs="Times New Roman"/>
          <w:sz w:val="24"/>
          <w:szCs w:val="24"/>
          <w:lang w:val="en-US"/>
        </w:rPr>
      </w:pPr>
    </w:p>
    <w:p w14:paraId="751EABC6">
      <w:pPr>
        <w:spacing w:line="360" w:lineRule="auto"/>
        <w:jc w:val="center"/>
        <w:rPr>
          <w:rFonts w:hint="default" w:ascii="Times New Roman" w:hAnsi="Times New Roman"/>
          <w:sz w:val="24"/>
          <w:szCs w:val="24"/>
          <w:lang w:val="en-US"/>
        </w:rPr>
      </w:pPr>
      <w:r>
        <w:rPr>
          <w:rFonts w:hint="default" w:ascii="Times New Roman" w:hAnsi="Times New Roman"/>
          <w:sz w:val="24"/>
          <w:szCs w:val="24"/>
          <w:lang w:val="en-US"/>
        </w:rPr>
        <w:t>A PROJECT WORK</w:t>
      </w:r>
    </w:p>
    <w:p w14:paraId="2BE1EAF6">
      <w:pPr>
        <w:spacing w:line="360" w:lineRule="auto"/>
        <w:jc w:val="center"/>
        <w:rPr>
          <w:rFonts w:hint="default" w:ascii="Times New Roman" w:hAnsi="Times New Roman"/>
          <w:sz w:val="24"/>
          <w:szCs w:val="24"/>
          <w:lang w:val="en-US"/>
        </w:rPr>
      </w:pPr>
      <w:r>
        <w:rPr>
          <w:rFonts w:hint="default" w:ascii="Times New Roman" w:hAnsi="Times New Roman"/>
          <w:sz w:val="24"/>
          <w:szCs w:val="24"/>
          <w:lang w:val="en-US"/>
        </w:rPr>
        <w:t>PRESENTED TO THE DEPARTMENT OF COMPUTER SCIENCE,  FACULTY OF COMPUTING, IN PARTIAL FULFILMENT OF THE REQUIREMENTS FOR THE AWARD OF BACHELOR DEGREE OF SCIENCE (B.Sc.) IN COMPUTER SCIENCE OF BENSON IDAHOSA UNIVERSITY, BENIN CITY, EDO STATE, NIGERIA</w:t>
      </w:r>
    </w:p>
    <w:p w14:paraId="39EA75B3">
      <w:pPr>
        <w:spacing w:line="360" w:lineRule="auto"/>
        <w:jc w:val="center"/>
        <w:rPr>
          <w:rFonts w:hint="default" w:ascii="Times New Roman" w:hAnsi="Times New Roman"/>
          <w:sz w:val="24"/>
          <w:szCs w:val="24"/>
          <w:lang w:val="en-US"/>
        </w:rPr>
      </w:pPr>
    </w:p>
    <w:p w14:paraId="79EE77F3">
      <w:pPr>
        <w:spacing w:line="360" w:lineRule="auto"/>
        <w:jc w:val="center"/>
        <w:rPr>
          <w:rFonts w:hint="default" w:ascii="Times New Roman" w:hAnsi="Times New Roman"/>
          <w:sz w:val="24"/>
          <w:szCs w:val="24"/>
          <w:lang w:val="en-US"/>
        </w:rPr>
      </w:pPr>
    </w:p>
    <w:p w14:paraId="29EC90B8">
      <w:pPr>
        <w:spacing w:line="360" w:lineRule="auto"/>
        <w:jc w:val="center"/>
        <w:rPr>
          <w:rFonts w:hint="default" w:ascii="Times New Roman" w:hAnsi="Times New Roman"/>
          <w:sz w:val="24"/>
          <w:szCs w:val="24"/>
          <w:lang w:val="en-US"/>
        </w:rPr>
      </w:pPr>
    </w:p>
    <w:p w14:paraId="0C8DD714">
      <w:pPr>
        <w:spacing w:line="360" w:lineRule="auto"/>
        <w:jc w:val="center"/>
        <w:rPr>
          <w:rFonts w:hint="default" w:ascii="Times New Roman" w:hAnsi="Times New Roman"/>
          <w:sz w:val="24"/>
          <w:szCs w:val="24"/>
          <w:lang w:val="en-US"/>
        </w:rPr>
      </w:pPr>
    </w:p>
    <w:p w14:paraId="17305C8C">
      <w:pPr>
        <w:spacing w:line="360" w:lineRule="auto"/>
        <w:jc w:val="center"/>
        <w:rPr>
          <w:rFonts w:hint="default" w:ascii="Times New Roman" w:hAnsi="Times New Roman"/>
          <w:sz w:val="24"/>
          <w:szCs w:val="24"/>
          <w:lang w:val="en-US"/>
        </w:rPr>
      </w:pPr>
    </w:p>
    <w:p w14:paraId="4792FBB4">
      <w:pPr>
        <w:spacing w:line="360" w:lineRule="auto"/>
        <w:jc w:val="center"/>
        <w:rPr>
          <w:rFonts w:hint="default" w:ascii="Times New Roman" w:hAnsi="Times New Roman"/>
          <w:sz w:val="24"/>
          <w:szCs w:val="24"/>
          <w:lang w:val="en-US"/>
        </w:rPr>
      </w:pPr>
    </w:p>
    <w:p w14:paraId="34A83512">
      <w:pPr>
        <w:spacing w:line="360" w:lineRule="auto"/>
        <w:jc w:val="center"/>
        <w:rPr>
          <w:rFonts w:hint="default" w:ascii="Times New Roman" w:hAnsi="Times New Roman"/>
          <w:sz w:val="24"/>
          <w:szCs w:val="24"/>
          <w:lang w:val="en-US"/>
        </w:rPr>
      </w:pPr>
    </w:p>
    <w:p w14:paraId="4F59D9CC">
      <w:pPr>
        <w:spacing w:line="360" w:lineRule="auto"/>
        <w:jc w:val="center"/>
        <w:rPr>
          <w:rFonts w:hint="default" w:ascii="Times New Roman" w:hAnsi="Times New Roman"/>
          <w:sz w:val="24"/>
          <w:szCs w:val="24"/>
          <w:lang w:val="en-US"/>
        </w:rPr>
      </w:pPr>
    </w:p>
    <w:p w14:paraId="04987BA3">
      <w:pPr>
        <w:spacing w:line="360" w:lineRule="auto"/>
        <w:jc w:val="center"/>
        <w:rPr>
          <w:rFonts w:hint="default" w:ascii="Times New Roman" w:hAnsi="Times New Roman"/>
          <w:sz w:val="24"/>
          <w:szCs w:val="24"/>
          <w:lang w:val="en-US"/>
        </w:rPr>
      </w:pPr>
    </w:p>
    <w:p w14:paraId="4C0BE8C0">
      <w:pPr>
        <w:spacing w:line="360" w:lineRule="auto"/>
        <w:jc w:val="center"/>
        <w:rPr>
          <w:rFonts w:hint="default" w:ascii="Times New Roman" w:hAnsi="Times New Roman"/>
          <w:sz w:val="24"/>
          <w:szCs w:val="24"/>
          <w:lang w:val="en-US"/>
        </w:rPr>
      </w:pPr>
    </w:p>
    <w:p w14:paraId="266F68CF">
      <w:pPr>
        <w:spacing w:line="360" w:lineRule="auto"/>
        <w:jc w:val="center"/>
        <w:rPr>
          <w:rFonts w:hint="default" w:ascii="Times New Roman" w:hAnsi="Times New Roman"/>
          <w:sz w:val="24"/>
          <w:szCs w:val="24"/>
          <w:lang w:val="en-US"/>
        </w:rPr>
      </w:pPr>
    </w:p>
    <w:p w14:paraId="67AB119C">
      <w:pPr>
        <w:spacing w:line="360" w:lineRule="auto"/>
        <w:jc w:val="center"/>
        <w:rPr>
          <w:rFonts w:hint="default" w:ascii="Times New Roman" w:hAnsi="Times New Roman"/>
          <w:sz w:val="24"/>
          <w:szCs w:val="24"/>
          <w:lang w:val="en-US"/>
        </w:rPr>
      </w:pPr>
    </w:p>
    <w:p w14:paraId="2F32B599">
      <w:pPr>
        <w:spacing w:line="360" w:lineRule="auto"/>
        <w:jc w:val="center"/>
        <w:rPr>
          <w:rFonts w:hint="default" w:ascii="Times New Roman" w:hAnsi="Times New Roman"/>
          <w:sz w:val="24"/>
          <w:szCs w:val="24"/>
          <w:lang w:val="en-US"/>
        </w:rPr>
      </w:pPr>
    </w:p>
    <w:p w14:paraId="2AAE6451">
      <w:pPr>
        <w:spacing w:line="360" w:lineRule="auto"/>
        <w:jc w:val="center"/>
        <w:rPr>
          <w:rFonts w:hint="default" w:ascii="Times New Roman" w:hAnsi="Times New Roman"/>
          <w:sz w:val="24"/>
          <w:szCs w:val="24"/>
          <w:lang w:val="en-US"/>
        </w:rPr>
      </w:pPr>
      <w:r>
        <w:rPr>
          <w:rFonts w:hint="default" w:ascii="Times New Roman" w:hAnsi="Times New Roman"/>
          <w:sz w:val="24"/>
          <w:szCs w:val="24"/>
          <w:lang w:val="en-US"/>
        </w:rPr>
        <w:t>MARCH, 2026</w:t>
      </w:r>
    </w:p>
    <w:p w14:paraId="2E4AA211">
      <w:pPr>
        <w:spacing w:line="360" w:lineRule="auto"/>
        <w:jc w:val="center"/>
        <w:rPr>
          <w:rFonts w:hint="default" w:ascii="Times New Roman" w:hAnsi="Times New Roman" w:cs="Times New Roman"/>
          <w:sz w:val="24"/>
          <w:szCs w:val="24"/>
          <w:lang w:val="en-US"/>
        </w:rPr>
      </w:pPr>
    </w:p>
    <w:p w14:paraId="53D48287">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ABSTRACT</w:t>
      </w:r>
    </w:p>
    <w:p w14:paraId="354FBB1C">
      <w:pPr>
        <w:spacing w:line="360" w:lineRule="auto"/>
        <w:jc w:val="center"/>
        <w:rPr>
          <w:rFonts w:hint="default" w:ascii="Times New Roman" w:hAnsi="Times New Roman" w:cs="Times New Roman"/>
          <w:sz w:val="24"/>
          <w:szCs w:val="24"/>
          <w:lang w:val="en-US"/>
        </w:rPr>
      </w:pPr>
    </w:p>
    <w:p w14:paraId="0B38CC3C">
      <w:pPr>
        <w:spacing w:line="360" w:lineRule="auto"/>
        <w:jc w:val="both"/>
        <w:rPr>
          <w:rFonts w:hint="default" w:ascii="Times New Roman" w:hAnsi="Times New Roman" w:cs="Times New Roman"/>
          <w:sz w:val="24"/>
          <w:szCs w:val="24"/>
          <w:lang w:val="en-US"/>
        </w:rPr>
      </w:pPr>
    </w:p>
    <w:p w14:paraId="26DB222E">
      <w:pPr>
        <w:spacing w:line="360" w:lineRule="auto"/>
        <w:jc w:val="both"/>
        <w:rPr>
          <w:rFonts w:hint="default" w:ascii="Times New Roman" w:hAnsi="Times New Roman" w:cs="Times New Roman"/>
          <w:sz w:val="24"/>
          <w:szCs w:val="24"/>
          <w:lang w:val="en-US"/>
        </w:rPr>
      </w:pPr>
    </w:p>
    <w:p w14:paraId="272AA6A7">
      <w:pPr>
        <w:spacing w:line="360" w:lineRule="auto"/>
        <w:jc w:val="both"/>
        <w:rPr>
          <w:rFonts w:hint="default" w:ascii="Times New Roman" w:hAnsi="Times New Roman" w:cs="Times New Roman"/>
          <w:sz w:val="24"/>
          <w:szCs w:val="24"/>
          <w:lang w:val="en-US"/>
        </w:rPr>
      </w:pPr>
    </w:p>
    <w:p w14:paraId="702A1FC4">
      <w:pPr>
        <w:spacing w:line="360" w:lineRule="auto"/>
        <w:jc w:val="both"/>
        <w:rPr>
          <w:rFonts w:hint="default" w:ascii="Times New Roman" w:hAnsi="Times New Roman" w:cs="Times New Roman"/>
          <w:sz w:val="24"/>
          <w:szCs w:val="24"/>
          <w:lang w:val="en-US"/>
        </w:rPr>
      </w:pPr>
    </w:p>
    <w:p w14:paraId="2AFF0CE5">
      <w:pPr>
        <w:spacing w:line="360" w:lineRule="auto"/>
        <w:jc w:val="both"/>
        <w:rPr>
          <w:rFonts w:hint="default" w:ascii="Times New Roman" w:hAnsi="Times New Roman" w:cs="Times New Roman"/>
          <w:sz w:val="24"/>
          <w:szCs w:val="24"/>
          <w:lang w:val="en-US"/>
        </w:rPr>
      </w:pPr>
    </w:p>
    <w:p w14:paraId="6C9D198A">
      <w:pPr>
        <w:spacing w:line="360" w:lineRule="auto"/>
        <w:jc w:val="both"/>
        <w:rPr>
          <w:rFonts w:hint="default" w:ascii="Times New Roman" w:hAnsi="Times New Roman" w:cs="Times New Roman"/>
          <w:sz w:val="24"/>
          <w:szCs w:val="24"/>
          <w:lang w:val="en-US"/>
        </w:rPr>
      </w:pPr>
    </w:p>
    <w:p w14:paraId="065DE058">
      <w:pPr>
        <w:spacing w:line="360" w:lineRule="auto"/>
        <w:jc w:val="both"/>
        <w:rPr>
          <w:rFonts w:hint="default" w:ascii="Times New Roman" w:hAnsi="Times New Roman" w:cs="Times New Roman"/>
          <w:sz w:val="24"/>
          <w:szCs w:val="24"/>
          <w:lang w:val="en-US"/>
        </w:rPr>
      </w:pPr>
    </w:p>
    <w:p w14:paraId="5E5F48CE">
      <w:pPr>
        <w:spacing w:line="360" w:lineRule="auto"/>
        <w:jc w:val="both"/>
        <w:rPr>
          <w:rFonts w:hint="default" w:ascii="Times New Roman" w:hAnsi="Times New Roman" w:cs="Times New Roman"/>
          <w:sz w:val="24"/>
          <w:szCs w:val="24"/>
          <w:lang w:val="en-US"/>
        </w:rPr>
      </w:pPr>
    </w:p>
    <w:p w14:paraId="1DE73B6F">
      <w:pPr>
        <w:spacing w:line="360" w:lineRule="auto"/>
        <w:jc w:val="both"/>
        <w:rPr>
          <w:rFonts w:hint="default" w:ascii="Times New Roman" w:hAnsi="Times New Roman" w:cs="Times New Roman"/>
          <w:sz w:val="24"/>
          <w:szCs w:val="24"/>
          <w:lang w:val="en-US"/>
        </w:rPr>
      </w:pPr>
    </w:p>
    <w:p w14:paraId="3566107E">
      <w:pPr>
        <w:spacing w:line="360" w:lineRule="auto"/>
        <w:jc w:val="both"/>
        <w:rPr>
          <w:rFonts w:hint="default" w:ascii="Times New Roman" w:hAnsi="Times New Roman" w:cs="Times New Roman"/>
          <w:sz w:val="24"/>
          <w:szCs w:val="24"/>
          <w:lang w:val="en-US"/>
        </w:rPr>
      </w:pPr>
    </w:p>
    <w:p w14:paraId="678FA1FA">
      <w:pPr>
        <w:spacing w:line="360" w:lineRule="auto"/>
        <w:jc w:val="both"/>
        <w:rPr>
          <w:rFonts w:hint="default" w:ascii="Times New Roman" w:hAnsi="Times New Roman" w:cs="Times New Roman"/>
          <w:sz w:val="24"/>
          <w:szCs w:val="24"/>
          <w:lang w:val="en-US"/>
        </w:rPr>
      </w:pPr>
    </w:p>
    <w:p w14:paraId="47C7C8EF">
      <w:pPr>
        <w:spacing w:line="360" w:lineRule="auto"/>
        <w:jc w:val="both"/>
        <w:rPr>
          <w:rFonts w:hint="default" w:ascii="Times New Roman" w:hAnsi="Times New Roman" w:cs="Times New Roman"/>
          <w:sz w:val="24"/>
          <w:szCs w:val="24"/>
          <w:lang w:val="en-US"/>
        </w:rPr>
      </w:pPr>
    </w:p>
    <w:p w14:paraId="3B1AA634">
      <w:pPr>
        <w:spacing w:line="360" w:lineRule="auto"/>
        <w:jc w:val="both"/>
        <w:rPr>
          <w:rFonts w:hint="default" w:ascii="Times New Roman" w:hAnsi="Times New Roman" w:cs="Times New Roman"/>
          <w:sz w:val="24"/>
          <w:szCs w:val="24"/>
          <w:lang w:val="en-US"/>
        </w:rPr>
      </w:pPr>
    </w:p>
    <w:p w14:paraId="574C4D19">
      <w:pPr>
        <w:spacing w:line="360" w:lineRule="auto"/>
        <w:jc w:val="both"/>
        <w:rPr>
          <w:rFonts w:hint="default" w:ascii="Times New Roman" w:hAnsi="Times New Roman" w:cs="Times New Roman"/>
          <w:sz w:val="24"/>
          <w:szCs w:val="24"/>
          <w:lang w:val="en-US"/>
        </w:rPr>
      </w:pPr>
    </w:p>
    <w:p w14:paraId="0B9CB7CF">
      <w:pPr>
        <w:spacing w:line="360" w:lineRule="auto"/>
        <w:jc w:val="both"/>
        <w:rPr>
          <w:rFonts w:hint="default" w:ascii="Times New Roman" w:hAnsi="Times New Roman" w:cs="Times New Roman"/>
          <w:sz w:val="24"/>
          <w:szCs w:val="24"/>
          <w:lang w:val="en-US"/>
        </w:rPr>
      </w:pPr>
    </w:p>
    <w:p w14:paraId="6D020777">
      <w:pPr>
        <w:spacing w:line="360" w:lineRule="auto"/>
        <w:jc w:val="both"/>
        <w:rPr>
          <w:rFonts w:hint="default" w:ascii="Times New Roman" w:hAnsi="Times New Roman" w:cs="Times New Roman"/>
          <w:sz w:val="24"/>
          <w:szCs w:val="24"/>
          <w:lang w:val="en-US"/>
        </w:rPr>
      </w:pPr>
    </w:p>
    <w:p w14:paraId="22536F3E">
      <w:pPr>
        <w:spacing w:line="360" w:lineRule="auto"/>
        <w:jc w:val="both"/>
        <w:rPr>
          <w:rFonts w:hint="default" w:ascii="Times New Roman" w:hAnsi="Times New Roman" w:cs="Times New Roman"/>
          <w:sz w:val="24"/>
          <w:szCs w:val="24"/>
          <w:lang w:val="en-US"/>
        </w:rPr>
      </w:pPr>
    </w:p>
    <w:p w14:paraId="30B31545">
      <w:pPr>
        <w:spacing w:line="360" w:lineRule="auto"/>
        <w:jc w:val="both"/>
        <w:rPr>
          <w:rFonts w:hint="default" w:ascii="Times New Roman" w:hAnsi="Times New Roman" w:cs="Times New Roman"/>
          <w:sz w:val="24"/>
          <w:szCs w:val="24"/>
          <w:lang w:val="en-US"/>
        </w:rPr>
      </w:pPr>
    </w:p>
    <w:p w14:paraId="720E7381">
      <w:pPr>
        <w:spacing w:line="360" w:lineRule="auto"/>
        <w:jc w:val="both"/>
        <w:rPr>
          <w:rFonts w:hint="default" w:ascii="Times New Roman" w:hAnsi="Times New Roman" w:cs="Times New Roman"/>
          <w:sz w:val="24"/>
          <w:szCs w:val="24"/>
          <w:lang w:val="en-US"/>
        </w:rPr>
      </w:pPr>
    </w:p>
    <w:p w14:paraId="15441BE8">
      <w:pPr>
        <w:spacing w:line="360" w:lineRule="auto"/>
        <w:jc w:val="both"/>
        <w:rPr>
          <w:rFonts w:hint="default" w:ascii="Times New Roman" w:hAnsi="Times New Roman" w:cs="Times New Roman"/>
          <w:sz w:val="24"/>
          <w:szCs w:val="24"/>
          <w:lang w:val="en-US"/>
        </w:rPr>
      </w:pPr>
    </w:p>
    <w:p w14:paraId="21728DB2">
      <w:pPr>
        <w:spacing w:line="360" w:lineRule="auto"/>
        <w:jc w:val="both"/>
        <w:rPr>
          <w:rFonts w:hint="default" w:ascii="Times New Roman" w:hAnsi="Times New Roman" w:cs="Times New Roman"/>
          <w:sz w:val="24"/>
          <w:szCs w:val="24"/>
          <w:lang w:val="en-US"/>
        </w:rPr>
      </w:pPr>
    </w:p>
    <w:p w14:paraId="2BD6FA0C">
      <w:pPr>
        <w:spacing w:line="360" w:lineRule="auto"/>
        <w:jc w:val="both"/>
        <w:rPr>
          <w:rFonts w:hint="default" w:ascii="Times New Roman" w:hAnsi="Times New Roman" w:cs="Times New Roman"/>
          <w:sz w:val="24"/>
          <w:szCs w:val="24"/>
          <w:lang w:val="en-US"/>
        </w:rPr>
      </w:pPr>
    </w:p>
    <w:p w14:paraId="3B8C1AB8">
      <w:pPr>
        <w:spacing w:line="360" w:lineRule="auto"/>
        <w:jc w:val="both"/>
        <w:rPr>
          <w:rFonts w:hint="default" w:ascii="Times New Roman" w:hAnsi="Times New Roman" w:cs="Times New Roman"/>
          <w:sz w:val="24"/>
          <w:szCs w:val="24"/>
          <w:lang w:val="en-US"/>
        </w:rPr>
      </w:pPr>
    </w:p>
    <w:p w14:paraId="4052AB47">
      <w:pPr>
        <w:spacing w:line="360" w:lineRule="auto"/>
        <w:jc w:val="both"/>
        <w:rPr>
          <w:rFonts w:hint="default" w:ascii="Times New Roman" w:hAnsi="Times New Roman" w:cs="Times New Roman"/>
          <w:sz w:val="24"/>
          <w:szCs w:val="24"/>
          <w:lang w:val="en-US"/>
        </w:rPr>
      </w:pPr>
    </w:p>
    <w:p w14:paraId="4656127F">
      <w:pPr>
        <w:spacing w:line="360" w:lineRule="auto"/>
        <w:jc w:val="both"/>
        <w:rPr>
          <w:rFonts w:hint="default" w:ascii="Times New Roman" w:hAnsi="Times New Roman" w:cs="Times New Roman"/>
          <w:sz w:val="24"/>
          <w:szCs w:val="24"/>
          <w:lang w:val="en-US"/>
        </w:rPr>
      </w:pPr>
    </w:p>
    <w:p w14:paraId="62ED6AE2">
      <w:pPr>
        <w:spacing w:line="360" w:lineRule="auto"/>
        <w:jc w:val="both"/>
        <w:rPr>
          <w:rFonts w:hint="default" w:ascii="Times New Roman" w:hAnsi="Times New Roman" w:cs="Times New Roman"/>
          <w:sz w:val="24"/>
          <w:szCs w:val="24"/>
          <w:lang w:val="en-US"/>
        </w:rPr>
      </w:pPr>
    </w:p>
    <w:p w14:paraId="2D8D7589">
      <w:pPr>
        <w:spacing w:line="360" w:lineRule="auto"/>
        <w:jc w:val="both"/>
        <w:rPr>
          <w:rFonts w:hint="default" w:ascii="Times New Roman" w:hAnsi="Times New Roman" w:cs="Times New Roman"/>
          <w:sz w:val="24"/>
          <w:szCs w:val="24"/>
          <w:lang w:val="en-US"/>
        </w:rPr>
      </w:pPr>
    </w:p>
    <w:p w14:paraId="1882E2F3">
      <w:pPr>
        <w:spacing w:line="360" w:lineRule="auto"/>
        <w:jc w:val="both"/>
        <w:rPr>
          <w:rFonts w:hint="default" w:ascii="Times New Roman" w:hAnsi="Times New Roman" w:cs="Times New Roman"/>
          <w:sz w:val="24"/>
          <w:szCs w:val="24"/>
          <w:lang w:val="en-US"/>
        </w:rPr>
      </w:pPr>
    </w:p>
    <w:p w14:paraId="3EEC5EA0">
      <w:pPr>
        <w:spacing w:line="360" w:lineRule="auto"/>
        <w:jc w:val="both"/>
        <w:rPr>
          <w:rFonts w:hint="default" w:ascii="Times New Roman" w:hAnsi="Times New Roman" w:cs="Times New Roman"/>
          <w:sz w:val="24"/>
          <w:szCs w:val="24"/>
          <w:lang w:val="en-US"/>
        </w:rPr>
      </w:pPr>
    </w:p>
    <w:p w14:paraId="2F6DA52F">
      <w:pPr>
        <w:spacing w:line="360" w:lineRule="auto"/>
        <w:jc w:val="both"/>
        <w:rPr>
          <w:rFonts w:hint="default" w:ascii="Times New Roman" w:hAnsi="Times New Roman" w:cs="Times New Roman"/>
          <w:sz w:val="24"/>
          <w:szCs w:val="24"/>
          <w:lang w:val="en-US"/>
        </w:rPr>
      </w:pPr>
    </w:p>
    <w:p w14:paraId="17F727AD">
      <w:pPr>
        <w:spacing w:line="360" w:lineRule="auto"/>
        <w:jc w:val="both"/>
        <w:rPr>
          <w:rFonts w:hint="default" w:ascii="Times New Roman" w:hAnsi="Times New Roman" w:cs="Times New Roman"/>
          <w:sz w:val="24"/>
          <w:szCs w:val="24"/>
          <w:lang w:val="en-US"/>
        </w:rPr>
      </w:pPr>
    </w:p>
    <w:p w14:paraId="4A19F75E">
      <w:pPr>
        <w:spacing w:line="360" w:lineRule="auto"/>
        <w:jc w:val="both"/>
        <w:rPr>
          <w:rFonts w:hint="default" w:ascii="Times New Roman" w:hAnsi="Times New Roman" w:cs="Times New Roman"/>
          <w:sz w:val="24"/>
          <w:szCs w:val="24"/>
          <w:lang w:val="en-US"/>
        </w:rPr>
      </w:pPr>
    </w:p>
    <w:p w14:paraId="1D965B77">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CHAPTER ONE</w:t>
      </w:r>
    </w:p>
    <w:p w14:paraId="75B95C00">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INTRODUCTION</w:t>
      </w:r>
    </w:p>
    <w:p w14:paraId="28BA4791">
      <w:pPr>
        <w:spacing w:line="360" w:lineRule="auto"/>
        <w:jc w:val="center"/>
        <w:rPr>
          <w:rFonts w:hint="default" w:ascii="Times New Roman" w:hAnsi="Times New Roman" w:cs="Times New Roman"/>
          <w:sz w:val="24"/>
          <w:szCs w:val="24"/>
          <w:lang w:val="en-US"/>
        </w:rPr>
      </w:pPr>
    </w:p>
    <w:p w14:paraId="5E3E0776">
      <w:pPr>
        <w:spacing w:line="360" w:lineRule="auto"/>
        <w:jc w:val="center"/>
        <w:rPr>
          <w:rFonts w:hint="default" w:ascii="Times New Roman" w:hAnsi="Times New Roman" w:cs="Times New Roman"/>
          <w:sz w:val="24"/>
          <w:szCs w:val="24"/>
          <w:lang w:val="en-US"/>
        </w:rPr>
      </w:pPr>
    </w:p>
    <w:p w14:paraId="4B73470D">
      <w:pPr>
        <w:numPr>
          <w:ilvl w:val="1"/>
          <w:numId w:val="1"/>
        </w:num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Background to the study</w:t>
      </w:r>
    </w:p>
    <w:p w14:paraId="41AFCFEB">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Mobile technology has  become one of the most useful components of peer to peer interaction and resource exchange in the modern era. Across the world, mobile applications are increasingly being developed in order to tackle everyday activities and challenges from ride bookings to food delivery and digital payments to item sharing platforms. Globally, the cloth swapping application market was valued at USD 3.5 billion in 2023 and  is projected to grow at a compound annual growth rate  of 18.2% through 2032, driven by the growing rate of smart phones and increased awareness of sustainable resource practices (DataIntelo, 2023). Cross platform mobile development frameworks have further altered this space by allowing developers to build applications deployable on both Android and IOS from a single codebase, with React Native being used by approximately 35% of developers worldwide for cross platform development as of 2023 (University of  Amsterdam, 2025).</w:t>
      </w:r>
    </w:p>
    <w:p w14:paraId="38F1A95B">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Nigeria, the implementation of mobile technology has increased considerably, with the ICT sector contributing approximately 20% to real GDP in the second quarter of 2024 and over 163 million Nigerians having internet access as of March 2024 (U.S. Department of  Commerce, 2024). Within this context, the National Youth Service Corps which is a mandatory post tertiary national service programme established by the Nigerian government in 1973 to foster national unity and development among graduates, represents a unique institutional environment where mobile solutions remain largely underutilized (Wikipedia, 2024). As part of the NYSC programme, corps members undertake a 21 day orientation camp, during which they are issued standardized clothing items commonly referred to as the NYSC kit, which they are required to wear throughout the camp period (Igboke, 2024).</w:t>
      </w:r>
    </w:p>
    <w:p w14:paraId="2A30258F">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Due to the uniform nature of kit distribution and the different categories of body sizes among corps members, many members collect kit items that do not fit them perfectly . This mismatch is a widely acknowledged experience across Nigeria’s 37 orientation camps (Hirekoppa, 2024). The usual response to this challenge are for corp members to search for other members who will willingly exchange with them through word to mouth communciation and uncordinated movements within the camp. In more extreme cases, corps members have resorted to purchasing replacements kits from online marketplaces such as jiji, which leads to avoidable financial costs (igboke, 2024). </w:t>
      </w:r>
    </w:p>
    <w:p w14:paraId="285CAB42">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Given Nigeria’s expanding digital landscape and the proven capacity of mobile platforms to contain peer to peer coordination in other sectors, there exists a clear opportunity to apply similar technology to resolve this recurring welfare challenge within NYSC orientation camps. No dedicated digital platform currently exists to contain efficient, location specific clothing exchange among corps members within the same camp. This gap encourages the design and implementation of Pointswap, a mobile based clothing exchange system built for the NYSC orientation camp environment, which forms the subject of this study.</w:t>
      </w:r>
    </w:p>
    <w:p w14:paraId="151F8E02">
      <w:pPr>
        <w:numPr>
          <w:ilvl w:val="0"/>
          <w:numId w:val="0"/>
        </w:numPr>
        <w:spacing w:line="360" w:lineRule="auto"/>
        <w:ind w:leftChars="0"/>
        <w:jc w:val="both"/>
        <w:rPr>
          <w:rFonts w:hint="default" w:ascii="Times New Roman" w:hAnsi="Times New Roman" w:cs="Times New Roman"/>
          <w:sz w:val="24"/>
          <w:szCs w:val="24"/>
          <w:lang w:val="en-US"/>
        </w:rPr>
      </w:pPr>
    </w:p>
    <w:p w14:paraId="5F807220">
      <w:pPr>
        <w:numPr>
          <w:ilvl w:val="1"/>
          <w:numId w:val="1"/>
        </w:numPr>
        <w:spacing w:line="360" w:lineRule="auto"/>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Statement of the Problem</w:t>
      </w:r>
    </w:p>
    <w:p w14:paraId="5F7F3C66">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It was observed that during NYSC orientation camp, corps members who receive kit items that do not fit them are left without any helpful means of finding a suitable exchange partner. The process of locating another corps member with the right item in the right size depends entirely on chance encounters, unneccessary physical communication and movements from one place to another within the camp, which is time consuming and distruptive to the structured camp schedule.</w:t>
      </w:r>
    </w:p>
    <w:p w14:paraId="4A1DA06E">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absence of a centralised platform means that even when willing exchange members exist within the same camp, they will probably be unable to find each other efficiently. Corps members with mismatched items and those who would benefit from them remain unaware of each others availability, resulting in unnecessary discomfort throughout the orientation period.</w:t>
      </w:r>
    </w:p>
    <w:p w14:paraId="4682E5E1">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While peer to peer exchange platforms exists in other contexts, none are tailored to the specific concept of an NYSC orientation camp, a closed temporary and location based community where users interact with each other and operate within a short time window.</w:t>
      </w:r>
    </w:p>
    <w:p w14:paraId="4C94A978">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study proposes the design and implementation of PointSwap, a mobile application that allows NYSC corps members within the same orientation camp to upload available clothing items, browse items from other members, communicate in real time and cordinated exchanges, thereby addressing the identified gap in an organised and efficient manner.</w:t>
      </w:r>
    </w:p>
    <w:p w14:paraId="68A53F41">
      <w:pPr>
        <w:numPr>
          <w:ilvl w:val="0"/>
          <w:numId w:val="0"/>
        </w:numPr>
        <w:spacing w:line="360" w:lineRule="auto"/>
        <w:ind w:leftChars="0"/>
        <w:jc w:val="both"/>
        <w:rPr>
          <w:rFonts w:hint="default" w:ascii="Times New Roman" w:hAnsi="Times New Roman" w:cs="Times New Roman"/>
          <w:sz w:val="24"/>
          <w:szCs w:val="24"/>
          <w:lang w:val="en-US"/>
        </w:rPr>
      </w:pPr>
    </w:p>
    <w:p w14:paraId="7D894472">
      <w:pPr>
        <w:numPr>
          <w:ilvl w:val="1"/>
          <w:numId w:val="1"/>
        </w:numPr>
        <w:spacing w:line="360" w:lineRule="auto"/>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Aim and Objectives of the Study</w:t>
      </w:r>
    </w:p>
    <w:p w14:paraId="079A1530">
      <w:pPr>
        <w:numPr>
          <w:ilvl w:val="0"/>
          <w:numId w:val="0"/>
        </w:numPr>
        <w:spacing w:line="360" w:lineRule="auto"/>
        <w:ind w:leftChars="0"/>
        <w:jc w:val="both"/>
        <w:rPr>
          <w:rFonts w:hint="default" w:ascii="Times New Roman" w:hAnsi="Times New Roman" w:cs="Times New Roman"/>
          <w:b/>
          <w:bCs/>
          <w:sz w:val="24"/>
          <w:szCs w:val="24"/>
          <w:lang w:val="en-US"/>
        </w:rPr>
      </w:pPr>
    </w:p>
    <w:p w14:paraId="35BCAA99">
      <w:pPr>
        <w:numPr>
          <w:ilvl w:val="2"/>
          <w:numId w:val="1"/>
        </w:numPr>
        <w:spacing w:line="360" w:lineRule="auto"/>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General Aim</w:t>
      </w:r>
    </w:p>
    <w:p w14:paraId="682C5D69">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general aim of this study is to design and implement a mobile based clothing exchange system that facilitates efficient swapping of ill fitting uniform items among NYSC corps members within the same orientation camp.</w:t>
      </w:r>
    </w:p>
    <w:p w14:paraId="1CF4E34D">
      <w:pPr>
        <w:numPr>
          <w:ilvl w:val="0"/>
          <w:numId w:val="0"/>
        </w:numPr>
        <w:spacing w:line="360" w:lineRule="auto"/>
        <w:ind w:leftChars="0"/>
        <w:jc w:val="both"/>
        <w:rPr>
          <w:rFonts w:hint="default" w:ascii="Times New Roman" w:hAnsi="Times New Roman" w:cs="Times New Roman"/>
          <w:sz w:val="24"/>
          <w:szCs w:val="24"/>
          <w:lang w:val="en-US"/>
        </w:rPr>
      </w:pPr>
    </w:p>
    <w:p w14:paraId="54234F06">
      <w:pPr>
        <w:numPr>
          <w:ilvl w:val="2"/>
          <w:numId w:val="1"/>
        </w:numPr>
        <w:spacing w:line="360" w:lineRule="auto"/>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Specific Objectives</w:t>
      </w:r>
    </w:p>
    <w:p w14:paraId="2B37B93F">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specific objectives of the study are to: </w:t>
      </w:r>
    </w:p>
    <w:p w14:paraId="4F8E6145">
      <w:pPr>
        <w:numPr>
          <w:ilvl w:val="0"/>
          <w:numId w:val="2"/>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Desgin a mobile application that enables NYSC corps members to upload clothing items for exchange</w:t>
      </w:r>
    </w:p>
    <w:p w14:paraId="661A9BB3">
      <w:pPr>
        <w:numPr>
          <w:ilvl w:val="0"/>
          <w:numId w:val="2"/>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Implement a location based feed that displays available clothing items exclusively within the users assigned camp</w:t>
      </w:r>
    </w:p>
    <w:p w14:paraId="52E302D8">
      <w:pPr>
        <w:numPr>
          <w:ilvl w:val="0"/>
          <w:numId w:val="2"/>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Develop a real time messaging feature that allow users to communicate and plan clothing swaps</w:t>
      </w:r>
    </w:p>
    <w:p w14:paraId="36755D4A">
      <w:pPr>
        <w:numPr>
          <w:ilvl w:val="0"/>
          <w:numId w:val="2"/>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Provide search and filtering options based on clothing size and type.</w:t>
      </w:r>
    </w:p>
    <w:p w14:paraId="6F63A159">
      <w:pPr>
        <w:numPr>
          <w:ilvl w:val="0"/>
          <w:numId w:val="0"/>
        </w:numPr>
        <w:spacing w:line="360" w:lineRule="auto"/>
        <w:jc w:val="both"/>
        <w:rPr>
          <w:rFonts w:hint="default" w:ascii="Times New Roman" w:hAnsi="Times New Roman" w:cs="Times New Roman"/>
          <w:sz w:val="24"/>
          <w:szCs w:val="24"/>
          <w:lang w:val="en-US"/>
        </w:rPr>
      </w:pPr>
    </w:p>
    <w:p w14:paraId="1580ECBE">
      <w:pPr>
        <w:numPr>
          <w:ilvl w:val="1"/>
          <w:numId w:val="1"/>
        </w:numPr>
        <w:spacing w:line="360" w:lineRule="auto"/>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Scope of the Study</w:t>
      </w:r>
    </w:p>
    <w:p w14:paraId="6EF352BF">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study focuses on the design and implementation of PointSwap, a mobile based clothing exchange system intended for NYSC corps members within a single orientation camp at any given time. The system allows authenticated users to upload clothing items, browse a location filtered shared feed along with communication in real time and arrangment of in person exhanges within the camp environment.</w:t>
      </w:r>
    </w:p>
    <w:p w14:paraId="15CB3C7A">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scope is limited to mobile platforms and does not extend to web based access. The system is restricted to non monetary clothing exchanges and does not include provisions for buying, selling, delivery logitistics or payment processsing. The application is designed strictly for use during the NYSC orientation camp peruod and does not address clothing distribution by NYSC officials, or is intended for use beyond the camp context.</w:t>
      </w:r>
    </w:p>
    <w:p w14:paraId="5A113842">
      <w:pPr>
        <w:numPr>
          <w:ilvl w:val="0"/>
          <w:numId w:val="0"/>
        </w:numPr>
        <w:spacing w:line="360" w:lineRule="auto"/>
        <w:ind w:leftChars="0"/>
        <w:jc w:val="both"/>
        <w:rPr>
          <w:rFonts w:hint="default" w:ascii="Times New Roman" w:hAnsi="Times New Roman" w:cs="Times New Roman"/>
          <w:sz w:val="24"/>
          <w:szCs w:val="24"/>
          <w:lang w:val="en-US"/>
        </w:rPr>
      </w:pPr>
    </w:p>
    <w:p w14:paraId="5DCD88F7">
      <w:pPr>
        <w:numPr>
          <w:ilvl w:val="1"/>
          <w:numId w:val="1"/>
        </w:numPr>
        <w:spacing w:line="360" w:lineRule="auto"/>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Significance of the Study</w:t>
      </w:r>
    </w:p>
    <w:p w14:paraId="30B3453B">
      <w:pPr>
        <w:numPr>
          <w:ilvl w:val="2"/>
          <w:numId w:val="1"/>
        </w:numPr>
        <w:spacing w:line="360" w:lineRule="auto"/>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Academic Contribution</w:t>
      </w:r>
    </w:p>
    <w:p w14:paraId="544DDBF8">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study contributes to academic knowledge in the aspect of mobile application development, peer to peer exchange systems and location based services. It demonstrates how these technical aspects can be implemented into a single, context specific solution for a temporary community. This study also extends Technology Acceptance Model (TAM) considerations to non commercial, community specific mobile systems, contributing to the broader theoretical aspect on mobile adoption in international settings.</w:t>
      </w:r>
    </w:p>
    <w:p w14:paraId="5B1CA4AA">
      <w:pPr>
        <w:numPr>
          <w:ilvl w:val="0"/>
          <w:numId w:val="0"/>
        </w:numPr>
        <w:spacing w:line="360" w:lineRule="auto"/>
        <w:ind w:leftChars="0"/>
        <w:jc w:val="both"/>
        <w:rPr>
          <w:rFonts w:hint="default" w:ascii="Times New Roman" w:hAnsi="Times New Roman" w:cs="Times New Roman"/>
          <w:sz w:val="24"/>
          <w:szCs w:val="24"/>
          <w:lang w:val="en-US"/>
        </w:rPr>
      </w:pPr>
    </w:p>
    <w:p w14:paraId="1B5AECD7">
      <w:pPr>
        <w:numPr>
          <w:ilvl w:val="2"/>
          <w:numId w:val="1"/>
        </w:numPr>
        <w:spacing w:line="360" w:lineRule="auto"/>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Practical Contribution</w:t>
      </w:r>
    </w:p>
    <w:p w14:paraId="0AE3A0A1">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study offers an organized, efficient and user friendly platform for corp members to resolve clothing exchange challenges without disrupting the camp schedule. By reducing the time and physical effort involved in physical exchanges, the app directly improves the welfare and comfort of NYSC members during orientation.</w:t>
      </w:r>
    </w:p>
    <w:p w14:paraId="7AF9D5A6">
      <w:pPr>
        <w:numPr>
          <w:ilvl w:val="0"/>
          <w:numId w:val="0"/>
        </w:numPr>
        <w:spacing w:line="360" w:lineRule="auto"/>
        <w:ind w:leftChars="0"/>
        <w:jc w:val="both"/>
        <w:rPr>
          <w:rFonts w:hint="default" w:ascii="Times New Roman" w:hAnsi="Times New Roman" w:cs="Times New Roman"/>
          <w:sz w:val="24"/>
          <w:szCs w:val="24"/>
          <w:lang w:val="en-US"/>
        </w:rPr>
      </w:pPr>
    </w:p>
    <w:p w14:paraId="11998F10">
      <w:pPr>
        <w:numPr>
          <w:ilvl w:val="2"/>
          <w:numId w:val="1"/>
        </w:numPr>
        <w:spacing w:line="360" w:lineRule="auto"/>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Policy and Institutional Relevance</w:t>
      </w:r>
    </w:p>
    <w:p w14:paraId="518C607A">
      <w:pPr>
        <w:numPr>
          <w:ilvl w:val="0"/>
          <w:numId w:val="0"/>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study supports the welfare objectives of the Nigerian Youth Service Corps by promoting better organization and convenience within orientation camps. If adopted the system could complement existing NYSC processes and enhance overall camp management through the use of digital solutions.</w:t>
      </w:r>
    </w:p>
    <w:p w14:paraId="4E805C7E">
      <w:pPr>
        <w:numPr>
          <w:ilvl w:val="0"/>
          <w:numId w:val="0"/>
        </w:numPr>
        <w:spacing w:line="360" w:lineRule="auto"/>
        <w:ind w:leftChars="0"/>
        <w:jc w:val="both"/>
        <w:rPr>
          <w:rFonts w:hint="default" w:ascii="Times New Roman" w:hAnsi="Times New Roman" w:cs="Times New Roman"/>
          <w:b/>
          <w:bCs/>
          <w:sz w:val="24"/>
          <w:szCs w:val="24"/>
          <w:lang w:val="en-US"/>
        </w:rPr>
      </w:pPr>
    </w:p>
    <w:p w14:paraId="24BEFA40">
      <w:pPr>
        <w:numPr>
          <w:ilvl w:val="1"/>
          <w:numId w:val="1"/>
        </w:numPr>
        <w:spacing w:line="360" w:lineRule="auto"/>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Limitation of the Study</w:t>
      </w:r>
    </w:p>
    <w:p w14:paraId="1BE5A1CA">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This study is subject to a number of limitations that may affect the generability and scope of its findings. </w:t>
      </w:r>
    </w:p>
    <w:p w14:paraId="31C151A2">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First, the system is designed and tested within the context of a single NYSC orientation camp, and the results may not fully reflect the manner of using it across all 37 orientation camps in Nigeria, where each may differ in size, connectivity, infrastructure as well as user demographics.</w:t>
      </w:r>
    </w:p>
    <w:p w14:paraId="6E3FF9A2">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Second, user adoption and engagement depends on the availability of smart phones as well as stable internet connectivity within the camp environment. While mobile phone penetration in Nigeria is high, network reliability within specific camp locations cannot be guaranteed. Poor connectivity could limit the effectiveness of real time messaging and feed loading features.</w:t>
      </w:r>
    </w:p>
    <w:p w14:paraId="4582FD4D">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Lastly, the study relies on self reported user feedback and system usage data collected during a limited time period  such as the 21 day orientation camp period.  This restricts the prolonged evaluation process of system performance and long term adoption behaviour.</w:t>
      </w:r>
    </w:p>
    <w:p w14:paraId="5DB3169E">
      <w:pPr>
        <w:numPr>
          <w:ilvl w:val="0"/>
          <w:numId w:val="0"/>
        </w:numPr>
        <w:spacing w:line="360" w:lineRule="auto"/>
        <w:ind w:leftChars="0"/>
        <w:jc w:val="both"/>
        <w:rPr>
          <w:rFonts w:hint="default" w:ascii="Times New Roman" w:hAnsi="Times New Roman" w:cs="Times New Roman"/>
          <w:sz w:val="24"/>
          <w:szCs w:val="24"/>
          <w:lang w:val="en-US"/>
        </w:rPr>
      </w:pPr>
    </w:p>
    <w:p w14:paraId="6E64BE5D">
      <w:pPr>
        <w:numPr>
          <w:ilvl w:val="1"/>
          <w:numId w:val="1"/>
        </w:numPr>
        <w:spacing w:line="360" w:lineRule="auto"/>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Definition of Terms</w:t>
      </w:r>
    </w:p>
    <w:p w14:paraId="11737E1E">
      <w:pPr>
        <w:numPr>
          <w:ilvl w:val="0"/>
          <w:numId w:val="0"/>
        </w:numPr>
        <w:spacing w:line="360" w:lineRule="auto"/>
        <w:ind w:leftChars="0"/>
        <w:jc w:val="both"/>
        <w:rPr>
          <w:rFonts w:hint="default" w:ascii="Times New Roman" w:hAnsi="Times New Roman" w:cs="Times New Roman"/>
          <w:b w:val="0"/>
          <w:bCs w:val="0"/>
          <w:sz w:val="24"/>
          <w:szCs w:val="24"/>
          <w:lang w:val="en-US"/>
        </w:rPr>
      </w:pPr>
    </w:p>
    <w:p w14:paraId="39B0D5B2">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NYSC (National Youth Service Corps)</w:t>
      </w:r>
      <w:r>
        <w:rPr>
          <w:rFonts w:hint="default" w:ascii="Times New Roman" w:hAnsi="Times New Roman" w:cs="Times New Roman"/>
          <w:sz w:val="24"/>
          <w:szCs w:val="24"/>
          <w:lang w:val="en-US"/>
        </w:rPr>
        <w:t>: A mandatory one year post terriary national service programme that was established by the Nigerian government in 1973 requiring graduates from universities to serve in states other than their states of orgin (Wikipedia,2024)</w:t>
      </w:r>
    </w:p>
    <w:p w14:paraId="1A34EFC7">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Orientation Camp</w:t>
      </w:r>
      <w:r>
        <w:rPr>
          <w:rFonts w:hint="default" w:ascii="Times New Roman" w:hAnsi="Times New Roman" w:cs="Times New Roman"/>
          <w:sz w:val="24"/>
          <w:szCs w:val="24"/>
          <w:lang w:val="en-US"/>
        </w:rPr>
        <w:t>: A 21 day regimented residential programme containing the first phase of the NYSC scheme, during which corps members receive training are issued kit items and participate in structured activities (Igboke,2024)</w:t>
      </w:r>
    </w:p>
    <w:p w14:paraId="0B3E70FD">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NYSC kit:</w:t>
      </w:r>
      <w:r>
        <w:rPr>
          <w:rFonts w:hint="default" w:ascii="Times New Roman" w:hAnsi="Times New Roman" w:cs="Times New Roman"/>
          <w:sz w:val="24"/>
          <w:szCs w:val="24"/>
          <w:lang w:val="en-US"/>
        </w:rPr>
        <w:t xml:space="preserve"> This is the standardized uniform and clothing item that is issued to corps members at the commencement of the orientation camp.(MonoEd Africa, 2025)</w:t>
      </w:r>
    </w:p>
    <w:p w14:paraId="2B997D7C">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React Native</w:t>
      </w:r>
      <w:r>
        <w:rPr>
          <w:rFonts w:hint="default" w:ascii="Times New Roman" w:hAnsi="Times New Roman" w:cs="Times New Roman"/>
          <w:sz w:val="24"/>
          <w:szCs w:val="24"/>
          <w:lang w:val="en-US"/>
        </w:rPr>
        <w:t>: An open source cross platform mobile application development framework created by Meta that enables developers to build IOS and Android applications from a single JavaScript codebase (Ramachandrappa, 2024).</w:t>
      </w:r>
    </w:p>
    <w:p w14:paraId="3F70AA55">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Peer to Peer (P2P) System</w:t>
      </w:r>
      <w:r>
        <w:rPr>
          <w:rFonts w:hint="default" w:ascii="Times New Roman" w:hAnsi="Times New Roman" w:cs="Times New Roman"/>
          <w:sz w:val="24"/>
          <w:szCs w:val="24"/>
          <w:lang w:val="en-US"/>
        </w:rPr>
        <w:t xml:space="preserve">: A digital system that facilitates direct interaction and exchange between users without the intervention of a central intermediary (Blanco Oliver </w:t>
      </w:r>
      <w:r>
        <w:rPr>
          <w:rFonts w:hint="default" w:ascii="Times New Roman" w:hAnsi="Times New Roman" w:cs="Times New Roman"/>
          <w:i/>
          <w:iCs/>
          <w:sz w:val="24"/>
          <w:szCs w:val="24"/>
          <w:lang w:val="en-US"/>
        </w:rPr>
        <w:t>et al,</w:t>
      </w:r>
      <w:r>
        <w:rPr>
          <w:rFonts w:hint="default" w:ascii="Times New Roman" w:hAnsi="Times New Roman" w:cs="Times New Roman"/>
          <w:sz w:val="24"/>
          <w:szCs w:val="24"/>
          <w:lang w:val="en-US"/>
        </w:rPr>
        <w:t xml:space="preserve"> 2024)</w:t>
      </w:r>
    </w:p>
    <w:p w14:paraId="7F491CC6">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Location Based Service (LBS)</w:t>
      </w:r>
      <w:r>
        <w:rPr>
          <w:rFonts w:hint="default" w:ascii="Times New Roman" w:hAnsi="Times New Roman" w:cs="Times New Roman"/>
          <w:sz w:val="24"/>
          <w:szCs w:val="24"/>
          <w:lang w:val="en-US"/>
        </w:rPr>
        <w:t>: A digital service that delivers content or functionality based on a users geographic location, enabling proximity aware filtering and interaction (Guo Jeyaraj and Razali, 2024)</w:t>
      </w:r>
    </w:p>
    <w:p w14:paraId="13DA7962">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Real Time Messaging</w:t>
      </w:r>
      <w:r>
        <w:rPr>
          <w:rFonts w:hint="default" w:ascii="Times New Roman" w:hAnsi="Times New Roman" w:cs="Times New Roman"/>
          <w:sz w:val="24"/>
          <w:szCs w:val="24"/>
          <w:lang w:val="en-US"/>
        </w:rPr>
        <w:t>: A communication mechanism that enables the near instant exchange of text messages between users within a digital platform usually supported by protocols such as Web Sockets  (Zhang, 2024)</w:t>
      </w:r>
    </w:p>
    <w:p w14:paraId="6C54B4D0">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PointSwap</w:t>
      </w:r>
      <w:r>
        <w:rPr>
          <w:rFonts w:hint="default" w:ascii="Times New Roman" w:hAnsi="Times New Roman" w:cs="Times New Roman"/>
          <w:sz w:val="24"/>
          <w:szCs w:val="24"/>
          <w:lang w:val="en-US"/>
        </w:rPr>
        <w:t>: The mobile application developed in this study which is designed to facilitate clothing exchange among NYSC corps members within the same orientation camp.</w:t>
      </w:r>
    </w:p>
    <w:p w14:paraId="16B26AB8">
      <w:pPr>
        <w:numPr>
          <w:ilvl w:val="0"/>
          <w:numId w:val="0"/>
        </w:numPr>
        <w:spacing w:line="360" w:lineRule="auto"/>
        <w:ind w:leftChars="0"/>
        <w:jc w:val="both"/>
        <w:rPr>
          <w:rFonts w:hint="default" w:ascii="Times New Roman" w:hAnsi="Times New Roman" w:cs="Times New Roman"/>
          <w:sz w:val="24"/>
          <w:szCs w:val="24"/>
          <w:lang w:val="en-US"/>
        </w:rPr>
      </w:pPr>
    </w:p>
    <w:p w14:paraId="1424D161">
      <w:pPr>
        <w:numPr>
          <w:ilvl w:val="0"/>
          <w:numId w:val="0"/>
        </w:numPr>
        <w:spacing w:line="360" w:lineRule="auto"/>
        <w:ind w:leftChars="0"/>
        <w:jc w:val="both"/>
        <w:rPr>
          <w:rFonts w:hint="default" w:ascii="Times New Roman" w:hAnsi="Times New Roman" w:cs="Times New Roman"/>
          <w:sz w:val="24"/>
          <w:szCs w:val="24"/>
          <w:lang w:val="en-US"/>
        </w:rPr>
      </w:pPr>
    </w:p>
    <w:p w14:paraId="5FDDAD9F">
      <w:pPr>
        <w:numPr>
          <w:ilvl w:val="0"/>
          <w:numId w:val="0"/>
        </w:numPr>
        <w:spacing w:line="360" w:lineRule="auto"/>
        <w:ind w:leftChars="0"/>
        <w:jc w:val="both"/>
        <w:rPr>
          <w:rFonts w:hint="default" w:ascii="Times New Roman" w:hAnsi="Times New Roman" w:cs="Times New Roman"/>
          <w:sz w:val="24"/>
          <w:szCs w:val="24"/>
          <w:lang w:val="en-US"/>
        </w:rPr>
      </w:pPr>
    </w:p>
    <w:p w14:paraId="6DA05088">
      <w:pPr>
        <w:numPr>
          <w:ilvl w:val="0"/>
          <w:numId w:val="0"/>
        </w:numPr>
        <w:spacing w:line="360" w:lineRule="auto"/>
        <w:ind w:leftChars="0"/>
        <w:jc w:val="both"/>
        <w:rPr>
          <w:rFonts w:hint="default" w:ascii="Times New Roman" w:hAnsi="Times New Roman" w:cs="Times New Roman"/>
          <w:sz w:val="24"/>
          <w:szCs w:val="24"/>
          <w:lang w:val="en-US"/>
        </w:rPr>
      </w:pPr>
    </w:p>
    <w:p w14:paraId="27FACA61">
      <w:pPr>
        <w:numPr>
          <w:ilvl w:val="0"/>
          <w:numId w:val="0"/>
        </w:numPr>
        <w:spacing w:line="360" w:lineRule="auto"/>
        <w:ind w:leftChars="0"/>
        <w:jc w:val="both"/>
        <w:rPr>
          <w:rFonts w:hint="default" w:ascii="Times New Roman" w:hAnsi="Times New Roman" w:cs="Times New Roman"/>
          <w:sz w:val="24"/>
          <w:szCs w:val="24"/>
          <w:lang w:val="en-US"/>
        </w:rPr>
      </w:pPr>
    </w:p>
    <w:p w14:paraId="23F42CDB">
      <w:pPr>
        <w:numPr>
          <w:ilvl w:val="0"/>
          <w:numId w:val="0"/>
        </w:numPr>
        <w:spacing w:line="360" w:lineRule="auto"/>
        <w:ind w:leftChars="0"/>
        <w:jc w:val="both"/>
        <w:rPr>
          <w:rFonts w:hint="default" w:ascii="Times New Roman" w:hAnsi="Times New Roman" w:cs="Times New Roman"/>
          <w:sz w:val="24"/>
          <w:szCs w:val="24"/>
          <w:lang w:val="en-US"/>
        </w:rPr>
      </w:pPr>
    </w:p>
    <w:p w14:paraId="27F7D2E5">
      <w:pPr>
        <w:numPr>
          <w:ilvl w:val="0"/>
          <w:numId w:val="0"/>
        </w:numPr>
        <w:spacing w:line="360" w:lineRule="auto"/>
        <w:ind w:leftChars="0"/>
        <w:jc w:val="both"/>
        <w:rPr>
          <w:rFonts w:hint="default" w:ascii="Times New Roman" w:hAnsi="Times New Roman" w:cs="Times New Roman"/>
          <w:sz w:val="24"/>
          <w:szCs w:val="24"/>
          <w:lang w:val="en-US"/>
        </w:rPr>
      </w:pPr>
    </w:p>
    <w:p w14:paraId="6D7F7225">
      <w:pPr>
        <w:numPr>
          <w:ilvl w:val="0"/>
          <w:numId w:val="0"/>
        </w:numPr>
        <w:spacing w:line="360" w:lineRule="auto"/>
        <w:ind w:leftChars="0"/>
        <w:jc w:val="center"/>
        <w:rPr>
          <w:rFonts w:hint="default" w:ascii="Times New Roman" w:hAnsi="Times New Roman"/>
          <w:b/>
          <w:bCs/>
          <w:sz w:val="24"/>
          <w:szCs w:val="24"/>
          <w:lang w:val="en-US"/>
        </w:rPr>
      </w:pPr>
      <w:r>
        <w:rPr>
          <w:rFonts w:hint="default" w:ascii="Times New Roman" w:hAnsi="Times New Roman"/>
          <w:b/>
          <w:bCs/>
          <w:sz w:val="24"/>
          <w:szCs w:val="24"/>
          <w:lang w:val="en-US"/>
        </w:rPr>
        <w:t>CHAPTER TWO</w:t>
      </w:r>
    </w:p>
    <w:p w14:paraId="42052BAD">
      <w:pPr>
        <w:numPr>
          <w:ilvl w:val="0"/>
          <w:numId w:val="0"/>
        </w:numPr>
        <w:spacing w:line="360" w:lineRule="auto"/>
        <w:ind w:leftChars="0"/>
        <w:jc w:val="center"/>
        <w:rPr>
          <w:rFonts w:hint="default" w:ascii="Times New Roman" w:hAnsi="Times New Roman"/>
          <w:b/>
          <w:bCs/>
          <w:sz w:val="24"/>
          <w:szCs w:val="24"/>
          <w:lang w:val="en-US"/>
        </w:rPr>
      </w:pPr>
      <w:r>
        <w:rPr>
          <w:rFonts w:hint="default" w:ascii="Times New Roman" w:hAnsi="Times New Roman"/>
          <w:b/>
          <w:bCs/>
          <w:sz w:val="24"/>
          <w:szCs w:val="24"/>
          <w:lang w:val="en-US"/>
        </w:rPr>
        <w:t>LITERATURE REVIEW</w:t>
      </w:r>
    </w:p>
    <w:p w14:paraId="2EA4DC76">
      <w:pPr>
        <w:numPr>
          <w:ilvl w:val="0"/>
          <w:numId w:val="0"/>
        </w:numPr>
        <w:spacing w:line="360" w:lineRule="auto"/>
        <w:ind w:leftChars="0"/>
        <w:jc w:val="center"/>
        <w:rPr>
          <w:rFonts w:hint="default" w:ascii="Times New Roman" w:hAnsi="Times New Roman"/>
          <w:b/>
          <w:bCs/>
          <w:sz w:val="24"/>
          <w:szCs w:val="24"/>
          <w:lang w:val="en-US"/>
        </w:rPr>
      </w:pPr>
    </w:p>
    <w:p w14:paraId="37941BA7">
      <w:pPr>
        <w:numPr>
          <w:ilvl w:val="0"/>
          <w:numId w:val="0"/>
        </w:numPr>
        <w:spacing w:line="360" w:lineRule="auto"/>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2.1 Introduction</w:t>
      </w:r>
    </w:p>
    <w:p w14:paraId="047F4896">
      <w:pPr>
        <w:numPr>
          <w:ilvl w:val="0"/>
          <w:numId w:val="0"/>
        </w:numPr>
        <w:spacing w:line="36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This chapter presents a review of related literature to the design and implementation of a mobile based clothing exchange system for NYSC orientation camps, the review is organized around the domain of peer to peer (P2P) exchange and sharing systems which contains the central theoretical and practical framework within which this system operates on. This chapter examines empirical studies along with existing platforms and applied systems that deal with P2P exchange, collaborative consumption, clothing swapping applications, community specific sharing platforms along with real time communication and location based service delivery. Each reviewed work is analyzed for its contribution to knowledge and the specific research gap it leaves, which collectively justifies the need  for Pointswap as a distinct contribution to the field.</w:t>
      </w:r>
    </w:p>
    <w:p w14:paraId="52C7107C">
      <w:pPr>
        <w:numPr>
          <w:ilvl w:val="0"/>
          <w:numId w:val="0"/>
        </w:numPr>
        <w:spacing w:line="360" w:lineRule="auto"/>
        <w:ind w:leftChars="0"/>
        <w:jc w:val="both"/>
        <w:rPr>
          <w:rFonts w:hint="default" w:ascii="Times New Roman" w:hAnsi="Times New Roman"/>
          <w:b w:val="0"/>
          <w:bCs w:val="0"/>
          <w:sz w:val="24"/>
          <w:szCs w:val="24"/>
          <w:lang w:val="en-US"/>
        </w:rPr>
      </w:pPr>
    </w:p>
    <w:p w14:paraId="56851B3D">
      <w:pPr>
        <w:numPr>
          <w:ilvl w:val="0"/>
          <w:numId w:val="0"/>
        </w:numPr>
        <w:spacing w:line="360" w:lineRule="auto"/>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2.2 Related Works</w:t>
      </w:r>
    </w:p>
    <w:p w14:paraId="3911EA7D">
      <w:pPr>
        <w:numPr>
          <w:ilvl w:val="0"/>
          <w:numId w:val="0"/>
        </w:numPr>
        <w:spacing w:line="360" w:lineRule="auto"/>
        <w:ind w:leftChars="0"/>
        <w:jc w:val="both"/>
        <w:rPr>
          <w:rFonts w:hint="default" w:ascii="Times New Roman" w:hAnsi="Times New Roman"/>
          <w:b/>
          <w:bCs/>
          <w:sz w:val="24"/>
          <w:szCs w:val="24"/>
          <w:lang w:val="en-US"/>
        </w:rPr>
      </w:pPr>
    </w:p>
    <w:p w14:paraId="104D32EF">
      <w:pPr>
        <w:numPr>
          <w:ilvl w:val="0"/>
          <w:numId w:val="0"/>
        </w:numPr>
        <w:spacing w:line="360" w:lineRule="auto"/>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2.2.1 Peer to Peer Exchange and Sharing Economy Platforms</w:t>
      </w:r>
    </w:p>
    <w:p w14:paraId="2930FF20">
      <w:pPr>
        <w:numPr>
          <w:ilvl w:val="0"/>
          <w:numId w:val="0"/>
        </w:numPr>
        <w:spacing w:line="36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study by Santa Viana and França da Cunha (2023) created a P2P platform literature map through SLNA analysis which showed that researchers extensively study P2P systems because of their environmental and economic advantages yet they fail to investigate community-specific platforms that operate within closed networks which create a research gap that proves the necessity for PointSwap. Pinheiro et al. (2023) confirmed through PLS-SEM with a sample size of 655 participants that grassroots engagement and shared identity sustain platform participation while commercial incentives do not function as effective drivers for participation in an NYSC camp environment. Hamari et al. (2016) established that ease of use functions as an essential requirement which users need to develop positive sharing attitudes that support PointSwap's usability-first design approach. Ashaduzzaman et al. (2022) demonstrated through their meta-analysis of 72 studies that attitude plus subjective norms serve as the main factors which determine how people engage in collaborative consumption (CC) across various platform types.</w:t>
      </w:r>
    </w:p>
    <w:p w14:paraId="01E04B1C">
      <w:pPr>
        <w:numPr>
          <w:ilvl w:val="0"/>
          <w:numId w:val="0"/>
        </w:numPr>
        <w:spacing w:line="360" w:lineRule="auto"/>
        <w:ind w:leftChars="0"/>
        <w:jc w:val="both"/>
        <w:rPr>
          <w:rFonts w:hint="default" w:ascii="Times New Roman" w:hAnsi="Times New Roman"/>
          <w:b w:val="0"/>
          <w:bCs w:val="0"/>
          <w:sz w:val="24"/>
          <w:szCs w:val="24"/>
          <w:lang w:val="en-US"/>
        </w:rPr>
      </w:pPr>
    </w:p>
    <w:p w14:paraId="69F368F5">
      <w:pPr>
        <w:numPr>
          <w:ilvl w:val="0"/>
          <w:numId w:val="0"/>
        </w:numPr>
        <w:spacing w:line="36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Schultze and Bhappu (2022) proved through their research on a university-sponsored sharing platform that institutional identity together with co location causes people to participate more which applies directly to PointSwap's NYSC camp environment. Albinsson et al. (2024) discovered that community based Crowd Control (CC) platforms establish higher trust levels and better user participation compared to commercial platforms which operate within defined user groups although they pointed out that research on temporary communities which experience fast user changes needs more attention. Bakhtiari et al. (2024) used panel regression analysis to show that smartphone ownership and internet connectivity determine the expansion of the sharing economy which proves that  PointSwap operates technically in Nigeria's online environment.</w:t>
      </w:r>
    </w:p>
    <w:p w14:paraId="7F74C4D6">
      <w:pPr>
        <w:numPr>
          <w:ilvl w:val="0"/>
          <w:numId w:val="0"/>
        </w:numPr>
        <w:spacing w:line="36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research conducted by Chen and Lin in 2024, Bączyk and his team in 2024, Solakis and his team in 2023, Kannan and his team in 2024, Woo and his team in 2024, Han and his team in 2023, Mukundhan and his team in 2024, Albors and his team in 2022, Tham and his team in 2023, Viana and his team in 2022, and Ertz and Sarigöllü in 2022 demonstrates that P2P platform participation depends primarily on five factors. The research fails to study closed non-commercial temporary institutional exchange platforms which creates a research gap that PointSwap seeks to fill.</w:t>
      </w:r>
    </w:p>
    <w:p w14:paraId="1B7F85E6">
      <w:pPr>
        <w:numPr>
          <w:ilvl w:val="0"/>
          <w:numId w:val="0"/>
        </w:numPr>
        <w:spacing w:line="360" w:lineRule="auto"/>
        <w:ind w:leftChars="0"/>
        <w:jc w:val="both"/>
        <w:rPr>
          <w:rFonts w:hint="default" w:ascii="Times New Roman" w:hAnsi="Times New Roman"/>
          <w:b w:val="0"/>
          <w:bCs w:val="0"/>
          <w:sz w:val="24"/>
          <w:szCs w:val="24"/>
          <w:lang w:val="en-US"/>
        </w:rPr>
      </w:pPr>
    </w:p>
    <w:p w14:paraId="4B54B330">
      <w:pPr>
        <w:numPr>
          <w:ilvl w:val="0"/>
          <w:numId w:val="0"/>
        </w:numPr>
        <w:spacing w:line="360" w:lineRule="auto"/>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2.2.2 Clothing Exchange and Swap Applications</w:t>
      </w:r>
    </w:p>
    <w:p w14:paraId="5E6307C7">
      <w:pPr>
        <w:numPr>
          <w:ilvl w:val="0"/>
          <w:numId w:val="0"/>
        </w:numPr>
        <w:spacing w:line="36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temporary clothing swap events which Karpova et al. (2022) studied through ethnographic research showed that communal understanding between members of defined groups enables better product distribution and relationship development. The research conducted by Vermeyen and Germeys (2025) showed that effective clothing swap systems need item-condition transparency and participant proximity and low transaction friction which directly impacted how PointSwap built its upload process. The research conducted by Armouch et al. (2024) showed that sustainability framing and peer identity increase swap participation while Camacho-Otero et al. (2020) proved that emerging economies prioritize convenience and social norms above environmental reasons which applies to the Nigerian NYSC context. Burton and Eike (2023) and Busalim et al. (2022) showed that convenience and peer influence drive people to adopt garment exchange while Kietzmann et al. (2022) and Kirmani et al. (2023) proved that non monetary P2P platforms achieve success when they provide users with immediate practical benefits which require little onboarding time.</w:t>
      </w:r>
    </w:p>
    <w:p w14:paraId="6154F701">
      <w:pPr>
        <w:numPr>
          <w:ilvl w:val="0"/>
          <w:numId w:val="0"/>
        </w:numPr>
        <w:spacing w:line="360" w:lineRule="auto"/>
        <w:ind w:leftChars="0"/>
        <w:jc w:val="both"/>
        <w:rPr>
          <w:rFonts w:hint="default" w:ascii="Times New Roman" w:hAnsi="Times New Roman"/>
          <w:b w:val="0"/>
          <w:bCs w:val="0"/>
          <w:sz w:val="24"/>
          <w:szCs w:val="24"/>
          <w:lang w:val="en-US"/>
        </w:rPr>
      </w:pPr>
    </w:p>
    <w:p w14:paraId="0E976C92">
      <w:pPr>
        <w:numPr>
          <w:ilvl w:val="0"/>
          <w:numId w:val="0"/>
        </w:numPr>
        <w:spacing w:line="36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The social P2P clothing systems which operate through Depop (ECDB, 2024) and Poshmark (Naver/Poshmark, 2022) serve as proofs of platform scalability while Vinted (World Business Outlook, 2025) shows how financial barrier elimination leads to increased product listing numbers. Cross et al. (2023) created Swapp which recognizes feed listing and filtering and direct messaging as essential basic functions needed for a clothing swap application. Dopplle (SETsquared Bath, 2023) proved through its UK university deployments that campus targeted swap app adoption depends on both proximity and shared community identity. None of these platforms, which include both commercial options and student developed systems, provide solutions for mandatory uniform exchange within closed institutional communities while implementing identity </w:t>
      </w:r>
      <w:bookmarkStart w:id="0" w:name="_GoBack"/>
      <w:bookmarkEnd w:id="0"/>
      <w:r>
        <w:rPr>
          <w:rFonts w:hint="default" w:ascii="Times New Roman" w:hAnsi="Times New Roman"/>
          <w:b w:val="0"/>
          <w:bCs w:val="0"/>
          <w:sz w:val="24"/>
          <w:szCs w:val="24"/>
          <w:lang w:val="en-US"/>
        </w:rPr>
        <w:t>based access control and institutional assignment based feed filtering. The exact gap which PointSwap addresses needs to be defined.</w:t>
      </w:r>
    </w:p>
    <w:p w14:paraId="642762BC">
      <w:pPr>
        <w:numPr>
          <w:ilvl w:val="0"/>
          <w:numId w:val="0"/>
        </w:numPr>
        <w:spacing w:line="360" w:lineRule="auto"/>
        <w:ind w:leftChars="0"/>
        <w:jc w:val="both"/>
        <w:rPr>
          <w:rFonts w:hint="default" w:ascii="Times New Roman" w:hAnsi="Times New Roman"/>
          <w:b w:val="0"/>
          <w:bCs w:val="0"/>
          <w:sz w:val="24"/>
          <w:szCs w:val="24"/>
          <w:lang w:val="en-US"/>
        </w:rPr>
      </w:pPr>
    </w:p>
    <w:p w14:paraId="7A2FDC15">
      <w:pPr>
        <w:numPr>
          <w:ilvl w:val="0"/>
          <w:numId w:val="0"/>
        </w:numPr>
        <w:spacing w:line="360" w:lineRule="auto"/>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2.2.3 Trust, Community and Adoption of P2P Exchange Systems</w:t>
      </w:r>
    </w:p>
    <w:p w14:paraId="7A6C6FA3">
      <w:pPr>
        <w:numPr>
          <w:ilvl w:val="0"/>
          <w:numId w:val="0"/>
        </w:numPr>
        <w:spacing w:line="36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Trust serves as the essential element which enables all P2P exchange systems to operate. The research of Blanco Oliver et al. (2024) , Belanche et al. (2022) and Daniel et al. (2022) established that users perceive trust together with their power to control security features as the main factors which drive P2P mobile platform usage. The study by Gefen et al. (2023) identified three main trust dimensions which include structural assurance and perceived benevolence and situational normality in digital exchange systems. The research conducted by Tran et al. (2022) proved that strangers reduce their perceived risk through profile transparency which shows PointSwap's item-detail upload requirements. The study by Balagué et al. (2023) proved that C2C trust depends mostly on seller reputation and platform quality signals while Mateus and Marques (2024) found that existing social ties decrease perceived danger which PointSwap applied by letting only verified members from the same NYSC camp to access its platform. The research fails to analyze trust dynamics which exist in communities that share physical space and operate under institutional rules for need-based exchanges that occur outside of commercial interests.</w:t>
      </w:r>
    </w:p>
    <w:p w14:paraId="5653837B">
      <w:pPr>
        <w:numPr>
          <w:ilvl w:val="0"/>
          <w:numId w:val="0"/>
        </w:numPr>
        <w:spacing w:line="360" w:lineRule="auto"/>
        <w:ind w:leftChars="0"/>
        <w:jc w:val="both"/>
        <w:rPr>
          <w:rFonts w:hint="default" w:ascii="Times New Roman" w:hAnsi="Times New Roman"/>
          <w:b w:val="0"/>
          <w:bCs w:val="0"/>
          <w:sz w:val="24"/>
          <w:szCs w:val="24"/>
          <w:lang w:val="en-US"/>
        </w:rPr>
      </w:pPr>
    </w:p>
    <w:p w14:paraId="1CA92240">
      <w:pPr>
        <w:numPr>
          <w:ilvl w:val="0"/>
          <w:numId w:val="0"/>
        </w:numPr>
        <w:spacing w:line="360" w:lineRule="auto"/>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2.2.4 Mobile System Infrastructure: Authentication, Real Time Messaging and LBS</w:t>
      </w:r>
    </w:p>
    <w:p w14:paraId="46E3E17C">
      <w:pPr>
        <w:numPr>
          <w:ilvl w:val="0"/>
          <w:numId w:val="0"/>
        </w:numPr>
        <w:spacing w:line="36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research by Sabir (2025) established that JSON Web Token (JWT) based authentication functions efficiently in lightweight stateless mobile systems which serve as the foundation for PointSwap's backend architecture. The research by Mpamugo and Ansa (2024) proved that RBAC functions effectively to prevent unauthorized access to mobile systems while Podapati et al. (2025) demonstrated that contextual authentication signals improve security without compromising user experience. The studies conducted by Bashir et al. (2024) and Salisu et al. (2025) proved that privacy-by-design and minimal data collection together serve as essential requirements for building user trust in location-aware mobile applications. The research by Sheikh et al. (2023) confirmed that cloud-backed systems provide scalable performance which matches the requirements of PointSwap's Golang/PostgreSQL backend. The research findings of Zhang (2024) showed that managed real-time services including Ably provide significant advantages because they reduce coordination latency in mobile P2P applications which supports the integrity of PointSwap's messaging system. The research conducted by Guo et al. (2024) demonstrated that location-filtered feeds help users in mobile environments with limited resources because they decrease information overload while Ramachandrappa (2024) demonstrated through experiments that React Native provides cross-platform performance which closely matches native performance.</w:t>
      </w:r>
    </w:p>
    <w:p w14:paraId="3449C66D">
      <w:pPr>
        <w:numPr>
          <w:ilvl w:val="0"/>
          <w:numId w:val="0"/>
        </w:numPr>
        <w:spacing w:line="360" w:lineRule="auto"/>
        <w:ind w:leftChars="0"/>
        <w:jc w:val="both"/>
        <w:rPr>
          <w:rFonts w:hint="default" w:ascii="Times New Roman" w:hAnsi="Times New Roman"/>
          <w:b w:val="0"/>
          <w:bCs w:val="0"/>
          <w:sz w:val="24"/>
          <w:szCs w:val="24"/>
          <w:lang w:val="en-US"/>
        </w:rPr>
      </w:pPr>
    </w:p>
    <w:p w14:paraId="54BC6952">
      <w:pPr>
        <w:numPr>
          <w:ilvl w:val="0"/>
          <w:numId w:val="0"/>
        </w:numPr>
        <w:spacing w:line="360" w:lineRule="auto"/>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2.2.5 Identified Research Gaps</w:t>
      </w:r>
    </w:p>
    <w:p w14:paraId="11A8C890">
      <w:pPr>
        <w:numPr>
          <w:ilvl w:val="0"/>
          <w:numId w:val="0"/>
        </w:numPr>
        <w:spacing w:line="36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reviewed literature reveals four core gaps this study addresses.</w:t>
      </w:r>
    </w:p>
    <w:p w14:paraId="0B2799EA">
      <w:pPr>
        <w:numPr>
          <w:ilvl w:val="0"/>
          <w:numId w:val="0"/>
        </w:numPr>
        <w:spacing w:line="36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First, existing research studies P2P exchange platforms through both commercial and open-market contexts yet there exists no research study or operational system which investigates P2P exchange operations in closed temporary institutional environments like the NYSC orientation camp.</w:t>
      </w:r>
    </w:p>
    <w:p w14:paraId="4480ADBC">
      <w:pPr>
        <w:numPr>
          <w:ilvl w:val="0"/>
          <w:numId w:val="0"/>
        </w:numPr>
        <w:spacing w:line="36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Second, all reviewed clothing swap and resale platforms target open user populations and lack identity bound access control or location specific feed filtering by institutional assignment. </w:t>
      </w:r>
    </w:p>
    <w:p w14:paraId="5ECA6FFB">
      <w:pPr>
        <w:numPr>
          <w:ilvl w:val="0"/>
          <w:numId w:val="0"/>
        </w:numPr>
        <w:spacing w:line="36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Third, although trust, proximity, and shared identity functions as P2P participation drivers, no system has been developed to utilize these elements in a national service setting which requires co location and has mandatory exchange activities.</w:t>
      </w:r>
    </w:p>
    <w:p w14:paraId="523183E6">
      <w:pPr>
        <w:numPr>
          <w:ilvl w:val="0"/>
          <w:numId w:val="0"/>
        </w:numPr>
        <w:spacing w:line="36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Fourth, mobile infrastructure research on authentication, real time messaging, and Location Based Service remains focused on enterprise or commercial applications, leaving a gap in lightweight, welfare-oriented systems for temporary institutional use.</w:t>
      </w:r>
    </w:p>
    <w:p w14:paraId="23D92C42">
      <w:pPr>
        <w:numPr>
          <w:ilvl w:val="0"/>
          <w:numId w:val="0"/>
        </w:numPr>
        <w:spacing w:line="36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PointSwap is designed to address all four of these gaps.</w:t>
      </w:r>
    </w:p>
    <w:p w14:paraId="1629B9FA">
      <w:pPr>
        <w:numPr>
          <w:ilvl w:val="0"/>
          <w:numId w:val="0"/>
        </w:numPr>
        <w:spacing w:line="360" w:lineRule="auto"/>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2.3 Summary of Related Works</w:t>
      </w:r>
    </w:p>
    <w:p w14:paraId="28BE403D">
      <w:pPr>
        <w:numPr>
          <w:ilvl w:val="0"/>
          <w:numId w:val="0"/>
        </w:numPr>
        <w:spacing w:line="36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table below presents a summary of  the all related works reviewed in this chapter, including the authors, year, focus, methodology along with key findings and specific research gap identified</w:t>
      </w:r>
    </w:p>
    <w:p w14:paraId="746C01DE">
      <w:pPr>
        <w:numPr>
          <w:ilvl w:val="0"/>
          <w:numId w:val="0"/>
        </w:numPr>
        <w:spacing w:line="360" w:lineRule="auto"/>
        <w:ind w:leftChars="0"/>
        <w:jc w:val="both"/>
        <w:rPr>
          <w:rFonts w:hint="default" w:ascii="Times New Roman" w:hAnsi="Times New Roman"/>
          <w:b w:val="0"/>
          <w:bCs w:val="0"/>
          <w:sz w:val="24"/>
          <w:szCs w:val="24"/>
          <w:lang w:val="en-US"/>
        </w:rPr>
      </w:pPr>
    </w:p>
    <w:tbl>
      <w:tblPr>
        <w:tblStyle w:val="3"/>
        <w:tblpPr w:leftFromText="180" w:rightFromText="180" w:vertAnchor="text" w:horzAnchor="page" w:tblpX="604" w:tblpY="397"/>
        <w:tblOverlap w:val="never"/>
        <w:tblW w:w="11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9"/>
        <w:gridCol w:w="1886"/>
        <w:gridCol w:w="1864"/>
        <w:gridCol w:w="1736"/>
        <w:gridCol w:w="2443"/>
        <w:gridCol w:w="2464"/>
      </w:tblGrid>
      <w:tr w14:paraId="75F93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49"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02F3BCF">
            <w:pPr>
              <w:jc w:val="center"/>
            </w:pPr>
            <w:r>
              <w:rPr>
                <w:rFonts w:ascii="Times New Roman" w:hAnsi="Times New Roman" w:eastAsia="Times New Roman" w:cs="Times New Roman"/>
                <w:b/>
                <w:bCs/>
                <w:sz w:val="20"/>
                <w:szCs w:val="20"/>
              </w:rPr>
              <w:t>S/N</w:t>
            </w:r>
          </w:p>
        </w:tc>
        <w:tc>
          <w:tcPr>
            <w:tcW w:w="1886"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1D2A88F6">
            <w:pPr>
              <w:jc w:val="center"/>
            </w:pPr>
            <w:r>
              <w:rPr>
                <w:rFonts w:ascii="Times New Roman" w:hAnsi="Times New Roman" w:eastAsia="Times New Roman" w:cs="Times New Roman"/>
                <w:b/>
                <w:bCs/>
                <w:sz w:val="20"/>
                <w:szCs w:val="20"/>
              </w:rPr>
              <w:t>Author(s) &amp; Year</w:t>
            </w:r>
          </w:p>
        </w:tc>
        <w:tc>
          <w:tcPr>
            <w:tcW w:w="1864"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B61FBE0">
            <w:pPr>
              <w:jc w:val="center"/>
            </w:pPr>
            <w:r>
              <w:rPr>
                <w:rFonts w:ascii="Times New Roman" w:hAnsi="Times New Roman" w:eastAsia="Times New Roman" w:cs="Times New Roman"/>
                <w:b/>
                <w:bCs/>
                <w:sz w:val="20"/>
                <w:szCs w:val="20"/>
              </w:rPr>
              <w:t>Focus</w:t>
            </w:r>
          </w:p>
        </w:tc>
        <w:tc>
          <w:tcPr>
            <w:tcW w:w="1736"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EFD4973">
            <w:pPr>
              <w:jc w:val="center"/>
            </w:pPr>
            <w:r>
              <w:rPr>
                <w:rFonts w:ascii="Times New Roman" w:hAnsi="Times New Roman" w:eastAsia="Times New Roman" w:cs="Times New Roman"/>
                <w:b/>
                <w:bCs/>
                <w:sz w:val="20"/>
                <w:szCs w:val="20"/>
              </w:rPr>
              <w:t>Methodology</w:t>
            </w:r>
          </w:p>
        </w:tc>
        <w:tc>
          <w:tcPr>
            <w:tcW w:w="2443"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0CF92E5">
            <w:pPr>
              <w:jc w:val="center"/>
            </w:pPr>
            <w:r>
              <w:rPr>
                <w:rFonts w:ascii="Times New Roman" w:hAnsi="Times New Roman" w:eastAsia="Times New Roman" w:cs="Times New Roman"/>
                <w:b/>
                <w:bCs/>
                <w:sz w:val="20"/>
                <w:szCs w:val="20"/>
              </w:rPr>
              <w:t>Key Findings</w:t>
            </w:r>
          </w:p>
        </w:tc>
        <w:tc>
          <w:tcPr>
            <w:tcW w:w="2464"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3C19A38">
            <w:pPr>
              <w:jc w:val="center"/>
            </w:pPr>
            <w:r>
              <w:rPr>
                <w:rFonts w:ascii="Times New Roman" w:hAnsi="Times New Roman" w:eastAsia="Times New Roman" w:cs="Times New Roman"/>
                <w:b/>
                <w:bCs/>
                <w:sz w:val="20"/>
                <w:szCs w:val="20"/>
              </w:rPr>
              <w:t>Research Gap</w:t>
            </w:r>
          </w:p>
        </w:tc>
      </w:tr>
      <w:tr w14:paraId="570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7CE2DD">
            <w:pPr>
              <w:jc w:val="center"/>
            </w:pPr>
            <w:r>
              <w:rPr>
                <w:rFonts w:ascii="Times New Roman" w:hAnsi="Times New Roman" w:eastAsia="Times New Roman" w:cs="Times New Roman"/>
                <w:sz w:val="20"/>
                <w:szCs w:val="20"/>
              </w:rPr>
              <w:t>1</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63ECD9">
            <w:pPr>
              <w:jc w:val="both"/>
            </w:pPr>
            <w:r>
              <w:rPr>
                <w:rFonts w:ascii="Times New Roman" w:hAnsi="Times New Roman" w:eastAsia="Times New Roman" w:cs="Times New Roman"/>
                <w:sz w:val="20"/>
                <w:szCs w:val="20"/>
              </w:rPr>
              <w:t>Blanco-Oliver et al. (2024)</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AC021E">
            <w:pPr>
              <w:jc w:val="both"/>
            </w:pPr>
            <w:r>
              <w:rPr>
                <w:rFonts w:ascii="Times New Roman" w:hAnsi="Times New Roman" w:eastAsia="Times New Roman" w:cs="Times New Roman"/>
                <w:sz w:val="20"/>
                <w:szCs w:val="20"/>
              </w:rPr>
              <w:t>Examining user behavior with machine learning for effective mobile P2P payment adoption [Focus: P2P payment platform adoption drivers]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F3BCA0">
            <w:pPr>
              <w:jc w:val="both"/>
            </w:pPr>
            <w:r>
              <w:rPr>
                <w:rFonts w:ascii="Times New Roman" w:hAnsi="Times New Roman" w:eastAsia="Times New Roman" w:cs="Times New Roman"/>
                <w:sz w:val="20"/>
                <w:szCs w:val="20"/>
              </w:rPr>
              <w:t>Survey (n=701), Machine Learning &amp; SEM</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36A88E">
            <w:pPr>
              <w:jc w:val="both"/>
            </w:pPr>
            <w:r>
              <w:rPr>
                <w:rFonts w:ascii="Times New Roman" w:hAnsi="Times New Roman" w:eastAsia="Times New Roman" w:cs="Times New Roman"/>
                <w:sz w:val="20"/>
                <w:szCs w:val="20"/>
              </w:rPr>
              <w:t>Usefulness, social norms, and trust are the strongest predictors of P2P mobile platform adoption</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5B5A2C">
            <w:pPr>
              <w:jc w:val="both"/>
            </w:pPr>
            <w:r>
              <w:rPr>
                <w:rFonts w:ascii="Times New Roman" w:hAnsi="Times New Roman" w:eastAsia="Times New Roman" w:cs="Times New Roman"/>
                <w:sz w:val="20"/>
                <w:szCs w:val="20"/>
              </w:rPr>
              <w:t>Focuses on monetary P2P systems; non-monetary item-based exchanges not addressed</w:t>
            </w:r>
          </w:p>
        </w:tc>
      </w:tr>
      <w:tr w14:paraId="7F454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D2D01D">
            <w:pPr>
              <w:jc w:val="center"/>
            </w:pPr>
            <w:r>
              <w:rPr>
                <w:rFonts w:ascii="Times New Roman" w:hAnsi="Times New Roman" w:eastAsia="Times New Roman" w:cs="Times New Roman"/>
                <w:sz w:val="20"/>
                <w:szCs w:val="20"/>
              </w:rPr>
              <w:t>2</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861B5C">
            <w:pPr>
              <w:jc w:val="both"/>
            </w:pPr>
            <w:r>
              <w:rPr>
                <w:rFonts w:ascii="Times New Roman" w:hAnsi="Times New Roman" w:eastAsia="Times New Roman" w:cs="Times New Roman"/>
                <w:sz w:val="20"/>
                <w:szCs w:val="20"/>
              </w:rPr>
              <w:t>Viana &amp; França da Cunha (2023)</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AA8B7E7">
            <w:pPr>
              <w:jc w:val="both"/>
            </w:pPr>
            <w:r>
              <w:rPr>
                <w:rFonts w:ascii="Times New Roman" w:hAnsi="Times New Roman" w:eastAsia="Times New Roman" w:cs="Times New Roman"/>
                <w:sz w:val="20"/>
                <w:szCs w:val="20"/>
              </w:rPr>
              <w:t>Peer-to-peer platforms in the sharing economy: current status and future research agenda [Focus: Systematic mapping of P2P platform literature]</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31DA86">
            <w:pPr>
              <w:jc w:val="both"/>
            </w:pPr>
            <w:r>
              <w:rPr>
                <w:rFonts w:ascii="Times New Roman" w:hAnsi="Times New Roman" w:eastAsia="Times New Roman" w:cs="Times New Roman"/>
                <w:sz w:val="20"/>
                <w:szCs w:val="20"/>
              </w:rPr>
              <w:t>Systematic Literature Network Analysis (SLNA)</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D148A9">
            <w:pPr>
              <w:jc w:val="both"/>
            </w:pPr>
            <w:r>
              <w:rPr>
                <w:rFonts w:ascii="Times New Roman" w:hAnsi="Times New Roman" w:eastAsia="Times New Roman" w:cs="Times New Roman"/>
                <w:sz w:val="20"/>
                <w:szCs w:val="20"/>
              </w:rPr>
              <w:t>P2P platforms are extensively studied for ecological and economic benefits but community-specific platforms remain understudied</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4A721B">
            <w:pPr>
              <w:jc w:val="both"/>
            </w:pPr>
            <w:r>
              <w:rPr>
                <w:rFonts w:ascii="Times New Roman" w:hAnsi="Times New Roman" w:eastAsia="Times New Roman" w:cs="Times New Roman"/>
                <w:sz w:val="20"/>
                <w:szCs w:val="20"/>
              </w:rPr>
              <w:t>Does not address P2P platforms designed for closed, temporary, institutionally bounded communities</w:t>
            </w:r>
          </w:p>
        </w:tc>
      </w:tr>
      <w:tr w14:paraId="56BFB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3BD7A1">
            <w:pPr>
              <w:jc w:val="center"/>
            </w:pPr>
            <w:r>
              <w:rPr>
                <w:rFonts w:ascii="Times New Roman" w:hAnsi="Times New Roman" w:eastAsia="Times New Roman" w:cs="Times New Roman"/>
                <w:sz w:val="20"/>
                <w:szCs w:val="20"/>
              </w:rPr>
              <w:t>3</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5D4F7">
            <w:pPr>
              <w:jc w:val="both"/>
            </w:pPr>
            <w:r>
              <w:rPr>
                <w:rFonts w:ascii="Times New Roman" w:hAnsi="Times New Roman" w:eastAsia="Times New Roman" w:cs="Times New Roman"/>
                <w:sz w:val="20"/>
                <w:szCs w:val="20"/>
              </w:rPr>
              <w:t>Armouch et al. (2024)</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ACC6633">
            <w:pPr>
              <w:jc w:val="both"/>
            </w:pPr>
            <w:r>
              <w:rPr>
                <w:rFonts w:ascii="Times New Roman" w:hAnsi="Times New Roman" w:eastAsia="Times New Roman" w:cs="Times New Roman"/>
                <w:sz w:val="20"/>
                <w:szCs w:val="20"/>
              </w:rPr>
              <w:t>Is it fashionable to swap clothes? The moderating role of culture [Focus: Cultural factors influencing clothing swap intention]</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10B351">
            <w:pPr>
              <w:jc w:val="both"/>
            </w:pPr>
            <w:r>
              <w:rPr>
                <w:rFonts w:ascii="Times New Roman" w:hAnsi="Times New Roman" w:eastAsia="Times New Roman" w:cs="Times New Roman"/>
                <w:sz w:val="20"/>
                <w:szCs w:val="20"/>
              </w:rPr>
              <w:t>Quantitative survey across cultural groups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544C2F">
            <w:pPr>
              <w:jc w:val="both"/>
            </w:pPr>
            <w:r>
              <w:rPr>
                <w:rFonts w:ascii="Times New Roman" w:hAnsi="Times New Roman" w:eastAsia="Times New Roman" w:cs="Times New Roman"/>
                <w:sz w:val="20"/>
                <w:szCs w:val="20"/>
              </w:rPr>
              <w:t>Cultural identity moderates willingness to swap clothes; sustainability framing increases participation</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B98B00">
            <w:pPr>
              <w:jc w:val="both"/>
            </w:pPr>
            <w:r>
              <w:rPr>
                <w:rFonts w:ascii="Times New Roman" w:hAnsi="Times New Roman" w:eastAsia="Times New Roman" w:cs="Times New Roman"/>
                <w:sz w:val="20"/>
                <w:szCs w:val="20"/>
              </w:rPr>
              <w:t>Focuses on voluntary fashion exchange; does not address utility-driven uniform swapping in institutional contexts</w:t>
            </w:r>
          </w:p>
        </w:tc>
      </w:tr>
      <w:tr w14:paraId="07E1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C0FFD0">
            <w:pPr>
              <w:jc w:val="center"/>
            </w:pPr>
            <w:r>
              <w:rPr>
                <w:rFonts w:ascii="Times New Roman" w:hAnsi="Times New Roman" w:eastAsia="Times New Roman" w:cs="Times New Roman"/>
                <w:sz w:val="20"/>
                <w:szCs w:val="20"/>
              </w:rPr>
              <w:t>4</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169CBD">
            <w:pPr>
              <w:jc w:val="both"/>
            </w:pPr>
            <w:r>
              <w:rPr>
                <w:rFonts w:ascii="Times New Roman" w:hAnsi="Times New Roman" w:eastAsia="Times New Roman" w:cs="Times New Roman"/>
                <w:sz w:val="20"/>
                <w:szCs w:val="20"/>
              </w:rPr>
              <w:t>Karpova et al. (2022)</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EEFEDB">
            <w:pPr>
              <w:jc w:val="both"/>
            </w:pPr>
            <w:r>
              <w:rPr>
                <w:rFonts w:ascii="Times New Roman" w:hAnsi="Times New Roman" w:eastAsia="Times New Roman" w:cs="Times New Roman"/>
                <w:sz w:val="20"/>
                <w:szCs w:val="20"/>
              </w:rPr>
              <w:t>An ethnographic study of collaborative fashion consumption: The case of temporary clothing swapping [Focus: Behavioural patterns in temporary clothing swap events]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E87ED8">
            <w:pPr>
              <w:jc w:val="both"/>
            </w:pPr>
            <w:r>
              <w:rPr>
                <w:rFonts w:ascii="Times New Roman" w:hAnsi="Times New Roman" w:eastAsia="Times New Roman" w:cs="Times New Roman"/>
                <w:sz w:val="20"/>
                <w:szCs w:val="20"/>
              </w:rPr>
              <w:t>Ethnographic observation and interviews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69F95B">
            <w:pPr>
              <w:jc w:val="both"/>
            </w:pPr>
            <w:r>
              <w:rPr>
                <w:rFonts w:ascii="Times New Roman" w:hAnsi="Times New Roman" w:eastAsia="Times New Roman" w:cs="Times New Roman"/>
                <w:sz w:val="20"/>
                <w:szCs w:val="20"/>
              </w:rPr>
              <w:t>Temporary swap events facilitate efficient clothing redistribution and build social bonds within bounded groups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6FF1A7B">
            <w:pPr>
              <w:jc w:val="both"/>
            </w:pPr>
            <w:r>
              <w:rPr>
                <w:rFonts w:ascii="Times New Roman" w:hAnsi="Times New Roman" w:eastAsia="Times New Roman" w:cs="Times New Roman"/>
                <w:sz w:val="20"/>
                <w:szCs w:val="20"/>
              </w:rPr>
              <w:t>Examines in-person events only; does not investigate digital platform solutions for uniform-specific swap scenarios</w:t>
            </w:r>
          </w:p>
        </w:tc>
      </w:tr>
      <w:tr w14:paraId="7743C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711CF1">
            <w:pPr>
              <w:jc w:val="center"/>
            </w:pPr>
            <w:r>
              <w:rPr>
                <w:rFonts w:ascii="Times New Roman" w:hAnsi="Times New Roman" w:eastAsia="Times New Roman" w:cs="Times New Roman"/>
                <w:sz w:val="20"/>
                <w:szCs w:val="20"/>
              </w:rPr>
              <w:t>5</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E8ADA9">
            <w:pPr>
              <w:jc w:val="both"/>
            </w:pPr>
            <w:r>
              <w:rPr>
                <w:rFonts w:ascii="Times New Roman" w:hAnsi="Times New Roman" w:eastAsia="Times New Roman" w:cs="Times New Roman"/>
                <w:sz w:val="20"/>
                <w:szCs w:val="20"/>
              </w:rPr>
              <w:t>Schultze &amp; Bhappu (2022)</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F6C4D8D">
            <w:pPr>
              <w:jc w:val="both"/>
            </w:pPr>
            <w:r>
              <w:rPr>
                <w:rFonts w:ascii="Times New Roman" w:hAnsi="Times New Roman" w:eastAsia="Times New Roman" w:cs="Times New Roman"/>
                <w:sz w:val="20"/>
                <w:szCs w:val="20"/>
              </w:rPr>
              <w:t>Examining the viability of organization-sponsored sharing platforms [Focus: Sharing platform adoption within a closed organisational setting]</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CDF001">
            <w:pPr>
              <w:jc w:val="both"/>
            </w:pPr>
            <w:r>
              <w:rPr>
                <w:rFonts w:ascii="Times New Roman" w:hAnsi="Times New Roman" w:eastAsia="Times New Roman" w:cs="Times New Roman"/>
                <w:sz w:val="20"/>
                <w:szCs w:val="20"/>
              </w:rPr>
              <w:t>Field study, mixed methods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AF655E9">
            <w:pPr>
              <w:jc w:val="both"/>
            </w:pPr>
            <w:r>
              <w:rPr>
                <w:rFonts w:ascii="Times New Roman" w:hAnsi="Times New Roman" w:eastAsia="Times New Roman" w:cs="Times New Roman"/>
                <w:sz w:val="20"/>
                <w:szCs w:val="20"/>
              </w:rPr>
              <w:t>Organisation-sponsored platforms yield higher trust and participation due to shared identity</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C8F631">
            <w:pPr>
              <w:jc w:val="both"/>
            </w:pPr>
            <w:r>
              <w:rPr>
                <w:rFonts w:ascii="Times New Roman" w:hAnsi="Times New Roman" w:eastAsia="Times New Roman" w:cs="Times New Roman"/>
                <w:sz w:val="20"/>
                <w:szCs w:val="20"/>
              </w:rPr>
              <w:t>Examines long-term institutional settings; short-duration camps with rapid user turnover not addressed</w:t>
            </w:r>
          </w:p>
        </w:tc>
      </w:tr>
      <w:tr w14:paraId="78DB8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B1C9CE">
            <w:pPr>
              <w:jc w:val="center"/>
            </w:pPr>
            <w:r>
              <w:rPr>
                <w:rFonts w:ascii="Times New Roman" w:hAnsi="Times New Roman" w:eastAsia="Times New Roman" w:cs="Times New Roman"/>
                <w:sz w:val="20"/>
                <w:szCs w:val="20"/>
              </w:rPr>
              <w:t>6</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42BB23">
            <w:pPr>
              <w:jc w:val="both"/>
            </w:pPr>
            <w:r>
              <w:rPr>
                <w:rFonts w:ascii="Times New Roman" w:hAnsi="Times New Roman" w:eastAsia="Times New Roman" w:cs="Times New Roman"/>
                <w:sz w:val="20"/>
                <w:szCs w:val="20"/>
              </w:rPr>
              <w:t>Han et al. (2023)</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ABABAC">
            <w:pPr>
              <w:jc w:val="both"/>
            </w:pPr>
            <w:r>
              <w:rPr>
                <w:rFonts w:ascii="Times New Roman" w:hAnsi="Times New Roman" w:eastAsia="Times New Roman" w:cs="Times New Roman"/>
                <w:sz w:val="20"/>
                <w:szCs w:val="20"/>
              </w:rPr>
              <w:t>The societal impact of sharing economy platform self-regulations [Focus: Self-regulation mechanisms on P2P sharing platforms]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2FCEEC">
            <w:pPr>
              <w:jc w:val="both"/>
            </w:pPr>
            <w:r>
              <w:rPr>
                <w:rFonts w:ascii="Times New Roman" w:hAnsi="Times New Roman" w:eastAsia="Times New Roman" w:cs="Times New Roman"/>
                <w:sz w:val="20"/>
                <w:szCs w:val="20"/>
              </w:rPr>
              <w:t>Empirical investigation, secondary data analysis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8AC3F0">
            <w:pPr>
              <w:jc w:val="both"/>
            </w:pPr>
            <w:r>
              <w:rPr>
                <w:rFonts w:ascii="Times New Roman" w:hAnsi="Times New Roman" w:eastAsia="Times New Roman" w:cs="Times New Roman"/>
                <w:sz w:val="20"/>
                <w:szCs w:val="20"/>
              </w:rPr>
              <w:t>Platform self-regulations significantly reduce negative externalities on P2P platforms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49F30E">
            <w:pPr>
              <w:jc w:val="both"/>
            </w:pPr>
            <w:r>
              <w:rPr>
                <w:rFonts w:ascii="Times New Roman" w:hAnsi="Times New Roman" w:eastAsia="Times New Roman" w:cs="Times New Roman"/>
                <w:sz w:val="20"/>
                <w:szCs w:val="20"/>
              </w:rPr>
              <w:t>Focuses on large commercial platforms like Airbnb; non-commercial, closed-community exchange systems not examined</w:t>
            </w:r>
          </w:p>
        </w:tc>
      </w:tr>
      <w:tr w14:paraId="1BA2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C4C5D6">
            <w:pPr>
              <w:jc w:val="center"/>
            </w:pPr>
            <w:r>
              <w:rPr>
                <w:rFonts w:ascii="Times New Roman" w:hAnsi="Times New Roman" w:eastAsia="Times New Roman" w:cs="Times New Roman"/>
                <w:sz w:val="20"/>
                <w:szCs w:val="20"/>
              </w:rPr>
              <w:t>7</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F0983B">
            <w:pPr>
              <w:jc w:val="both"/>
            </w:pPr>
            <w:r>
              <w:rPr>
                <w:rFonts w:ascii="Times New Roman" w:hAnsi="Times New Roman" w:eastAsia="Times New Roman" w:cs="Times New Roman"/>
                <w:sz w:val="20"/>
                <w:szCs w:val="20"/>
              </w:rPr>
              <w:t>Chen &amp; Lin (2024)</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8EE7FD">
            <w:pPr>
              <w:jc w:val="both"/>
            </w:pPr>
            <w:r>
              <w:rPr>
                <w:rFonts w:ascii="Times New Roman" w:hAnsi="Times New Roman" w:eastAsia="Times New Roman" w:cs="Times New Roman"/>
                <w:sz w:val="20"/>
                <w:szCs w:val="20"/>
              </w:rPr>
              <w:t>Understanding collaborative consumption in the technology-driven sharing economy: A cost-benefit perspective [Focus: Factors influencing user engagement in collaborative consumption]</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16CAB9">
            <w:pPr>
              <w:jc w:val="both"/>
            </w:pPr>
            <w:r>
              <w:rPr>
                <w:rFonts w:ascii="Times New Roman" w:hAnsi="Times New Roman" w:eastAsia="Times New Roman" w:cs="Times New Roman"/>
                <w:sz w:val="20"/>
                <w:szCs w:val="20"/>
              </w:rPr>
              <w:t>Online survey (n=404), SEM</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69E022">
            <w:pPr>
              <w:jc w:val="both"/>
            </w:pPr>
            <w:r>
              <w:rPr>
                <w:rFonts w:ascii="Times New Roman" w:hAnsi="Times New Roman" w:eastAsia="Times New Roman" w:cs="Times New Roman"/>
                <w:sz w:val="20"/>
                <w:szCs w:val="20"/>
              </w:rPr>
              <w:t>Perceived benefits drive CC intent; privacy and security costs are key deterrents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F77CC1">
            <w:pPr>
              <w:jc w:val="both"/>
            </w:pPr>
            <w:r>
              <w:rPr>
                <w:rFonts w:ascii="Times New Roman" w:hAnsi="Times New Roman" w:eastAsia="Times New Roman" w:cs="Times New Roman"/>
                <w:sz w:val="20"/>
                <w:szCs w:val="20"/>
              </w:rPr>
              <w:t>Car-sharing context only; non-monetary, closed-access exchange platforms not examined</w:t>
            </w:r>
          </w:p>
        </w:tc>
      </w:tr>
      <w:tr w14:paraId="247D7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D70E7D">
            <w:pPr>
              <w:jc w:val="center"/>
            </w:pPr>
            <w:r>
              <w:rPr>
                <w:rFonts w:ascii="Times New Roman" w:hAnsi="Times New Roman" w:eastAsia="Times New Roman" w:cs="Times New Roman"/>
                <w:sz w:val="20"/>
                <w:szCs w:val="20"/>
              </w:rPr>
              <w:t>8</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05A644">
            <w:pPr>
              <w:jc w:val="both"/>
            </w:pPr>
            <w:r>
              <w:rPr>
                <w:rFonts w:ascii="Times New Roman" w:hAnsi="Times New Roman" w:eastAsia="Times New Roman" w:cs="Times New Roman"/>
                <w:sz w:val="20"/>
                <w:szCs w:val="20"/>
              </w:rPr>
              <w:t>Kannan et al. (2024)</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14E2B7">
            <w:pPr>
              <w:jc w:val="both"/>
            </w:pPr>
            <w:r>
              <w:rPr>
                <w:rFonts w:ascii="Times New Roman" w:hAnsi="Times New Roman" w:eastAsia="Times New Roman" w:cs="Times New Roman"/>
                <w:sz w:val="20"/>
                <w:szCs w:val="20"/>
              </w:rPr>
              <w:t>Can sharing with others whom consumers can't see increase their sense of community? [Focus: Social presence and community formation on P2P platforms]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07F3AE">
            <w:pPr>
              <w:jc w:val="both"/>
            </w:pPr>
            <w:r>
              <w:rPr>
                <w:rFonts w:ascii="Times New Roman" w:hAnsi="Times New Roman" w:eastAsia="Times New Roman" w:cs="Times New Roman"/>
                <w:sz w:val="20"/>
                <w:szCs w:val="20"/>
              </w:rPr>
              <w:t>Online survey (n=378), Facebook Marketplace users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E21EF1">
            <w:pPr>
              <w:jc w:val="both"/>
            </w:pPr>
            <w:r>
              <w:rPr>
                <w:rFonts w:ascii="Times New Roman" w:hAnsi="Times New Roman" w:eastAsia="Times New Roman" w:cs="Times New Roman"/>
                <w:sz w:val="20"/>
                <w:szCs w:val="20"/>
              </w:rPr>
              <w:t>Social presence features enhance users' sense of community and increase platform engagement</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C5291C">
            <w:pPr>
              <w:jc w:val="both"/>
            </w:pPr>
            <w:r>
              <w:rPr>
                <w:rFonts w:ascii="Times New Roman" w:hAnsi="Times New Roman" w:eastAsia="Times New Roman" w:cs="Times New Roman"/>
                <w:sz w:val="20"/>
                <w:szCs w:val="20"/>
              </w:rPr>
              <w:t>Examines large-scale open U.S. platforms; geographically co-located group dynamics not studied</w:t>
            </w:r>
          </w:p>
        </w:tc>
      </w:tr>
      <w:tr w14:paraId="5FC8F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95B9E4">
            <w:pPr>
              <w:jc w:val="center"/>
            </w:pPr>
            <w:r>
              <w:rPr>
                <w:rFonts w:ascii="Times New Roman" w:hAnsi="Times New Roman" w:eastAsia="Times New Roman" w:cs="Times New Roman"/>
                <w:sz w:val="20"/>
                <w:szCs w:val="20"/>
              </w:rPr>
              <w:t>9</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1FE121">
            <w:pPr>
              <w:jc w:val="both"/>
            </w:pPr>
            <w:r>
              <w:rPr>
                <w:rFonts w:ascii="Times New Roman" w:hAnsi="Times New Roman" w:eastAsia="Times New Roman" w:cs="Times New Roman"/>
                <w:sz w:val="20"/>
                <w:szCs w:val="20"/>
              </w:rPr>
              <w:t>Pinheiro et al. (2023)</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B2D579">
            <w:pPr>
              <w:jc w:val="both"/>
            </w:pPr>
            <w:r>
              <w:rPr>
                <w:rFonts w:ascii="Times New Roman" w:hAnsi="Times New Roman" w:eastAsia="Times New Roman" w:cs="Times New Roman"/>
                <w:sz w:val="20"/>
                <w:szCs w:val="20"/>
              </w:rPr>
              <w:t>Sharing economy platforms as mainstream: Balancing pro-social and economic tensions [Focus: Pro-social vs economic motivations on sharing platforms]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C3FA2FD">
            <w:pPr>
              <w:jc w:val="both"/>
            </w:pPr>
            <w:r>
              <w:rPr>
                <w:rFonts w:ascii="Times New Roman" w:hAnsi="Times New Roman" w:eastAsia="Times New Roman" w:cs="Times New Roman"/>
                <w:sz w:val="20"/>
                <w:szCs w:val="20"/>
              </w:rPr>
              <w:t>PLS-SEM, survey (n=655), carpooling context</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3470AA">
            <w:pPr>
              <w:jc w:val="both"/>
            </w:pPr>
            <w:r>
              <w:rPr>
                <w:rFonts w:ascii="Times New Roman" w:hAnsi="Times New Roman" w:eastAsia="Times New Roman" w:cs="Times New Roman"/>
                <w:sz w:val="20"/>
                <w:szCs w:val="20"/>
              </w:rPr>
              <w:t>Grassroots engagement and platform authenticity sustain participation beyond economic motives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F09877D">
            <w:pPr>
              <w:jc w:val="both"/>
            </w:pPr>
            <w:r>
              <w:rPr>
                <w:rFonts w:ascii="Times New Roman" w:hAnsi="Times New Roman" w:eastAsia="Times New Roman" w:cs="Times New Roman"/>
                <w:sz w:val="20"/>
                <w:szCs w:val="20"/>
              </w:rPr>
              <w:t>Focuses on carpooling; item exchange in non-commercial environments not explored</w:t>
            </w:r>
          </w:p>
        </w:tc>
      </w:tr>
      <w:tr w14:paraId="14BCD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0A27F3">
            <w:pPr>
              <w:jc w:val="center"/>
            </w:pPr>
            <w:r>
              <w:rPr>
                <w:rFonts w:ascii="Times New Roman" w:hAnsi="Times New Roman" w:eastAsia="Times New Roman" w:cs="Times New Roman"/>
                <w:sz w:val="20"/>
                <w:szCs w:val="20"/>
              </w:rPr>
              <w:t>10</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934D93">
            <w:pPr>
              <w:jc w:val="both"/>
            </w:pPr>
            <w:r>
              <w:rPr>
                <w:rFonts w:ascii="Times New Roman" w:hAnsi="Times New Roman" w:eastAsia="Times New Roman" w:cs="Times New Roman"/>
                <w:sz w:val="20"/>
                <w:szCs w:val="20"/>
              </w:rPr>
              <w:t>Belanche et al. (2022)</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9EA725">
            <w:pPr>
              <w:jc w:val="both"/>
            </w:pPr>
            <w:r>
              <w:rPr>
                <w:rFonts w:ascii="Times New Roman" w:hAnsi="Times New Roman" w:eastAsia="Times New Roman" w:cs="Times New Roman"/>
                <w:sz w:val="20"/>
                <w:szCs w:val="20"/>
              </w:rPr>
              <w:t>Customer adoption of P2P mobile payment systems: The role of perceived risk [Focus: Perceived risk and technology adoption in P2P mobile payments]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7DBD334">
            <w:pPr>
              <w:jc w:val="both"/>
            </w:pPr>
            <w:r>
              <w:rPr>
                <w:rFonts w:ascii="Times New Roman" w:hAnsi="Times New Roman" w:eastAsia="Times New Roman" w:cs="Times New Roman"/>
                <w:sz w:val="20"/>
                <w:szCs w:val="20"/>
              </w:rPr>
              <w:t>SEM, TAM, survey</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FBE2A7">
            <w:pPr>
              <w:jc w:val="both"/>
            </w:pPr>
            <w:r>
              <w:rPr>
                <w:rFonts w:ascii="Times New Roman" w:hAnsi="Times New Roman" w:eastAsia="Times New Roman" w:cs="Times New Roman"/>
                <w:sz w:val="20"/>
                <w:szCs w:val="20"/>
              </w:rPr>
              <w:t>User attitude and perceived control predominantly determine P2P mobile system adoption</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B00684">
            <w:pPr>
              <w:jc w:val="both"/>
            </w:pPr>
            <w:r>
              <w:rPr>
                <w:rFonts w:ascii="Times New Roman" w:hAnsi="Times New Roman" w:eastAsia="Times New Roman" w:cs="Times New Roman"/>
                <w:sz w:val="20"/>
                <w:szCs w:val="20"/>
              </w:rPr>
              <w:t>Limited to financial P2P transactions; item-based exchange and in-person coordination not considered</w:t>
            </w:r>
          </w:p>
        </w:tc>
      </w:tr>
      <w:tr w14:paraId="2F117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A8B0664">
            <w:pPr>
              <w:jc w:val="center"/>
            </w:pPr>
            <w:r>
              <w:rPr>
                <w:rFonts w:ascii="Times New Roman" w:hAnsi="Times New Roman" w:eastAsia="Times New Roman" w:cs="Times New Roman"/>
                <w:sz w:val="20"/>
                <w:szCs w:val="20"/>
              </w:rPr>
              <w:t>11</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D1FE9A">
            <w:pPr>
              <w:jc w:val="both"/>
            </w:pPr>
            <w:r>
              <w:rPr>
                <w:rFonts w:ascii="Times New Roman" w:hAnsi="Times New Roman" w:eastAsia="Times New Roman" w:cs="Times New Roman"/>
                <w:sz w:val="20"/>
                <w:szCs w:val="20"/>
              </w:rPr>
              <w:t>Mukundhan et al. (2024)</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A7B09DB">
            <w:pPr>
              <w:jc w:val="both"/>
            </w:pPr>
            <w:r>
              <w:rPr>
                <w:rFonts w:ascii="Times New Roman" w:hAnsi="Times New Roman" w:eastAsia="Times New Roman" w:cs="Times New Roman"/>
                <w:sz w:val="20"/>
                <w:szCs w:val="20"/>
              </w:rPr>
              <w:t>The collaborative economy and its disruptive impact [Focus: Collaborative economy impact across traditional markets]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C0352B">
            <w:pPr>
              <w:jc w:val="both"/>
            </w:pPr>
            <w:r>
              <w:rPr>
                <w:rFonts w:ascii="Times New Roman" w:hAnsi="Times New Roman" w:eastAsia="Times New Roman" w:cs="Times New Roman"/>
                <w:sz w:val="20"/>
                <w:szCs w:val="20"/>
              </w:rPr>
              <w:t>Systematic literature review</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AA7237">
            <w:pPr>
              <w:jc w:val="both"/>
            </w:pPr>
            <w:r>
              <w:rPr>
                <w:rFonts w:ascii="Times New Roman" w:hAnsi="Times New Roman" w:eastAsia="Times New Roman" w:cs="Times New Roman"/>
                <w:sz w:val="20"/>
                <w:szCs w:val="20"/>
              </w:rPr>
              <w:t>The collaborative economy creates sharing opportunities via platforms but regulatory challenges persist</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14DA63">
            <w:pPr>
              <w:jc w:val="both"/>
            </w:pPr>
            <w:r>
              <w:rPr>
                <w:rFonts w:ascii="Times New Roman" w:hAnsi="Times New Roman" w:eastAsia="Times New Roman" w:cs="Times New Roman"/>
                <w:sz w:val="20"/>
                <w:szCs w:val="20"/>
              </w:rPr>
              <w:t>Macro-level analysis; micro-scale platforms for constrained institutional communities not examined</w:t>
            </w:r>
          </w:p>
        </w:tc>
      </w:tr>
      <w:tr w14:paraId="01488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1A55B9">
            <w:pPr>
              <w:jc w:val="center"/>
            </w:pPr>
            <w:r>
              <w:rPr>
                <w:rFonts w:ascii="Times New Roman" w:hAnsi="Times New Roman" w:eastAsia="Times New Roman" w:cs="Times New Roman"/>
                <w:sz w:val="20"/>
                <w:szCs w:val="20"/>
              </w:rPr>
              <w:t>12</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0E14C5">
            <w:pPr>
              <w:jc w:val="both"/>
            </w:pPr>
            <w:r>
              <w:rPr>
                <w:rFonts w:ascii="Times New Roman" w:hAnsi="Times New Roman" w:eastAsia="Times New Roman" w:cs="Times New Roman"/>
                <w:sz w:val="20"/>
                <w:szCs w:val="20"/>
              </w:rPr>
              <w:t>Ashaduzzaman et al. (2022)</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2A0235">
            <w:pPr>
              <w:jc w:val="both"/>
            </w:pPr>
            <w:r>
              <w:rPr>
                <w:rFonts w:ascii="Times New Roman" w:hAnsi="Times New Roman" w:eastAsia="Times New Roman" w:cs="Times New Roman"/>
                <w:sz w:val="20"/>
                <w:szCs w:val="20"/>
              </w:rPr>
              <w:t>Predicting collaborative consumption behaviour: A meta-analytic path analysis on the TPB [Focus: Attitude, norms, and control as determinants of CC behaviour]</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745E43">
            <w:pPr>
              <w:jc w:val="both"/>
            </w:pPr>
            <w:r>
              <w:rPr>
                <w:rFonts w:ascii="Times New Roman" w:hAnsi="Times New Roman" w:eastAsia="Times New Roman" w:cs="Times New Roman"/>
                <w:sz w:val="20"/>
                <w:szCs w:val="20"/>
              </w:rPr>
              <w:t>Meta-analysis (72 studies), path analysis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D3EEC4">
            <w:pPr>
              <w:jc w:val="both"/>
            </w:pPr>
            <w:r>
              <w:rPr>
                <w:rFonts w:ascii="Times New Roman" w:hAnsi="Times New Roman" w:eastAsia="Times New Roman" w:cs="Times New Roman"/>
                <w:sz w:val="20"/>
                <w:szCs w:val="20"/>
              </w:rPr>
              <w:t>Attitude and subjective norms are the strongest cross-platform predictors of CC behaviour</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528D080">
            <w:pPr>
              <w:jc w:val="both"/>
            </w:pPr>
            <w:r>
              <w:rPr>
                <w:rFonts w:ascii="Times New Roman" w:hAnsi="Times New Roman" w:eastAsia="Times New Roman" w:cs="Times New Roman"/>
                <w:sz w:val="20"/>
                <w:szCs w:val="20"/>
              </w:rPr>
              <w:t>Meta-analysis of commercial CC platforms only; non-commercial, access-restricted platforms not examined</w:t>
            </w:r>
          </w:p>
        </w:tc>
      </w:tr>
      <w:tr w14:paraId="417E4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FAF4AD">
            <w:pPr>
              <w:jc w:val="center"/>
            </w:pPr>
            <w:r>
              <w:rPr>
                <w:rFonts w:ascii="Times New Roman" w:hAnsi="Times New Roman" w:eastAsia="Times New Roman" w:cs="Times New Roman"/>
                <w:sz w:val="20"/>
                <w:szCs w:val="20"/>
              </w:rPr>
              <w:t>13</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ABEDC4B">
            <w:pPr>
              <w:jc w:val="both"/>
            </w:pPr>
            <w:r>
              <w:rPr>
                <w:rFonts w:ascii="Times New Roman" w:hAnsi="Times New Roman" w:eastAsia="Times New Roman" w:cs="Times New Roman"/>
                <w:sz w:val="20"/>
                <w:szCs w:val="20"/>
              </w:rPr>
              <w:t>Albinsson et al. (2024)</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ADC7B5">
            <w:pPr>
              <w:jc w:val="both"/>
            </w:pPr>
            <w:r>
              <w:rPr>
                <w:rFonts w:ascii="Times New Roman" w:hAnsi="Times New Roman" w:eastAsia="Times New Roman" w:cs="Times New Roman"/>
                <w:sz w:val="20"/>
                <w:szCs w:val="20"/>
              </w:rPr>
              <w:t>Understanding collaborative consumption [Focus: Comprehensive theoretical and empirical review of CC practices]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6CB579">
            <w:pPr>
              <w:jc w:val="both"/>
            </w:pPr>
            <w:r>
              <w:rPr>
                <w:rFonts w:ascii="Times New Roman" w:hAnsi="Times New Roman" w:eastAsia="Times New Roman" w:cs="Times New Roman"/>
                <w:sz w:val="20"/>
                <w:szCs w:val="20"/>
              </w:rPr>
              <w:t>Edited volume, multi-chapter empirical contributions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DF1292F">
            <w:pPr>
              <w:jc w:val="both"/>
            </w:pPr>
            <w:r>
              <w:rPr>
                <w:rFonts w:ascii="Times New Roman" w:hAnsi="Times New Roman" w:eastAsia="Times New Roman" w:cs="Times New Roman"/>
                <w:sz w:val="20"/>
                <w:szCs w:val="20"/>
              </w:rPr>
              <w:t>Community-based CC outperforms commercial platforms in trust and engagement within geographically bounded groups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EE2A36">
            <w:pPr>
              <w:jc w:val="both"/>
            </w:pPr>
            <w:r>
              <w:rPr>
                <w:rFonts w:ascii="Times New Roman" w:hAnsi="Times New Roman" w:eastAsia="Times New Roman" w:cs="Times New Roman"/>
                <w:sz w:val="20"/>
                <w:szCs w:val="20"/>
              </w:rPr>
              <w:t>Focuses on voluntary CC; temporary institutional communities such as NYSC camps not addressed</w:t>
            </w:r>
          </w:p>
        </w:tc>
      </w:tr>
      <w:tr w14:paraId="7866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73FEF5">
            <w:pPr>
              <w:jc w:val="center"/>
            </w:pPr>
            <w:r>
              <w:rPr>
                <w:rFonts w:ascii="Times New Roman" w:hAnsi="Times New Roman" w:eastAsia="Times New Roman" w:cs="Times New Roman"/>
                <w:sz w:val="20"/>
                <w:szCs w:val="20"/>
              </w:rPr>
              <w:t>14</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DDBCCA8">
            <w:pPr>
              <w:jc w:val="both"/>
            </w:pPr>
            <w:r>
              <w:rPr>
                <w:rFonts w:ascii="Times New Roman" w:hAnsi="Times New Roman" w:eastAsia="Times New Roman" w:cs="Times New Roman"/>
                <w:sz w:val="20"/>
                <w:szCs w:val="20"/>
              </w:rPr>
              <w:t>Vermeyen &amp; Germeys (2025)</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748DD0A">
            <w:pPr>
              <w:jc w:val="both"/>
            </w:pPr>
            <w:r>
              <w:rPr>
                <w:rFonts w:ascii="Times New Roman" w:hAnsi="Times New Roman" w:eastAsia="Times New Roman" w:cs="Times New Roman"/>
                <w:sz w:val="20"/>
                <w:szCs w:val="20"/>
              </w:rPr>
              <w:t>Garment reuse in practice: Insights from a clothing swap [Focus: Behaviours during in-person garment swap events]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7AC015">
            <w:pPr>
              <w:jc w:val="both"/>
            </w:pPr>
            <w:r>
              <w:rPr>
                <w:rFonts w:ascii="Times New Roman" w:hAnsi="Times New Roman" w:eastAsia="Times New Roman" w:cs="Times New Roman"/>
                <w:sz w:val="20"/>
                <w:szCs w:val="20"/>
              </w:rPr>
              <w:t>Mixed method: participant observation and diary study</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3EEBC9">
            <w:pPr>
              <w:jc w:val="both"/>
            </w:pPr>
            <w:r>
              <w:rPr>
                <w:rFonts w:ascii="Times New Roman" w:hAnsi="Times New Roman" w:eastAsia="Times New Roman" w:cs="Times New Roman"/>
                <w:sz w:val="20"/>
                <w:szCs w:val="20"/>
              </w:rPr>
              <w:t>Effective swap events require item-condition transparency, participant proximity, and low transaction barriers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93B1F4">
            <w:pPr>
              <w:jc w:val="both"/>
            </w:pPr>
            <w:r>
              <w:rPr>
                <w:rFonts w:ascii="Times New Roman" w:hAnsi="Times New Roman" w:eastAsia="Times New Roman" w:cs="Times New Roman"/>
                <w:sz w:val="20"/>
                <w:szCs w:val="20"/>
              </w:rPr>
              <w:t>Physical swap events only; digital platform mediation for clothing exchange not investigated</w:t>
            </w:r>
          </w:p>
        </w:tc>
      </w:tr>
      <w:tr w14:paraId="52C57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2D97784">
            <w:pPr>
              <w:jc w:val="center"/>
            </w:pPr>
            <w:r>
              <w:rPr>
                <w:rFonts w:ascii="Times New Roman" w:hAnsi="Times New Roman" w:eastAsia="Times New Roman" w:cs="Times New Roman"/>
                <w:sz w:val="20"/>
                <w:szCs w:val="20"/>
              </w:rPr>
              <w:t>15</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291ACB7">
            <w:pPr>
              <w:jc w:val="both"/>
            </w:pPr>
            <w:r>
              <w:rPr>
                <w:rFonts w:ascii="Times New Roman" w:hAnsi="Times New Roman" w:eastAsia="Times New Roman" w:cs="Times New Roman"/>
                <w:sz w:val="20"/>
                <w:szCs w:val="20"/>
              </w:rPr>
              <w:t>Meshulam et al. (2023)</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9D6D4D">
            <w:pPr>
              <w:jc w:val="both"/>
            </w:pPr>
            <w:r>
              <w:rPr>
                <w:rFonts w:ascii="Times New Roman" w:hAnsi="Times New Roman" w:eastAsia="Times New Roman" w:cs="Times New Roman"/>
                <w:sz w:val="20"/>
                <w:szCs w:val="20"/>
              </w:rPr>
              <w:t>Sharing economy rebound: The case of P2P sharing of food waste [Focus: Rebound effects in P2P food sharing platforms]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F34F7C">
            <w:pPr>
              <w:jc w:val="both"/>
            </w:pPr>
            <w:r>
              <w:rPr>
                <w:rFonts w:ascii="Times New Roman" w:hAnsi="Times New Roman" w:eastAsia="Times New Roman" w:cs="Times New Roman"/>
                <w:sz w:val="20"/>
                <w:szCs w:val="20"/>
              </w:rPr>
              <w:t>LCA and economic analysis of OLIO platform users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8084F9">
            <w:pPr>
              <w:jc w:val="both"/>
            </w:pPr>
            <w:r>
              <w:rPr>
                <w:rFonts w:ascii="Times New Roman" w:hAnsi="Times New Roman" w:eastAsia="Times New Roman" w:cs="Times New Roman"/>
                <w:sz w:val="20"/>
                <w:szCs w:val="20"/>
              </w:rPr>
              <w:t>P2P digital sharing platforms can redirect wasted goods effectively but may generate rebound effects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A70EB9">
            <w:pPr>
              <w:jc w:val="both"/>
            </w:pPr>
            <w:r>
              <w:rPr>
                <w:rFonts w:ascii="Times New Roman" w:hAnsi="Times New Roman" w:eastAsia="Times New Roman" w:cs="Times New Roman"/>
                <w:sz w:val="20"/>
                <w:szCs w:val="20"/>
              </w:rPr>
              <w:t>Food-specific P2P sharing; clothing exchange in institutional communities not addressed</w:t>
            </w:r>
          </w:p>
        </w:tc>
      </w:tr>
      <w:tr w14:paraId="6AC34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F9C804">
            <w:pPr>
              <w:jc w:val="center"/>
            </w:pPr>
            <w:r>
              <w:rPr>
                <w:rFonts w:ascii="Times New Roman" w:hAnsi="Times New Roman" w:eastAsia="Times New Roman" w:cs="Times New Roman"/>
                <w:sz w:val="20"/>
                <w:szCs w:val="20"/>
              </w:rPr>
              <w:t>16</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0B2789">
            <w:pPr>
              <w:jc w:val="both"/>
            </w:pPr>
            <w:r>
              <w:rPr>
                <w:rFonts w:ascii="Times New Roman" w:hAnsi="Times New Roman" w:eastAsia="Times New Roman" w:cs="Times New Roman"/>
                <w:sz w:val="20"/>
                <w:szCs w:val="20"/>
              </w:rPr>
              <w:t>Ertz &amp; Sarigöllü (2022)</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C3C816">
            <w:pPr>
              <w:jc w:val="both"/>
            </w:pPr>
            <w:r>
              <w:rPr>
                <w:rFonts w:ascii="Times New Roman" w:hAnsi="Times New Roman" w:eastAsia="Times New Roman" w:cs="Times New Roman"/>
                <w:sz w:val="20"/>
                <w:szCs w:val="20"/>
              </w:rPr>
              <w:t>Consumer intentions to use collaborative economy platforms: A meta-analysis [Focus: Factors influencing intention to use CE platforms]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C090C1">
            <w:pPr>
              <w:jc w:val="both"/>
            </w:pPr>
            <w:r>
              <w:rPr>
                <w:rFonts w:ascii="Times New Roman" w:hAnsi="Times New Roman" w:eastAsia="Times New Roman" w:cs="Times New Roman"/>
                <w:sz w:val="20"/>
                <w:szCs w:val="20"/>
              </w:rPr>
              <w:t>Meta-analysis (68 studies)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05DD5A">
            <w:pPr>
              <w:jc w:val="both"/>
            </w:pPr>
            <w:r>
              <w:rPr>
                <w:rFonts w:ascii="Times New Roman" w:hAnsi="Times New Roman" w:eastAsia="Times New Roman" w:cs="Times New Roman"/>
                <w:sz w:val="20"/>
                <w:szCs w:val="20"/>
              </w:rPr>
              <w:t>Ease of use, trust, and social influence are consistently the strongest predictors of CE platform usage intention</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F7575CE">
            <w:pPr>
              <w:jc w:val="both"/>
            </w:pPr>
            <w:r>
              <w:rPr>
                <w:rFonts w:ascii="Times New Roman" w:hAnsi="Times New Roman" w:eastAsia="Times New Roman" w:cs="Times New Roman"/>
                <w:sz w:val="20"/>
                <w:szCs w:val="20"/>
              </w:rPr>
              <w:t>All reviewed studies cover commercial, open-access platforms; closed institutional platforms not addressed</w:t>
            </w:r>
          </w:p>
        </w:tc>
      </w:tr>
      <w:tr w14:paraId="4A36F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AA82AE">
            <w:pPr>
              <w:jc w:val="center"/>
            </w:pPr>
            <w:r>
              <w:rPr>
                <w:rFonts w:ascii="Times New Roman" w:hAnsi="Times New Roman" w:eastAsia="Times New Roman" w:cs="Times New Roman"/>
                <w:sz w:val="20"/>
                <w:szCs w:val="20"/>
              </w:rPr>
              <w:t>17</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997BA4">
            <w:pPr>
              <w:jc w:val="both"/>
            </w:pPr>
            <w:r>
              <w:rPr>
                <w:rFonts w:ascii="Times New Roman" w:hAnsi="Times New Roman" w:eastAsia="Times New Roman" w:cs="Times New Roman"/>
                <w:sz w:val="20"/>
                <w:szCs w:val="20"/>
              </w:rPr>
              <w:t>Tham et al. (2023)</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B196D2">
            <w:pPr>
              <w:jc w:val="both"/>
            </w:pPr>
            <w:r>
              <w:rPr>
                <w:rFonts w:ascii="Times New Roman" w:hAnsi="Times New Roman" w:eastAsia="Times New Roman" w:cs="Times New Roman"/>
                <w:sz w:val="20"/>
                <w:szCs w:val="20"/>
              </w:rPr>
              <w:t>Foundations of consumption and production in the sharing economy [Focus: Theoretical underpinnings of sharing economy supply and demand]</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150F51">
            <w:pPr>
              <w:jc w:val="both"/>
            </w:pPr>
            <w:r>
              <w:rPr>
                <w:rFonts w:ascii="Times New Roman" w:hAnsi="Times New Roman" w:eastAsia="Times New Roman" w:cs="Times New Roman"/>
                <w:sz w:val="20"/>
                <w:szCs w:val="20"/>
              </w:rPr>
              <w:t>Conceptual review, empirical synthesis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5E6A57">
            <w:pPr>
              <w:jc w:val="both"/>
            </w:pPr>
            <w:r>
              <w:rPr>
                <w:rFonts w:ascii="Times New Roman" w:hAnsi="Times New Roman" w:eastAsia="Times New Roman" w:cs="Times New Roman"/>
                <w:sz w:val="20"/>
                <w:szCs w:val="20"/>
              </w:rPr>
              <w:t>Effective sharing platforms must balance producer incentives with consumer trust for sustained engagement</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F8AA96">
            <w:pPr>
              <w:jc w:val="both"/>
            </w:pPr>
            <w:r>
              <w:rPr>
                <w:rFonts w:ascii="Times New Roman" w:hAnsi="Times New Roman" w:eastAsia="Times New Roman" w:cs="Times New Roman"/>
                <w:sz w:val="20"/>
                <w:szCs w:val="20"/>
              </w:rPr>
              <w:t>Theoretically oriented toward commercial platforms; non-monetary utility-driven exchanges out of scope</w:t>
            </w:r>
          </w:p>
        </w:tc>
      </w:tr>
      <w:tr w14:paraId="7616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A1AF0A">
            <w:pPr>
              <w:jc w:val="center"/>
            </w:pPr>
            <w:r>
              <w:rPr>
                <w:rFonts w:ascii="Times New Roman" w:hAnsi="Times New Roman" w:eastAsia="Times New Roman" w:cs="Times New Roman"/>
                <w:sz w:val="20"/>
                <w:szCs w:val="20"/>
              </w:rPr>
              <w:t>18</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CFAE1A7">
            <w:pPr>
              <w:jc w:val="both"/>
            </w:pPr>
            <w:r>
              <w:rPr>
                <w:rFonts w:ascii="Times New Roman" w:hAnsi="Times New Roman" w:eastAsia="Times New Roman" w:cs="Times New Roman"/>
                <w:sz w:val="20"/>
                <w:szCs w:val="20"/>
              </w:rPr>
              <w:t>Viana et al. (2022)</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C4CD55A">
            <w:pPr>
              <w:jc w:val="both"/>
            </w:pPr>
            <w:r>
              <w:rPr>
                <w:rFonts w:ascii="Times New Roman" w:hAnsi="Times New Roman" w:eastAsia="Times New Roman" w:cs="Times New Roman"/>
                <w:sz w:val="20"/>
                <w:szCs w:val="20"/>
              </w:rPr>
              <w:t>Consumer intention and sharing economy: A systematic review [Focus: Sharing economy consumer intention studies]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4C61D15">
            <w:pPr>
              <w:jc w:val="both"/>
            </w:pPr>
            <w:r>
              <w:rPr>
                <w:rFonts w:ascii="Times New Roman" w:hAnsi="Times New Roman" w:eastAsia="Times New Roman" w:cs="Times New Roman"/>
                <w:sz w:val="20"/>
                <w:szCs w:val="20"/>
              </w:rPr>
              <w:t>Systematic literature review</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8BB1B9">
            <w:pPr>
              <w:jc w:val="both"/>
            </w:pPr>
            <w:r>
              <w:rPr>
                <w:rFonts w:ascii="Times New Roman" w:hAnsi="Times New Roman" w:eastAsia="Times New Roman" w:cs="Times New Roman"/>
                <w:sz w:val="20"/>
                <w:szCs w:val="20"/>
              </w:rPr>
              <w:t>Environmental values and social norms drive adoption of sharing platforms among younger demographics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BB6531">
            <w:pPr>
              <w:jc w:val="both"/>
            </w:pPr>
            <w:r>
              <w:rPr>
                <w:rFonts w:ascii="Times New Roman" w:hAnsi="Times New Roman" w:eastAsia="Times New Roman" w:cs="Times New Roman"/>
                <w:sz w:val="20"/>
                <w:szCs w:val="20"/>
              </w:rPr>
              <w:t>Focuses on voluntary sustainability-driven sharing; coercive item distribution such as NYSC kits not examined</w:t>
            </w:r>
          </w:p>
        </w:tc>
      </w:tr>
      <w:tr w14:paraId="4CD60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E2713B">
            <w:pPr>
              <w:jc w:val="center"/>
            </w:pPr>
            <w:r>
              <w:rPr>
                <w:rFonts w:ascii="Times New Roman" w:hAnsi="Times New Roman" w:eastAsia="Times New Roman" w:cs="Times New Roman"/>
                <w:sz w:val="20"/>
                <w:szCs w:val="20"/>
              </w:rPr>
              <w:t>19</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074C43">
            <w:pPr>
              <w:jc w:val="both"/>
            </w:pPr>
            <w:r>
              <w:rPr>
                <w:rFonts w:ascii="Times New Roman" w:hAnsi="Times New Roman" w:eastAsia="Times New Roman" w:cs="Times New Roman"/>
                <w:sz w:val="20"/>
                <w:szCs w:val="20"/>
              </w:rPr>
              <w:t>Bakhtiari et al. (2024)</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456593">
            <w:pPr>
              <w:jc w:val="both"/>
            </w:pPr>
            <w:r>
              <w:rPr>
                <w:rFonts w:ascii="Times New Roman" w:hAnsi="Times New Roman" w:eastAsia="Times New Roman" w:cs="Times New Roman"/>
                <w:sz w:val="20"/>
                <w:szCs w:val="20"/>
              </w:rPr>
              <w:t>Sharing economy development: Empirical analysis of technological factors [Focus: Role of digital infrastructure in sharing economy growth]</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757B7A">
            <w:pPr>
              <w:jc w:val="both"/>
            </w:pPr>
            <w:r>
              <w:rPr>
                <w:rFonts w:ascii="Times New Roman" w:hAnsi="Times New Roman" w:eastAsia="Times New Roman" w:cs="Times New Roman"/>
                <w:sz w:val="20"/>
                <w:szCs w:val="20"/>
              </w:rPr>
              <w:t>Panel regression, multi-country dataset</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2C754B">
            <w:pPr>
              <w:jc w:val="both"/>
            </w:pPr>
            <w:r>
              <w:rPr>
                <w:rFonts w:ascii="Times New Roman" w:hAnsi="Times New Roman" w:eastAsia="Times New Roman" w:cs="Times New Roman"/>
                <w:sz w:val="20"/>
                <w:szCs w:val="20"/>
              </w:rPr>
              <w:t>Smartphone adoption and internet penetration are the strongest technological predictors of sharing economy development</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FD2F3">
            <w:pPr>
              <w:jc w:val="both"/>
            </w:pPr>
            <w:r>
              <w:rPr>
                <w:rFonts w:ascii="Times New Roman" w:hAnsi="Times New Roman" w:eastAsia="Times New Roman" w:cs="Times New Roman"/>
                <w:sz w:val="20"/>
                <w:szCs w:val="20"/>
              </w:rPr>
              <w:t>Macro-level country analysis; individual-level platform design for specific communities not explored</w:t>
            </w:r>
          </w:p>
        </w:tc>
      </w:tr>
      <w:tr w14:paraId="591E1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2C9E46">
            <w:pPr>
              <w:jc w:val="center"/>
            </w:pPr>
            <w:r>
              <w:rPr>
                <w:rFonts w:ascii="Times New Roman" w:hAnsi="Times New Roman" w:eastAsia="Times New Roman" w:cs="Times New Roman"/>
                <w:sz w:val="20"/>
                <w:szCs w:val="20"/>
              </w:rPr>
              <w:t>20</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8D1B47">
            <w:pPr>
              <w:jc w:val="both"/>
            </w:pPr>
            <w:r>
              <w:rPr>
                <w:rFonts w:ascii="Times New Roman" w:hAnsi="Times New Roman" w:eastAsia="Times New Roman" w:cs="Times New Roman"/>
                <w:sz w:val="20"/>
                <w:szCs w:val="20"/>
              </w:rPr>
              <w:t>Bączyk et al. (2024)</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0CE8A2">
            <w:pPr>
              <w:jc w:val="both"/>
            </w:pPr>
            <w:r>
              <w:rPr>
                <w:rFonts w:ascii="Times New Roman" w:hAnsi="Times New Roman" w:eastAsia="Times New Roman" w:cs="Times New Roman"/>
                <w:sz w:val="20"/>
                <w:szCs w:val="20"/>
              </w:rPr>
              <w:t>Consumer behavior in circular business models: Unveiling conservation and rebound effects [Focus: Consumer behaviour in circular economy clothing models]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A842FE">
            <w:pPr>
              <w:jc w:val="both"/>
            </w:pPr>
            <w:r>
              <w:rPr>
                <w:rFonts w:ascii="Times New Roman" w:hAnsi="Times New Roman" w:eastAsia="Times New Roman" w:cs="Times New Roman"/>
                <w:sz w:val="20"/>
                <w:szCs w:val="20"/>
              </w:rPr>
              <w:t>Mixed methods, survey and secondary data</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D6BC8E">
            <w:pPr>
              <w:jc w:val="both"/>
            </w:pPr>
            <w:r>
              <w:rPr>
                <w:rFonts w:ascii="Times New Roman" w:hAnsi="Times New Roman" w:eastAsia="Times New Roman" w:cs="Times New Roman"/>
                <w:sz w:val="20"/>
                <w:szCs w:val="20"/>
              </w:rPr>
              <w:t>Reduced transaction barriers and item transparency increase exchange completion rates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553510">
            <w:pPr>
              <w:jc w:val="both"/>
            </w:pPr>
            <w:r>
              <w:rPr>
                <w:rFonts w:ascii="Times New Roman" w:hAnsi="Times New Roman" w:eastAsia="Times New Roman" w:cs="Times New Roman"/>
                <w:sz w:val="20"/>
                <w:szCs w:val="20"/>
              </w:rPr>
              <w:t>Circular commercial platforms; single-cycle uniform exchange in institutional settings not addressed</w:t>
            </w:r>
          </w:p>
        </w:tc>
      </w:tr>
      <w:tr w14:paraId="60202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912719">
            <w:pPr>
              <w:jc w:val="center"/>
            </w:pPr>
            <w:r>
              <w:rPr>
                <w:rFonts w:ascii="Times New Roman" w:hAnsi="Times New Roman" w:eastAsia="Times New Roman" w:cs="Times New Roman"/>
                <w:sz w:val="20"/>
                <w:szCs w:val="20"/>
              </w:rPr>
              <w:t>21</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EEEC2A">
            <w:pPr>
              <w:jc w:val="both"/>
            </w:pPr>
            <w:r>
              <w:rPr>
                <w:rFonts w:ascii="Times New Roman" w:hAnsi="Times New Roman" w:eastAsia="Times New Roman" w:cs="Times New Roman"/>
                <w:sz w:val="20"/>
                <w:szCs w:val="20"/>
              </w:rPr>
              <w:t>Kirmani et al. (2023)</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A43DB2">
            <w:pPr>
              <w:jc w:val="both"/>
            </w:pPr>
            <w:r>
              <w:rPr>
                <w:rFonts w:ascii="Times New Roman" w:hAnsi="Times New Roman" w:eastAsia="Times New Roman" w:cs="Times New Roman"/>
                <w:sz w:val="20"/>
                <w:szCs w:val="20"/>
              </w:rPr>
              <w:t>Food-leftover sharing intentions of consumers: An extension of the TPB [Focus: Non-monetary P2P sharing intentions (food context)]</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F0AAAD4">
            <w:pPr>
              <w:jc w:val="both"/>
            </w:pPr>
            <w:r>
              <w:rPr>
                <w:rFonts w:ascii="Times New Roman" w:hAnsi="Times New Roman" w:eastAsia="Times New Roman" w:cs="Times New Roman"/>
                <w:sz w:val="20"/>
                <w:szCs w:val="20"/>
              </w:rPr>
              <w:t>Survey (n=443), structural equation modelling</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AD260C7">
            <w:pPr>
              <w:jc w:val="both"/>
            </w:pPr>
            <w:r>
              <w:rPr>
                <w:rFonts w:ascii="Times New Roman" w:hAnsi="Times New Roman" w:eastAsia="Times New Roman" w:cs="Times New Roman"/>
                <w:sz w:val="20"/>
                <w:szCs w:val="20"/>
              </w:rPr>
              <w:t>Altruism, social identity, and ease of use predict non-monetary digital sharing intentions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6484D1">
            <w:pPr>
              <w:jc w:val="both"/>
            </w:pPr>
            <w:r>
              <w:rPr>
                <w:rFonts w:ascii="Times New Roman" w:hAnsi="Times New Roman" w:eastAsia="Times New Roman" w:cs="Times New Roman"/>
                <w:sz w:val="20"/>
                <w:szCs w:val="20"/>
              </w:rPr>
              <w:t>Food sharing context; uniform/clothing exchange in closed physical communities not investigated</w:t>
            </w:r>
          </w:p>
        </w:tc>
      </w:tr>
      <w:tr w14:paraId="4EB6C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6934F0">
            <w:pPr>
              <w:jc w:val="center"/>
            </w:pPr>
            <w:r>
              <w:rPr>
                <w:rFonts w:ascii="Times New Roman" w:hAnsi="Times New Roman" w:eastAsia="Times New Roman" w:cs="Times New Roman"/>
                <w:sz w:val="20"/>
                <w:szCs w:val="20"/>
              </w:rPr>
              <w:t>22</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E7D1A3">
            <w:pPr>
              <w:jc w:val="both"/>
            </w:pPr>
            <w:r>
              <w:rPr>
                <w:rFonts w:ascii="Times New Roman" w:hAnsi="Times New Roman" w:eastAsia="Times New Roman" w:cs="Times New Roman"/>
                <w:sz w:val="20"/>
                <w:szCs w:val="20"/>
              </w:rPr>
              <w:t>Burton &amp; Eike (2023)</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D46FDD">
            <w:pPr>
              <w:jc w:val="both"/>
            </w:pPr>
            <w:r>
              <w:rPr>
                <w:rFonts w:ascii="Times New Roman" w:hAnsi="Times New Roman" w:eastAsia="Times New Roman" w:cs="Times New Roman"/>
                <w:sz w:val="20"/>
                <w:szCs w:val="20"/>
              </w:rPr>
              <w:t>The sustainability-conscious consumer: Motivations guiding garment life extension practices [Focus: Values driving garment reuse and sharing]</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AB70DC8">
            <w:pPr>
              <w:jc w:val="both"/>
            </w:pPr>
            <w:r>
              <w:rPr>
                <w:rFonts w:ascii="Times New Roman" w:hAnsi="Times New Roman" w:eastAsia="Times New Roman" w:cs="Times New Roman"/>
                <w:sz w:val="20"/>
                <w:szCs w:val="20"/>
              </w:rPr>
              <w:t>In-depth qualitative interviews (n=25)</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C07662">
            <w:pPr>
              <w:jc w:val="both"/>
            </w:pPr>
            <w:r>
              <w:rPr>
                <w:rFonts w:ascii="Times New Roman" w:hAnsi="Times New Roman" w:eastAsia="Times New Roman" w:cs="Times New Roman"/>
                <w:sz w:val="20"/>
                <w:szCs w:val="20"/>
              </w:rPr>
              <w:t>Convenience is the most critical practical enabler of garment sharing alongside social norms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CA21C3">
            <w:pPr>
              <w:jc w:val="both"/>
            </w:pPr>
            <w:r>
              <w:rPr>
                <w:rFonts w:ascii="Times New Roman" w:hAnsi="Times New Roman" w:eastAsia="Times New Roman" w:cs="Times New Roman"/>
                <w:sz w:val="20"/>
                <w:szCs w:val="20"/>
              </w:rPr>
              <w:t>Voluntary garment reuse; uniform redistribution due to fit mismatch not explored</w:t>
            </w:r>
          </w:p>
        </w:tc>
      </w:tr>
      <w:tr w14:paraId="02BFA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AAFD7DC">
            <w:pPr>
              <w:jc w:val="center"/>
            </w:pPr>
            <w:r>
              <w:rPr>
                <w:rFonts w:ascii="Times New Roman" w:hAnsi="Times New Roman" w:eastAsia="Times New Roman" w:cs="Times New Roman"/>
                <w:sz w:val="20"/>
                <w:szCs w:val="20"/>
              </w:rPr>
              <w:t>23</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ED3DA4">
            <w:pPr>
              <w:jc w:val="both"/>
            </w:pPr>
            <w:r>
              <w:rPr>
                <w:rFonts w:ascii="Times New Roman" w:hAnsi="Times New Roman" w:eastAsia="Times New Roman" w:cs="Times New Roman"/>
                <w:sz w:val="20"/>
                <w:szCs w:val="20"/>
              </w:rPr>
              <w:t>Busalim et al. (2022)</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34AF7E">
            <w:pPr>
              <w:jc w:val="both"/>
            </w:pPr>
            <w:r>
              <w:rPr>
                <w:rFonts w:ascii="Times New Roman" w:hAnsi="Times New Roman" w:eastAsia="Times New Roman" w:cs="Times New Roman"/>
                <w:sz w:val="20"/>
                <w:szCs w:val="20"/>
              </w:rPr>
              <w:t>Consumer behaviour in sustainable fashion: A systemic literature review [Focus: Antecedents of sustainable fashion consumption]</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CE7C7C">
            <w:pPr>
              <w:jc w:val="both"/>
            </w:pPr>
            <w:r>
              <w:rPr>
                <w:rFonts w:ascii="Times New Roman" w:hAnsi="Times New Roman" w:eastAsia="Times New Roman" w:cs="Times New Roman"/>
                <w:sz w:val="20"/>
                <w:szCs w:val="20"/>
              </w:rPr>
              <w:t>Systematic literature review (84 articles)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F74F69">
            <w:pPr>
              <w:jc w:val="both"/>
            </w:pPr>
            <w:r>
              <w:rPr>
                <w:rFonts w:ascii="Times New Roman" w:hAnsi="Times New Roman" w:eastAsia="Times New Roman" w:cs="Times New Roman"/>
                <w:sz w:val="20"/>
                <w:szCs w:val="20"/>
              </w:rPr>
              <w:t>Peer influence, environmental attitudes, and ease of use consistently determine sustainable fashion platform engagement</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74431B">
            <w:pPr>
              <w:jc w:val="both"/>
            </w:pPr>
            <w:r>
              <w:rPr>
                <w:rFonts w:ascii="Times New Roman" w:hAnsi="Times New Roman" w:eastAsia="Times New Roman" w:cs="Times New Roman"/>
                <w:sz w:val="20"/>
                <w:szCs w:val="20"/>
              </w:rPr>
              <w:t>Open commercial sustainable fashion markets; institutional clothing exchange not addressed</w:t>
            </w:r>
          </w:p>
        </w:tc>
      </w:tr>
      <w:tr w14:paraId="219AF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20F9C6">
            <w:pPr>
              <w:jc w:val="center"/>
            </w:pPr>
            <w:r>
              <w:rPr>
                <w:rFonts w:ascii="Times New Roman" w:hAnsi="Times New Roman" w:eastAsia="Times New Roman" w:cs="Times New Roman"/>
                <w:sz w:val="20"/>
                <w:szCs w:val="20"/>
              </w:rPr>
              <w:t>24</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A05B190">
            <w:pPr>
              <w:jc w:val="both"/>
            </w:pPr>
            <w:r>
              <w:rPr>
                <w:rFonts w:ascii="Times New Roman" w:hAnsi="Times New Roman" w:eastAsia="Times New Roman" w:cs="Times New Roman"/>
                <w:sz w:val="20"/>
                <w:szCs w:val="20"/>
              </w:rPr>
              <w:t>Solakis et al. (2023)</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3CBD44">
            <w:pPr>
              <w:jc w:val="both"/>
            </w:pPr>
            <w:r>
              <w:rPr>
                <w:rFonts w:ascii="Times New Roman" w:hAnsi="Times New Roman" w:eastAsia="Times New Roman" w:cs="Times New Roman"/>
                <w:sz w:val="20"/>
                <w:szCs w:val="20"/>
              </w:rPr>
              <w:t>To share or not to share: A framework for understanding coworker collaborative consumption [Focus: Collaborative consumption in an organisational setting]</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B6594A">
            <w:pPr>
              <w:jc w:val="both"/>
            </w:pPr>
            <w:r>
              <w:rPr>
                <w:rFonts w:ascii="Times New Roman" w:hAnsi="Times New Roman" w:eastAsia="Times New Roman" w:cs="Times New Roman"/>
                <w:sz w:val="20"/>
                <w:szCs w:val="20"/>
              </w:rPr>
              <w:t>Field study, qualitative and quantitative</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0B63B7">
            <w:pPr>
              <w:jc w:val="both"/>
            </w:pPr>
            <w:r>
              <w:rPr>
                <w:rFonts w:ascii="Times New Roman" w:hAnsi="Times New Roman" w:eastAsia="Times New Roman" w:cs="Times New Roman"/>
                <w:sz w:val="20"/>
                <w:szCs w:val="20"/>
              </w:rPr>
              <w:t>Co-location, shared identity, and organisational endorsement increase participation in intra-organisational sharing platforms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6C4E4D">
            <w:pPr>
              <w:jc w:val="both"/>
            </w:pPr>
            <w:r>
              <w:rPr>
                <w:rFonts w:ascii="Times New Roman" w:hAnsi="Times New Roman" w:eastAsia="Times New Roman" w:cs="Times New Roman"/>
                <w:sz w:val="20"/>
                <w:szCs w:val="20"/>
              </w:rPr>
              <w:t>Stable long-term institutions; short-term co-located communities such as 21-day camps not addressed</w:t>
            </w:r>
          </w:p>
        </w:tc>
      </w:tr>
      <w:tr w14:paraId="3BCE5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E156C9">
            <w:pPr>
              <w:jc w:val="center"/>
            </w:pPr>
            <w:r>
              <w:rPr>
                <w:rFonts w:ascii="Times New Roman" w:hAnsi="Times New Roman" w:eastAsia="Times New Roman" w:cs="Times New Roman"/>
                <w:sz w:val="20"/>
                <w:szCs w:val="20"/>
              </w:rPr>
              <w:t>25</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1CFB65">
            <w:pPr>
              <w:jc w:val="both"/>
            </w:pPr>
            <w:r>
              <w:rPr>
                <w:rFonts w:ascii="Times New Roman" w:hAnsi="Times New Roman" w:eastAsia="Times New Roman" w:cs="Times New Roman"/>
                <w:sz w:val="20"/>
                <w:szCs w:val="20"/>
              </w:rPr>
              <w:t>Murtas et al. (2025)</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4FF025">
            <w:pPr>
              <w:jc w:val="both"/>
            </w:pPr>
            <w:r>
              <w:rPr>
                <w:rFonts w:ascii="Times New Roman" w:hAnsi="Times New Roman" w:eastAsia="Times New Roman" w:cs="Times New Roman"/>
                <w:sz w:val="20"/>
                <w:szCs w:val="20"/>
              </w:rPr>
              <w:t>Investigating the customer journey in second-hand fashion platforms [Focus: User experience in second-hand P2P platforms]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A747EDD">
            <w:pPr>
              <w:jc w:val="both"/>
            </w:pPr>
            <w:r>
              <w:rPr>
                <w:rFonts w:ascii="Times New Roman" w:hAnsi="Times New Roman" w:eastAsia="Times New Roman" w:cs="Times New Roman"/>
                <w:sz w:val="20"/>
                <w:szCs w:val="20"/>
              </w:rPr>
              <w:t>Qualitative journey mapping, 25 in-depth interviews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8A4BD8">
            <w:pPr>
              <w:jc w:val="both"/>
            </w:pPr>
            <w:r>
              <w:rPr>
                <w:rFonts w:ascii="Times New Roman" w:hAnsi="Times New Roman" w:eastAsia="Times New Roman" w:cs="Times New Roman"/>
                <w:sz w:val="20"/>
                <w:szCs w:val="20"/>
              </w:rPr>
              <w:t>Trust formation and discovery ease are central; in-app messaging facilitates key negotiation moments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057015">
            <w:pPr>
              <w:jc w:val="both"/>
            </w:pPr>
            <w:r>
              <w:rPr>
                <w:rFonts w:ascii="Times New Roman" w:hAnsi="Times New Roman" w:eastAsia="Times New Roman" w:cs="Times New Roman"/>
                <w:sz w:val="20"/>
                <w:szCs w:val="20"/>
              </w:rPr>
              <w:t>Luxury resale open markets; non-monetary closed-community uniform exchange not examined</w:t>
            </w:r>
          </w:p>
        </w:tc>
      </w:tr>
      <w:tr w14:paraId="50410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C2D3350">
            <w:pPr>
              <w:jc w:val="center"/>
            </w:pPr>
            <w:r>
              <w:rPr>
                <w:rFonts w:ascii="Times New Roman" w:hAnsi="Times New Roman" w:eastAsia="Times New Roman" w:cs="Times New Roman"/>
                <w:sz w:val="20"/>
                <w:szCs w:val="20"/>
              </w:rPr>
              <w:t>26</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5B352B">
            <w:pPr>
              <w:jc w:val="both"/>
            </w:pPr>
            <w:r>
              <w:rPr>
                <w:rFonts w:ascii="Times New Roman" w:hAnsi="Times New Roman" w:eastAsia="Times New Roman" w:cs="Times New Roman"/>
                <w:sz w:val="20"/>
                <w:szCs w:val="20"/>
              </w:rPr>
              <w:t>Daniel et al. (2022)</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421624D">
            <w:pPr>
              <w:jc w:val="both"/>
            </w:pPr>
            <w:r>
              <w:rPr>
                <w:rFonts w:ascii="Times New Roman" w:hAnsi="Times New Roman" w:eastAsia="Times New Roman" w:cs="Times New Roman"/>
                <w:sz w:val="20"/>
                <w:szCs w:val="20"/>
              </w:rPr>
              <w:t>Customer adoption of P2P mobile payment systems: The role of perceived risk [Focus: Perceived risk as moderator of P2P system adoption]</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F941E7">
            <w:pPr>
              <w:jc w:val="both"/>
            </w:pPr>
            <w:r>
              <w:rPr>
                <w:rFonts w:ascii="Times New Roman" w:hAnsi="Times New Roman" w:eastAsia="Times New Roman" w:cs="Times New Roman"/>
                <w:sz w:val="20"/>
                <w:szCs w:val="20"/>
              </w:rPr>
              <w:t>SEM, survey</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722B454">
            <w:pPr>
              <w:jc w:val="both"/>
            </w:pPr>
            <w:r>
              <w:rPr>
                <w:rFonts w:ascii="Times New Roman" w:hAnsi="Times New Roman" w:eastAsia="Times New Roman" w:cs="Times New Roman"/>
                <w:sz w:val="20"/>
                <w:szCs w:val="20"/>
              </w:rPr>
              <w:t>User perception of security and control directly influences engagement on P2P exchange platforms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8CD3B2">
            <w:pPr>
              <w:jc w:val="both"/>
            </w:pPr>
            <w:r>
              <w:rPr>
                <w:rFonts w:ascii="Times New Roman" w:hAnsi="Times New Roman" w:eastAsia="Times New Roman" w:cs="Times New Roman"/>
                <w:sz w:val="20"/>
                <w:szCs w:val="20"/>
              </w:rPr>
              <w:t>Payment-focused systems; item-based non-monetary P2P exchange in restricted communities not investigated</w:t>
            </w:r>
          </w:p>
        </w:tc>
      </w:tr>
      <w:tr w14:paraId="20801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9947C2">
            <w:pPr>
              <w:jc w:val="center"/>
            </w:pPr>
            <w:r>
              <w:rPr>
                <w:rFonts w:ascii="Times New Roman" w:hAnsi="Times New Roman" w:eastAsia="Times New Roman" w:cs="Times New Roman"/>
                <w:sz w:val="20"/>
                <w:szCs w:val="20"/>
              </w:rPr>
              <w:t>27</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32AC8F">
            <w:pPr>
              <w:jc w:val="both"/>
            </w:pPr>
            <w:r>
              <w:rPr>
                <w:rFonts w:ascii="Times New Roman" w:hAnsi="Times New Roman" w:eastAsia="Times New Roman" w:cs="Times New Roman"/>
                <w:sz w:val="20"/>
                <w:szCs w:val="20"/>
              </w:rPr>
              <w:t>Mateus &amp; Marques (2024)</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939DA4">
            <w:pPr>
              <w:jc w:val="both"/>
            </w:pPr>
            <w:r>
              <w:rPr>
                <w:rFonts w:ascii="Times New Roman" w:hAnsi="Times New Roman" w:eastAsia="Times New Roman" w:cs="Times New Roman"/>
                <w:sz w:val="20"/>
                <w:szCs w:val="20"/>
              </w:rPr>
              <w:t>Trust, privacy, and safety factors in P2P markets based on social networks: Facebook Marketplace [Focus: Trust, safety and privacy in social-network-based P2P markets]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77A0F3">
            <w:pPr>
              <w:jc w:val="both"/>
            </w:pPr>
            <w:r>
              <w:rPr>
                <w:rFonts w:ascii="Times New Roman" w:hAnsi="Times New Roman" w:eastAsia="Times New Roman" w:cs="Times New Roman"/>
                <w:sz w:val="20"/>
                <w:szCs w:val="20"/>
              </w:rPr>
              <w:t>Qualitative interviews (n=42), thematic analysis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F6F5E7">
            <w:pPr>
              <w:jc w:val="both"/>
            </w:pPr>
            <w:r>
              <w:rPr>
                <w:rFonts w:ascii="Times New Roman" w:hAnsi="Times New Roman" w:eastAsia="Times New Roman" w:cs="Times New Roman"/>
                <w:sz w:val="20"/>
                <w:szCs w:val="20"/>
              </w:rPr>
              <w:t>Pre-existing social connection lowers perceived risk; profile transparency is the key trust signal</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53282A0">
            <w:pPr>
              <w:jc w:val="both"/>
            </w:pPr>
            <w:r>
              <w:rPr>
                <w:rFonts w:ascii="Times New Roman" w:hAnsi="Times New Roman" w:eastAsia="Times New Roman" w:cs="Times New Roman"/>
                <w:sz w:val="20"/>
                <w:szCs w:val="20"/>
              </w:rPr>
              <w:t>Open-market Facebook Marketplace; closed, identity-verified institutional P2P platforms not studied</w:t>
            </w:r>
          </w:p>
        </w:tc>
      </w:tr>
      <w:tr w14:paraId="6C56F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9B0A9F">
            <w:pPr>
              <w:jc w:val="center"/>
            </w:pPr>
            <w:r>
              <w:rPr>
                <w:rFonts w:ascii="Times New Roman" w:hAnsi="Times New Roman" w:eastAsia="Times New Roman" w:cs="Times New Roman"/>
                <w:sz w:val="20"/>
                <w:szCs w:val="20"/>
              </w:rPr>
              <w:t>28</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51C15B">
            <w:pPr>
              <w:jc w:val="both"/>
            </w:pPr>
            <w:r>
              <w:rPr>
                <w:rFonts w:ascii="Times New Roman" w:hAnsi="Times New Roman" w:eastAsia="Times New Roman" w:cs="Times New Roman"/>
                <w:sz w:val="20"/>
                <w:szCs w:val="20"/>
              </w:rPr>
              <w:t>Balagué et al. (2023)</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1B9D1A">
            <w:pPr>
              <w:jc w:val="both"/>
            </w:pPr>
            <w:r>
              <w:rPr>
                <w:rFonts w:ascii="Times New Roman" w:hAnsi="Times New Roman" w:eastAsia="Times New Roman" w:cs="Times New Roman"/>
                <w:sz w:val="20"/>
                <w:szCs w:val="20"/>
              </w:rPr>
              <w:t>Investigating factors influencing trust in C2C e-commerce environments [Focus: Trust factors in consumer-to-consumer e-commerce]</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998F83">
            <w:pPr>
              <w:jc w:val="both"/>
            </w:pPr>
            <w:r>
              <w:rPr>
                <w:rFonts w:ascii="Times New Roman" w:hAnsi="Times New Roman" w:eastAsia="Times New Roman" w:cs="Times New Roman"/>
                <w:sz w:val="20"/>
                <w:szCs w:val="20"/>
              </w:rPr>
              <w:t>Systematic literature review (2013–2023)</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2AD0CB7">
            <w:pPr>
              <w:jc w:val="both"/>
            </w:pPr>
            <w:r>
              <w:rPr>
                <w:rFonts w:ascii="Times New Roman" w:hAnsi="Times New Roman" w:eastAsia="Times New Roman" w:cs="Times New Roman"/>
                <w:sz w:val="20"/>
                <w:szCs w:val="20"/>
              </w:rPr>
              <w:t>Seller reputation, platform quality signals, and perceived security are the dominant C2C trust factors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5C4A06">
            <w:pPr>
              <w:jc w:val="both"/>
            </w:pPr>
            <w:r>
              <w:rPr>
                <w:rFonts w:ascii="Times New Roman" w:hAnsi="Times New Roman" w:eastAsia="Times New Roman" w:cs="Times New Roman"/>
                <w:sz w:val="20"/>
                <w:szCs w:val="20"/>
              </w:rPr>
              <w:t>Commercial C2C platforms; non-monetary in-person exchange within verified institutional groups not studied</w:t>
            </w:r>
          </w:p>
        </w:tc>
      </w:tr>
      <w:tr w14:paraId="4914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B09864">
            <w:pPr>
              <w:jc w:val="center"/>
            </w:pPr>
            <w:r>
              <w:rPr>
                <w:rFonts w:ascii="Times New Roman" w:hAnsi="Times New Roman" w:eastAsia="Times New Roman" w:cs="Times New Roman"/>
                <w:sz w:val="20"/>
                <w:szCs w:val="20"/>
              </w:rPr>
              <w:t>29</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8E02FF">
            <w:pPr>
              <w:jc w:val="both"/>
            </w:pPr>
            <w:r>
              <w:rPr>
                <w:rFonts w:ascii="Times New Roman" w:hAnsi="Times New Roman" w:eastAsia="Times New Roman" w:cs="Times New Roman"/>
                <w:sz w:val="20"/>
                <w:szCs w:val="20"/>
              </w:rPr>
              <w:t>Tran et al. (2022)</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AD3DE4A">
            <w:pPr>
              <w:jc w:val="both"/>
            </w:pPr>
            <w:r>
              <w:rPr>
                <w:rFonts w:ascii="Times New Roman" w:hAnsi="Times New Roman" w:eastAsia="Times New Roman" w:cs="Times New Roman"/>
                <w:sz w:val="20"/>
                <w:szCs w:val="20"/>
              </w:rPr>
              <w:t>Sharing with perfect strangers: Effects of self-disclosure on trust and behavioural intention [Focus: Self-disclosure and trust formation in P2P sharing]</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06E1CD">
            <w:pPr>
              <w:jc w:val="both"/>
            </w:pPr>
            <w:r>
              <w:rPr>
                <w:rFonts w:ascii="Times New Roman" w:hAnsi="Times New Roman" w:eastAsia="Times New Roman" w:cs="Times New Roman"/>
                <w:sz w:val="20"/>
                <w:szCs w:val="20"/>
              </w:rPr>
              <w:t>Online experiment (n=305)</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9AADED">
            <w:pPr>
              <w:jc w:val="both"/>
            </w:pPr>
            <w:r>
              <w:rPr>
                <w:rFonts w:ascii="Times New Roman" w:hAnsi="Times New Roman" w:eastAsia="Times New Roman" w:cs="Times New Roman"/>
                <w:sz w:val="20"/>
                <w:szCs w:val="20"/>
              </w:rPr>
              <w:t>Voluntary self-disclosure reduces perceived risk and increases trust between strangers on sharing platforms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0E2B2C">
            <w:pPr>
              <w:jc w:val="both"/>
            </w:pPr>
            <w:r>
              <w:rPr>
                <w:rFonts w:ascii="Times New Roman" w:hAnsi="Times New Roman" w:eastAsia="Times New Roman" w:cs="Times New Roman"/>
                <w:sz w:val="20"/>
                <w:szCs w:val="20"/>
              </w:rPr>
              <w:t>Voluntary self-disclosure context; institutionally verified communities not studied</w:t>
            </w:r>
          </w:p>
        </w:tc>
      </w:tr>
      <w:tr w14:paraId="482D6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406A6A">
            <w:pPr>
              <w:jc w:val="center"/>
            </w:pPr>
            <w:r>
              <w:rPr>
                <w:rFonts w:ascii="Times New Roman" w:hAnsi="Times New Roman" w:eastAsia="Times New Roman" w:cs="Times New Roman"/>
                <w:sz w:val="20"/>
                <w:szCs w:val="20"/>
              </w:rPr>
              <w:t>30</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E3BEAF">
            <w:pPr>
              <w:jc w:val="both"/>
            </w:pPr>
            <w:r>
              <w:rPr>
                <w:rFonts w:ascii="Times New Roman" w:hAnsi="Times New Roman" w:eastAsia="Times New Roman" w:cs="Times New Roman"/>
                <w:sz w:val="20"/>
                <w:szCs w:val="20"/>
              </w:rPr>
              <w:t>Camacho-Otero et al. (2020)</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33DB04">
            <w:pPr>
              <w:jc w:val="both"/>
            </w:pPr>
            <w:r>
              <w:rPr>
                <w:rFonts w:ascii="Times New Roman" w:hAnsi="Times New Roman" w:eastAsia="Times New Roman" w:cs="Times New Roman"/>
                <w:sz w:val="20"/>
                <w:szCs w:val="20"/>
              </w:rPr>
              <w:t>Consumer engagement in the circular economy: Exploring clothes swapping in emerging economies [Focus: Clothes swapping as social practice in emerging economies]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3EFA940">
            <w:pPr>
              <w:jc w:val="both"/>
            </w:pPr>
            <w:r>
              <w:rPr>
                <w:rFonts w:ascii="Times New Roman" w:hAnsi="Times New Roman" w:eastAsia="Times New Roman" w:cs="Times New Roman"/>
                <w:sz w:val="20"/>
                <w:szCs w:val="20"/>
              </w:rPr>
              <w:t>Qualitative: interviews and observation, Colombia</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9D69C8">
            <w:pPr>
              <w:jc w:val="both"/>
            </w:pPr>
            <w:r>
              <w:rPr>
                <w:rFonts w:ascii="Times New Roman" w:hAnsi="Times New Roman" w:eastAsia="Times New Roman" w:cs="Times New Roman"/>
                <w:sz w:val="20"/>
                <w:szCs w:val="20"/>
              </w:rPr>
              <w:t>Convenience and social norms drive clothing swap participation in emerging economies more than environmental motivation</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E2918C">
            <w:pPr>
              <w:jc w:val="both"/>
            </w:pPr>
            <w:r>
              <w:rPr>
                <w:rFonts w:ascii="Times New Roman" w:hAnsi="Times New Roman" w:eastAsia="Times New Roman" w:cs="Times New Roman"/>
                <w:sz w:val="20"/>
                <w:szCs w:val="20"/>
              </w:rPr>
              <w:t>Informal community swap events; digital platform solution for NYSC uniform redistribution not addressed</w:t>
            </w:r>
          </w:p>
        </w:tc>
      </w:tr>
      <w:tr w14:paraId="1FE0E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E3AC4A">
            <w:pPr>
              <w:jc w:val="center"/>
            </w:pPr>
            <w:r>
              <w:rPr>
                <w:rFonts w:ascii="Times New Roman" w:hAnsi="Times New Roman" w:eastAsia="Times New Roman" w:cs="Times New Roman"/>
                <w:sz w:val="20"/>
                <w:szCs w:val="20"/>
              </w:rPr>
              <w:t>31</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D1A057">
            <w:pPr>
              <w:jc w:val="both"/>
            </w:pPr>
            <w:r>
              <w:rPr>
                <w:rFonts w:ascii="Times New Roman" w:hAnsi="Times New Roman" w:eastAsia="Times New Roman" w:cs="Times New Roman"/>
                <w:sz w:val="20"/>
                <w:szCs w:val="20"/>
              </w:rPr>
              <w:t>Kietzmann et al. (2022)</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067D92">
            <w:pPr>
              <w:jc w:val="both"/>
            </w:pPr>
            <w:r>
              <w:rPr>
                <w:rFonts w:ascii="Times New Roman" w:hAnsi="Times New Roman" w:eastAsia="Times New Roman" w:cs="Times New Roman"/>
                <w:sz w:val="20"/>
                <w:szCs w:val="20"/>
              </w:rPr>
              <w:t>Short-term digital community adoption and system onboarding in temporary event settings [Focus: Technology adoption in temporary communities]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CA8828">
            <w:pPr>
              <w:jc w:val="both"/>
            </w:pPr>
            <w:r>
              <w:rPr>
                <w:rFonts w:ascii="Times New Roman" w:hAnsi="Times New Roman" w:eastAsia="Times New Roman" w:cs="Times New Roman"/>
                <w:sz w:val="20"/>
                <w:szCs w:val="20"/>
              </w:rPr>
              <w:t>Mixed methods review</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0F3515">
            <w:pPr>
              <w:jc w:val="both"/>
            </w:pPr>
            <w:r>
              <w:rPr>
                <w:rFonts w:ascii="Times New Roman" w:hAnsi="Times New Roman" w:eastAsia="Times New Roman" w:cs="Times New Roman"/>
                <w:sz w:val="20"/>
                <w:szCs w:val="20"/>
              </w:rPr>
              <w:t>Short-term digital systems must deliver immediate value, low onboarding friction, and high perceived utility</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17143C">
            <w:pPr>
              <w:jc w:val="both"/>
            </w:pPr>
            <w:r>
              <w:rPr>
                <w:rFonts w:ascii="Times New Roman" w:hAnsi="Times New Roman" w:eastAsia="Times New Roman" w:cs="Times New Roman"/>
                <w:sz w:val="20"/>
                <w:szCs w:val="20"/>
              </w:rPr>
              <w:t>Virtual event communities; physical co-located temporary communities like NYSC camps not examined</w:t>
            </w:r>
          </w:p>
        </w:tc>
      </w:tr>
      <w:tr w14:paraId="55944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526CAD">
            <w:pPr>
              <w:jc w:val="center"/>
            </w:pPr>
            <w:r>
              <w:rPr>
                <w:rFonts w:ascii="Times New Roman" w:hAnsi="Times New Roman" w:eastAsia="Times New Roman" w:cs="Times New Roman"/>
                <w:sz w:val="20"/>
                <w:szCs w:val="20"/>
              </w:rPr>
              <w:t>32</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F953AF">
            <w:pPr>
              <w:jc w:val="both"/>
            </w:pPr>
            <w:r>
              <w:rPr>
                <w:rFonts w:ascii="Times New Roman" w:hAnsi="Times New Roman" w:eastAsia="Times New Roman" w:cs="Times New Roman"/>
                <w:sz w:val="20"/>
                <w:szCs w:val="20"/>
              </w:rPr>
              <w:t>Hamari et al. (2016)</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DD44D79">
            <w:pPr>
              <w:jc w:val="both"/>
            </w:pPr>
            <w:r>
              <w:rPr>
                <w:rFonts w:ascii="Times New Roman" w:hAnsi="Times New Roman" w:eastAsia="Times New Roman" w:cs="Times New Roman"/>
                <w:sz w:val="20"/>
                <w:szCs w:val="20"/>
              </w:rPr>
              <w:t>The sharing economy: Why people participate in collaborative consumption [Focus: Motivations for sharing economy participation]</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BF8D23">
            <w:pPr>
              <w:jc w:val="both"/>
            </w:pPr>
            <w:r>
              <w:rPr>
                <w:rFonts w:ascii="Times New Roman" w:hAnsi="Times New Roman" w:eastAsia="Times New Roman" w:cs="Times New Roman"/>
                <w:sz w:val="20"/>
                <w:szCs w:val="20"/>
              </w:rPr>
              <w:t>Survey, SEM (n=168, Sharetribe users)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0AA444">
            <w:pPr>
              <w:jc w:val="both"/>
            </w:pPr>
            <w:r>
              <w:rPr>
                <w:rFonts w:ascii="Times New Roman" w:hAnsi="Times New Roman" w:eastAsia="Times New Roman" w:cs="Times New Roman"/>
                <w:sz w:val="20"/>
                <w:szCs w:val="20"/>
              </w:rPr>
              <w:t>Enjoyment and sustainability attitude predict P2P sharing, but are insufficient without strong perceived ease of use</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D2CC11F">
            <w:pPr>
              <w:jc w:val="both"/>
            </w:pPr>
            <w:r>
              <w:rPr>
                <w:rFonts w:ascii="Times New Roman" w:hAnsi="Times New Roman" w:eastAsia="Times New Roman" w:cs="Times New Roman"/>
                <w:sz w:val="20"/>
                <w:szCs w:val="20"/>
              </w:rPr>
              <w:t>Foundational study on open commercial platforms; restricted institutional platforms not considered</w:t>
            </w:r>
          </w:p>
        </w:tc>
      </w:tr>
      <w:tr w14:paraId="4AAB5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ACC008">
            <w:pPr>
              <w:jc w:val="center"/>
            </w:pPr>
            <w:r>
              <w:rPr>
                <w:rFonts w:ascii="Times New Roman" w:hAnsi="Times New Roman" w:eastAsia="Times New Roman" w:cs="Times New Roman"/>
                <w:sz w:val="20"/>
                <w:szCs w:val="20"/>
              </w:rPr>
              <w:t>33</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9AC199">
            <w:pPr>
              <w:jc w:val="both"/>
            </w:pPr>
            <w:r>
              <w:rPr>
                <w:rFonts w:ascii="Times New Roman" w:hAnsi="Times New Roman" w:eastAsia="Times New Roman" w:cs="Times New Roman"/>
                <w:sz w:val="20"/>
                <w:szCs w:val="20"/>
              </w:rPr>
              <w:t>Woo et al. (2024)</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DAA2DF">
            <w:pPr>
              <w:jc w:val="both"/>
            </w:pPr>
            <w:r>
              <w:rPr>
                <w:rFonts w:ascii="Times New Roman" w:hAnsi="Times New Roman" w:eastAsia="Times New Roman" w:cs="Times New Roman"/>
                <w:sz w:val="20"/>
                <w:szCs w:val="20"/>
              </w:rPr>
              <w:t>Sharing systems and community cohesion: Evidence from neighbourhood-based tool libraries [Focus: Proximity-based sharing and social cohesion]</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6419DC4">
            <w:pPr>
              <w:jc w:val="both"/>
            </w:pPr>
            <w:r>
              <w:rPr>
                <w:rFonts w:ascii="Times New Roman" w:hAnsi="Times New Roman" w:eastAsia="Times New Roman" w:cs="Times New Roman"/>
                <w:sz w:val="20"/>
                <w:szCs w:val="20"/>
              </w:rPr>
              <w:t>Survey and observational study, tool library users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9125F9">
            <w:pPr>
              <w:jc w:val="both"/>
            </w:pPr>
            <w:r>
              <w:rPr>
                <w:rFonts w:ascii="Times New Roman" w:hAnsi="Times New Roman" w:eastAsia="Times New Roman" w:cs="Times New Roman"/>
                <w:sz w:val="20"/>
                <w:szCs w:val="20"/>
              </w:rPr>
              <w:t>Physical proximity and shared community membership are stronger sharing enablers than digital features alone</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3184E6">
            <w:pPr>
              <w:jc w:val="both"/>
            </w:pPr>
            <w:r>
              <w:rPr>
                <w:rFonts w:ascii="Times New Roman" w:hAnsi="Times New Roman" w:eastAsia="Times New Roman" w:cs="Times New Roman"/>
                <w:sz w:val="20"/>
                <w:szCs w:val="20"/>
              </w:rPr>
              <w:t>Permanent neighbourhood communities; temporary high-density co-located groups not examined</w:t>
            </w:r>
          </w:p>
        </w:tc>
      </w:tr>
      <w:tr w14:paraId="5086D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8C2108">
            <w:pPr>
              <w:jc w:val="center"/>
            </w:pPr>
            <w:r>
              <w:rPr>
                <w:rFonts w:ascii="Times New Roman" w:hAnsi="Times New Roman" w:eastAsia="Times New Roman" w:cs="Times New Roman"/>
                <w:sz w:val="20"/>
                <w:szCs w:val="20"/>
              </w:rPr>
              <w:t>34</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414956">
            <w:pPr>
              <w:jc w:val="both"/>
            </w:pPr>
            <w:r>
              <w:rPr>
                <w:rFonts w:ascii="Times New Roman" w:hAnsi="Times New Roman" w:eastAsia="Times New Roman" w:cs="Times New Roman"/>
                <w:sz w:val="20"/>
                <w:szCs w:val="20"/>
              </w:rPr>
              <w:t>Albors et al. (2022)</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FE3746">
            <w:pPr>
              <w:jc w:val="both"/>
            </w:pPr>
            <w:r>
              <w:rPr>
                <w:rFonts w:ascii="Times New Roman" w:hAnsi="Times New Roman" w:eastAsia="Times New Roman" w:cs="Times New Roman"/>
                <w:sz w:val="20"/>
                <w:szCs w:val="20"/>
              </w:rPr>
              <w:t>Digital platforms and the circular economy: Enabling resource sharing within bounded communities [Focus: Resource sharing platforms in bounded digital communities]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8A05E3">
            <w:pPr>
              <w:jc w:val="both"/>
            </w:pPr>
            <w:r>
              <w:rPr>
                <w:rFonts w:ascii="Times New Roman" w:hAnsi="Times New Roman" w:eastAsia="Times New Roman" w:cs="Times New Roman"/>
                <w:sz w:val="20"/>
                <w:szCs w:val="20"/>
              </w:rPr>
              <w:t>Case study analysis, multiple platforms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6475DC">
            <w:pPr>
              <w:jc w:val="both"/>
            </w:pPr>
            <w:r>
              <w:rPr>
                <w:rFonts w:ascii="Times New Roman" w:hAnsi="Times New Roman" w:eastAsia="Times New Roman" w:cs="Times New Roman"/>
                <w:sz w:val="20"/>
                <w:szCs w:val="20"/>
              </w:rPr>
              <w:t>Bounded digital communities achieve higher exchange completion rates than open platforms due to shared accountability</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DF1A85">
            <w:pPr>
              <w:jc w:val="both"/>
            </w:pPr>
            <w:r>
              <w:rPr>
                <w:rFonts w:ascii="Times New Roman" w:hAnsi="Times New Roman" w:eastAsia="Times New Roman" w:cs="Times New Roman"/>
                <w:sz w:val="20"/>
                <w:szCs w:val="20"/>
              </w:rPr>
              <w:t>Long-term bounded communities; short-duration high-intensity camps not investigated</w:t>
            </w:r>
          </w:p>
        </w:tc>
      </w:tr>
      <w:tr w14:paraId="150BE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134635">
            <w:pPr>
              <w:jc w:val="center"/>
            </w:pPr>
            <w:r>
              <w:rPr>
                <w:rFonts w:ascii="Times New Roman" w:hAnsi="Times New Roman" w:eastAsia="Times New Roman" w:cs="Times New Roman"/>
                <w:sz w:val="20"/>
                <w:szCs w:val="20"/>
              </w:rPr>
              <w:t>35</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6BD2E4">
            <w:pPr>
              <w:jc w:val="both"/>
            </w:pPr>
            <w:r>
              <w:rPr>
                <w:rFonts w:ascii="Times New Roman" w:hAnsi="Times New Roman" w:eastAsia="Times New Roman" w:cs="Times New Roman"/>
                <w:sz w:val="20"/>
                <w:szCs w:val="20"/>
              </w:rPr>
              <w:t>Gefen et al. (2023)</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B2FF41">
            <w:pPr>
              <w:jc w:val="both"/>
            </w:pPr>
            <w:r>
              <w:rPr>
                <w:rFonts w:ascii="Times New Roman" w:hAnsi="Times New Roman" w:eastAsia="Times New Roman" w:cs="Times New Roman"/>
                <w:sz w:val="20"/>
                <w:szCs w:val="20"/>
              </w:rPr>
              <w:t>Trust, risk, and their role in online exchange [Focus: Trust formation in digital exchange systems]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AB76FD">
            <w:pPr>
              <w:jc w:val="both"/>
            </w:pPr>
            <w:r>
              <w:rPr>
                <w:rFonts w:ascii="Times New Roman" w:hAnsi="Times New Roman" w:eastAsia="Times New Roman" w:cs="Times New Roman"/>
                <w:sz w:val="20"/>
                <w:szCs w:val="20"/>
              </w:rPr>
              <w:t>Empirical and theoretical synthesis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C2CDEE">
            <w:pPr>
              <w:jc w:val="both"/>
            </w:pPr>
            <w:r>
              <w:rPr>
                <w:rFonts w:ascii="Times New Roman" w:hAnsi="Times New Roman" w:eastAsia="Times New Roman" w:cs="Times New Roman"/>
                <w:sz w:val="20"/>
                <w:szCs w:val="20"/>
              </w:rPr>
              <w:t>Structural assurance, perceived benevolence, and situational normality are the foundational dimensions of online exchange trust</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3911D5">
            <w:pPr>
              <w:jc w:val="both"/>
            </w:pPr>
            <w:r>
              <w:rPr>
                <w:rFonts w:ascii="Times New Roman" w:hAnsi="Times New Roman" w:eastAsia="Times New Roman" w:cs="Times New Roman"/>
                <w:sz w:val="20"/>
                <w:szCs w:val="20"/>
              </w:rPr>
              <w:t>Open online marketplaces; institutionally co-located exchange contexts not studied</w:t>
            </w:r>
          </w:p>
        </w:tc>
      </w:tr>
      <w:tr w14:paraId="00D82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360B47">
            <w:pPr>
              <w:jc w:val="center"/>
            </w:pPr>
            <w:r>
              <w:rPr>
                <w:rFonts w:ascii="Times New Roman" w:hAnsi="Times New Roman" w:eastAsia="Times New Roman" w:cs="Times New Roman"/>
                <w:sz w:val="20"/>
                <w:szCs w:val="20"/>
              </w:rPr>
              <w:t>36</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EC10CB">
            <w:pPr>
              <w:jc w:val="both"/>
            </w:pPr>
            <w:r>
              <w:rPr>
                <w:rFonts w:ascii="Times New Roman" w:hAnsi="Times New Roman" w:eastAsia="Times New Roman" w:cs="Times New Roman"/>
                <w:sz w:val="20"/>
                <w:szCs w:val="20"/>
              </w:rPr>
              <w:t>Guo et al. (2024)</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F8290E">
            <w:pPr>
              <w:jc w:val="both"/>
            </w:pPr>
            <w:r>
              <w:rPr>
                <w:rFonts w:ascii="Times New Roman" w:hAnsi="Times New Roman" w:eastAsia="Times New Roman" w:cs="Times New Roman"/>
                <w:sz w:val="20"/>
                <w:szCs w:val="20"/>
              </w:rPr>
              <w:t>A systematic review of collaborative mobile-assisted applications [Focus: Location-based mobile collaboration tools]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8D877F">
            <w:pPr>
              <w:jc w:val="both"/>
            </w:pPr>
            <w:r>
              <w:rPr>
                <w:rFonts w:ascii="Times New Roman" w:hAnsi="Times New Roman" w:eastAsia="Times New Roman" w:cs="Times New Roman"/>
                <w:sz w:val="20"/>
                <w:szCs w:val="20"/>
              </w:rPr>
              <w:t>Systematic literature review</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C00AF4">
            <w:pPr>
              <w:jc w:val="both"/>
            </w:pPr>
            <w:r>
              <w:rPr>
                <w:rFonts w:ascii="Times New Roman" w:hAnsi="Times New Roman" w:eastAsia="Times New Roman" w:cs="Times New Roman"/>
                <w:sz w:val="20"/>
                <w:szCs w:val="20"/>
              </w:rPr>
              <w:t>Mobile LBS apps improve coordination efficiency in constrained environments; feed-based filtering reduces information overload</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B5839A">
            <w:pPr>
              <w:jc w:val="both"/>
            </w:pPr>
            <w:r>
              <w:rPr>
                <w:rFonts w:ascii="Times New Roman" w:hAnsi="Times New Roman" w:eastAsia="Times New Roman" w:cs="Times New Roman"/>
                <w:sz w:val="20"/>
                <w:szCs w:val="20"/>
              </w:rPr>
              <w:t>General LBS and educational apps; closed uniform-exchange or non-commercial community scenarios not addressed</w:t>
            </w:r>
          </w:p>
        </w:tc>
      </w:tr>
      <w:tr w14:paraId="15E45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7925BF">
            <w:pPr>
              <w:jc w:val="center"/>
            </w:pPr>
            <w:r>
              <w:rPr>
                <w:rFonts w:ascii="Times New Roman" w:hAnsi="Times New Roman" w:eastAsia="Times New Roman" w:cs="Times New Roman"/>
                <w:sz w:val="20"/>
                <w:szCs w:val="20"/>
              </w:rPr>
              <w:t>37</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F45AA9">
            <w:pPr>
              <w:jc w:val="both"/>
            </w:pPr>
            <w:r>
              <w:rPr>
                <w:rFonts w:ascii="Times New Roman" w:hAnsi="Times New Roman" w:eastAsia="Times New Roman" w:cs="Times New Roman"/>
                <w:sz w:val="20"/>
                <w:szCs w:val="20"/>
              </w:rPr>
              <w:t>Zhang (2024)</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705AC09">
            <w:pPr>
              <w:jc w:val="both"/>
            </w:pPr>
            <w:r>
              <w:rPr>
                <w:rFonts w:ascii="Times New Roman" w:hAnsi="Times New Roman" w:eastAsia="Times New Roman" w:cs="Times New Roman"/>
                <w:sz w:val="20"/>
                <w:szCs w:val="20"/>
              </w:rPr>
              <w:t>A systematic review on WebRTC for applications and challenges beyond audio-video streaming [Focus: WebRTC and real-time messaging in mobile applications]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E3FA3E">
            <w:pPr>
              <w:jc w:val="both"/>
            </w:pPr>
            <w:r>
              <w:rPr>
                <w:rFonts w:ascii="Times New Roman" w:hAnsi="Times New Roman" w:eastAsia="Times New Roman" w:cs="Times New Roman"/>
                <w:sz w:val="20"/>
                <w:szCs w:val="20"/>
              </w:rPr>
              <w:t>Systematic literature review</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444235">
            <w:pPr>
              <w:jc w:val="both"/>
            </w:pPr>
            <w:r>
              <w:rPr>
                <w:rFonts w:ascii="Times New Roman" w:hAnsi="Times New Roman" w:eastAsia="Times New Roman" w:cs="Times New Roman"/>
                <w:sz w:val="20"/>
                <w:szCs w:val="20"/>
              </w:rPr>
              <w:t>Managed real-time communication services like Ably significantly reduce coordination delays in mobile P2P contexts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5F0CEA">
            <w:pPr>
              <w:jc w:val="both"/>
            </w:pPr>
            <w:r>
              <w:rPr>
                <w:rFonts w:ascii="Times New Roman" w:hAnsi="Times New Roman" w:eastAsia="Times New Roman" w:cs="Times New Roman"/>
                <w:sz w:val="20"/>
                <w:szCs w:val="20"/>
              </w:rPr>
              <w:t>Technical performance focus; contextual application to small community-based item-exchange systems not addressed</w:t>
            </w:r>
          </w:p>
        </w:tc>
      </w:tr>
      <w:tr w14:paraId="2A38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4B633F">
            <w:pPr>
              <w:jc w:val="center"/>
            </w:pPr>
            <w:r>
              <w:rPr>
                <w:rFonts w:ascii="Times New Roman" w:hAnsi="Times New Roman" w:eastAsia="Times New Roman" w:cs="Times New Roman"/>
                <w:sz w:val="20"/>
                <w:szCs w:val="20"/>
              </w:rPr>
              <w:t>38</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1CDC5F">
            <w:pPr>
              <w:jc w:val="both"/>
            </w:pPr>
            <w:r>
              <w:rPr>
                <w:rFonts w:ascii="Times New Roman" w:hAnsi="Times New Roman" w:eastAsia="Times New Roman" w:cs="Times New Roman"/>
                <w:sz w:val="20"/>
                <w:szCs w:val="20"/>
              </w:rPr>
              <w:t>Sabir (2025)</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AE7446">
            <w:pPr>
              <w:jc w:val="both"/>
            </w:pPr>
            <w:r>
              <w:rPr>
                <w:rFonts w:ascii="Times New Roman" w:hAnsi="Times New Roman" w:eastAsia="Times New Roman" w:cs="Times New Roman"/>
                <w:sz w:val="20"/>
                <w:szCs w:val="20"/>
              </w:rPr>
              <w:t>A review on secure authentication mechanisms for mobile security [Focus: Authentication mechanisms in mobile apps]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F67B1CF">
            <w:pPr>
              <w:jc w:val="both"/>
            </w:pPr>
            <w:r>
              <w:rPr>
                <w:rFonts w:ascii="Times New Roman" w:hAnsi="Times New Roman" w:eastAsia="Times New Roman" w:cs="Times New Roman"/>
                <w:sz w:val="20"/>
                <w:szCs w:val="20"/>
              </w:rPr>
              <w:t>Literature review</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5E8988">
            <w:pPr>
              <w:jc w:val="both"/>
            </w:pPr>
            <w:r>
              <w:rPr>
                <w:rFonts w:ascii="Times New Roman" w:hAnsi="Times New Roman" w:eastAsia="Times New Roman" w:cs="Times New Roman"/>
                <w:sz w:val="20"/>
                <w:szCs w:val="20"/>
              </w:rPr>
              <w:t>JWT-based token authentication is effective and well-suited to lightweight, stateless mobile systems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D509D4C">
            <w:pPr>
              <w:jc w:val="both"/>
            </w:pPr>
            <w:r>
              <w:rPr>
                <w:rFonts w:ascii="Times New Roman" w:hAnsi="Times New Roman" w:eastAsia="Times New Roman" w:cs="Times New Roman"/>
                <w:sz w:val="20"/>
                <w:szCs w:val="20"/>
              </w:rPr>
              <w:t>General mobile security review; restricted-membership community apps with identity-bound access not examined</w:t>
            </w:r>
          </w:p>
        </w:tc>
      </w:tr>
      <w:tr w14:paraId="6F457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F5DF66">
            <w:pPr>
              <w:jc w:val="center"/>
            </w:pPr>
            <w:r>
              <w:rPr>
                <w:rFonts w:ascii="Times New Roman" w:hAnsi="Times New Roman" w:eastAsia="Times New Roman" w:cs="Times New Roman"/>
                <w:sz w:val="20"/>
                <w:szCs w:val="20"/>
              </w:rPr>
              <w:t>39</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E5B0E93">
            <w:pPr>
              <w:jc w:val="both"/>
            </w:pPr>
            <w:r>
              <w:rPr>
                <w:rFonts w:ascii="Times New Roman" w:hAnsi="Times New Roman" w:eastAsia="Times New Roman" w:cs="Times New Roman"/>
                <w:sz w:val="20"/>
                <w:szCs w:val="20"/>
              </w:rPr>
              <w:t>Mpamugo &amp; Ansa (2024)</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08D86E">
            <w:pPr>
              <w:jc w:val="both"/>
            </w:pPr>
            <w:r>
              <w:rPr>
                <w:rFonts w:ascii="Times New Roman" w:hAnsi="Times New Roman" w:eastAsia="Times New Roman" w:cs="Times New Roman"/>
                <w:sz w:val="20"/>
                <w:szCs w:val="20"/>
              </w:rPr>
              <w:t>Enhancing network security in mobile applications with role-based access control [Focus: RBAC in mobile application security]</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89554F">
            <w:pPr>
              <w:jc w:val="both"/>
            </w:pPr>
            <w:r>
              <w:rPr>
                <w:rFonts w:ascii="Times New Roman" w:hAnsi="Times New Roman" w:eastAsia="Times New Roman" w:cs="Times New Roman"/>
                <w:sz w:val="20"/>
                <w:szCs w:val="20"/>
              </w:rPr>
              <w:t>Experimental design and implementation</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E7417A">
            <w:pPr>
              <w:jc w:val="both"/>
            </w:pPr>
            <w:r>
              <w:rPr>
                <w:rFonts w:ascii="Times New Roman" w:hAnsi="Times New Roman" w:eastAsia="Times New Roman" w:cs="Times New Roman"/>
                <w:sz w:val="20"/>
                <w:szCs w:val="20"/>
              </w:rPr>
              <w:t>Role-based access control effectively restricts unauthorised access while preserving usability</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326676">
            <w:pPr>
              <w:jc w:val="both"/>
            </w:pPr>
            <w:r>
              <w:rPr>
                <w:rFonts w:ascii="Times New Roman" w:hAnsi="Times New Roman" w:eastAsia="Times New Roman" w:cs="Times New Roman"/>
                <w:sz w:val="20"/>
                <w:szCs w:val="20"/>
              </w:rPr>
              <w:t>Enterprise-focused RBAC; access control in non-commercial, community-membership mobile apps not studied</w:t>
            </w:r>
          </w:p>
        </w:tc>
      </w:tr>
      <w:tr w14:paraId="4209C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78A508E">
            <w:pPr>
              <w:jc w:val="center"/>
            </w:pPr>
            <w:r>
              <w:rPr>
                <w:rFonts w:ascii="Times New Roman" w:hAnsi="Times New Roman" w:eastAsia="Times New Roman" w:cs="Times New Roman"/>
                <w:sz w:val="20"/>
                <w:szCs w:val="20"/>
              </w:rPr>
              <w:t>40</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0E9A53">
            <w:pPr>
              <w:jc w:val="both"/>
            </w:pPr>
            <w:r>
              <w:rPr>
                <w:rFonts w:ascii="Times New Roman" w:hAnsi="Times New Roman" w:eastAsia="Times New Roman" w:cs="Times New Roman"/>
                <w:sz w:val="20"/>
                <w:szCs w:val="20"/>
              </w:rPr>
              <w:t>Bashir et al. (2024)</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B35E09">
            <w:pPr>
              <w:jc w:val="both"/>
            </w:pPr>
            <w:r>
              <w:rPr>
                <w:rFonts w:ascii="Times New Roman" w:hAnsi="Times New Roman" w:eastAsia="Times New Roman" w:cs="Times New Roman"/>
                <w:sz w:val="20"/>
                <w:szCs w:val="20"/>
              </w:rPr>
              <w:t>A narrative review of identity, data and location privacy in edge computing and mobile crowdsourcing [Focus: Privacy in location-aware mobile systems]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4AEEB6">
            <w:pPr>
              <w:jc w:val="both"/>
            </w:pPr>
            <w:r>
              <w:rPr>
                <w:rFonts w:ascii="Times New Roman" w:hAnsi="Times New Roman" w:eastAsia="Times New Roman" w:cs="Times New Roman"/>
                <w:sz w:val="20"/>
                <w:szCs w:val="20"/>
              </w:rPr>
              <w:t>Narrative literature review</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D5E2C7">
            <w:pPr>
              <w:jc w:val="both"/>
            </w:pPr>
            <w:r>
              <w:rPr>
                <w:rFonts w:ascii="Times New Roman" w:hAnsi="Times New Roman" w:eastAsia="Times New Roman" w:cs="Times New Roman"/>
                <w:sz w:val="20"/>
                <w:szCs w:val="20"/>
              </w:rPr>
              <w:t>Privacy-by-design and minimal data collection are most effective for user trust in location-aware mobile apps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17CD7F">
            <w:pPr>
              <w:jc w:val="both"/>
            </w:pPr>
            <w:r>
              <w:rPr>
                <w:rFonts w:ascii="Times New Roman" w:hAnsi="Times New Roman" w:eastAsia="Times New Roman" w:cs="Times New Roman"/>
                <w:sz w:val="20"/>
                <w:szCs w:val="20"/>
              </w:rPr>
              <w:t>Commercial and enterprise crowdsourcing contexts; closed community identity-location pairing in P2P apps not studied</w:t>
            </w:r>
          </w:p>
        </w:tc>
      </w:tr>
      <w:tr w14:paraId="0AA6F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027A99">
            <w:pPr>
              <w:jc w:val="center"/>
            </w:pPr>
            <w:r>
              <w:rPr>
                <w:rFonts w:ascii="Times New Roman" w:hAnsi="Times New Roman" w:eastAsia="Times New Roman" w:cs="Times New Roman"/>
                <w:sz w:val="20"/>
                <w:szCs w:val="20"/>
              </w:rPr>
              <w:t>41</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3E5A65">
            <w:pPr>
              <w:jc w:val="both"/>
            </w:pPr>
            <w:r>
              <w:rPr>
                <w:rFonts w:ascii="Times New Roman" w:hAnsi="Times New Roman" w:eastAsia="Times New Roman" w:cs="Times New Roman"/>
                <w:sz w:val="20"/>
                <w:szCs w:val="20"/>
              </w:rPr>
              <w:t>Podapati et al. (2025)</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733357">
            <w:pPr>
              <w:jc w:val="both"/>
            </w:pPr>
            <w:r>
              <w:rPr>
                <w:rFonts w:ascii="Times New Roman" w:hAnsi="Times New Roman" w:eastAsia="Times New Roman" w:cs="Times New Roman"/>
                <w:sz w:val="20"/>
                <w:szCs w:val="20"/>
              </w:rPr>
              <w:t>SoK: A systematic review of context- and behaviour-aware adaptive authentication in mobile environments [Focus: Adaptive and context-aware authentication in mobile apps]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50CE76">
            <w:pPr>
              <w:jc w:val="both"/>
            </w:pPr>
            <w:r>
              <w:rPr>
                <w:rFonts w:ascii="Times New Roman" w:hAnsi="Times New Roman" w:eastAsia="Times New Roman" w:cs="Times New Roman"/>
                <w:sz w:val="20"/>
                <w:szCs w:val="20"/>
              </w:rPr>
              <w:t>Systematic review (SoK methodology)</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E39E6C">
            <w:pPr>
              <w:jc w:val="both"/>
            </w:pPr>
            <w:r>
              <w:rPr>
                <w:rFonts w:ascii="Times New Roman" w:hAnsi="Times New Roman" w:eastAsia="Times New Roman" w:cs="Times New Roman"/>
                <w:sz w:val="20"/>
                <w:szCs w:val="20"/>
              </w:rPr>
              <w:t>Adaptive authentication improves security without usability trade-offs; contextual signals reduce false positives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2C8A5CB">
            <w:pPr>
              <w:jc w:val="both"/>
            </w:pPr>
            <w:r>
              <w:rPr>
                <w:rFonts w:ascii="Times New Roman" w:hAnsi="Times New Roman" w:eastAsia="Times New Roman" w:cs="Times New Roman"/>
                <w:sz w:val="20"/>
                <w:szCs w:val="20"/>
              </w:rPr>
              <w:t>Financial and enterprise mobile apps; community-restricted membership apps not studied</w:t>
            </w:r>
          </w:p>
        </w:tc>
      </w:tr>
      <w:tr w14:paraId="0CE8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C7FA9C">
            <w:pPr>
              <w:jc w:val="center"/>
            </w:pPr>
            <w:r>
              <w:rPr>
                <w:rFonts w:ascii="Times New Roman" w:hAnsi="Times New Roman" w:eastAsia="Times New Roman" w:cs="Times New Roman"/>
                <w:sz w:val="20"/>
                <w:szCs w:val="20"/>
              </w:rPr>
              <w:t>42</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73A8B5">
            <w:pPr>
              <w:jc w:val="both"/>
            </w:pPr>
            <w:r>
              <w:rPr>
                <w:rFonts w:ascii="Times New Roman" w:hAnsi="Times New Roman" w:eastAsia="Times New Roman" w:cs="Times New Roman"/>
                <w:sz w:val="20"/>
                <w:szCs w:val="20"/>
              </w:rPr>
              <w:t>Salisu et al. (2025)</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FE4DA1">
            <w:pPr>
              <w:jc w:val="both"/>
            </w:pPr>
            <w:r>
              <w:rPr>
                <w:rFonts w:ascii="Times New Roman" w:hAnsi="Times New Roman" w:eastAsia="Times New Roman" w:cs="Times New Roman"/>
                <w:sz w:val="20"/>
                <w:szCs w:val="20"/>
              </w:rPr>
              <w:t>Social media applications through the lens of information system success model: Does perceived privacy matter? [Focus: Privacy perception and IS success in mobile social apps]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A6B732">
            <w:pPr>
              <w:jc w:val="both"/>
            </w:pPr>
            <w:r>
              <w:rPr>
                <w:rFonts w:ascii="Times New Roman" w:hAnsi="Times New Roman" w:eastAsia="Times New Roman" w:cs="Times New Roman"/>
                <w:sz w:val="20"/>
                <w:szCs w:val="20"/>
              </w:rPr>
              <w:t>Survey, SEM</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FEB89D">
            <w:pPr>
              <w:jc w:val="both"/>
            </w:pPr>
            <w:r>
              <w:rPr>
                <w:rFonts w:ascii="Times New Roman" w:hAnsi="Times New Roman" w:eastAsia="Times New Roman" w:cs="Times New Roman"/>
                <w:sz w:val="20"/>
                <w:szCs w:val="20"/>
              </w:rPr>
              <w:t>Perceived privacy moderates the effect of system quality on user satisfaction in social mobile apps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E7D3F6">
            <w:pPr>
              <w:jc w:val="both"/>
            </w:pPr>
            <w:r>
              <w:rPr>
                <w:rFonts w:ascii="Times New Roman" w:hAnsi="Times New Roman" w:eastAsia="Times New Roman" w:cs="Times New Roman"/>
                <w:sz w:val="20"/>
                <w:szCs w:val="20"/>
              </w:rPr>
              <w:t>Open social media platforms; closed community exchange apps with location-restricted access not studied</w:t>
            </w:r>
          </w:p>
        </w:tc>
      </w:tr>
      <w:tr w14:paraId="24FE3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901E93">
            <w:pPr>
              <w:jc w:val="center"/>
            </w:pPr>
            <w:r>
              <w:rPr>
                <w:rFonts w:ascii="Times New Roman" w:hAnsi="Times New Roman" w:eastAsia="Times New Roman" w:cs="Times New Roman"/>
                <w:sz w:val="20"/>
                <w:szCs w:val="20"/>
              </w:rPr>
              <w:t>43</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0A08BE">
            <w:pPr>
              <w:jc w:val="both"/>
            </w:pPr>
            <w:r>
              <w:rPr>
                <w:rFonts w:ascii="Times New Roman" w:hAnsi="Times New Roman" w:eastAsia="Times New Roman" w:cs="Times New Roman"/>
                <w:sz w:val="20"/>
                <w:szCs w:val="20"/>
              </w:rPr>
              <w:t>Sheikh et al. (2023)</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8A7826">
            <w:pPr>
              <w:jc w:val="both"/>
            </w:pPr>
            <w:r>
              <w:rPr>
                <w:rFonts w:ascii="Times New Roman" w:hAnsi="Times New Roman" w:eastAsia="Times New Roman" w:cs="Times New Roman"/>
                <w:sz w:val="20"/>
                <w:szCs w:val="20"/>
              </w:rPr>
              <w:t>Mobile cloud computing: A survey on current security trends and future directions [Focus: Security architecture for mobile cloud-backed applications]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BDBEB8">
            <w:pPr>
              <w:jc w:val="both"/>
            </w:pPr>
            <w:r>
              <w:rPr>
                <w:rFonts w:ascii="Times New Roman" w:hAnsi="Times New Roman" w:eastAsia="Times New Roman" w:cs="Times New Roman"/>
                <w:sz w:val="20"/>
                <w:szCs w:val="20"/>
              </w:rPr>
              <w:t>Literature survey</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612B1E">
            <w:pPr>
              <w:jc w:val="both"/>
            </w:pPr>
            <w:r>
              <w:rPr>
                <w:rFonts w:ascii="Times New Roman" w:hAnsi="Times New Roman" w:eastAsia="Times New Roman" w:cs="Times New Roman"/>
                <w:sz w:val="20"/>
                <w:szCs w:val="20"/>
              </w:rPr>
              <w:t>Cloud-backed mobile architectures improve scalability and performance; hybrid security models are most effective</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0AC275">
            <w:pPr>
              <w:jc w:val="both"/>
            </w:pPr>
            <w:r>
              <w:rPr>
                <w:rFonts w:ascii="Times New Roman" w:hAnsi="Times New Roman" w:eastAsia="Times New Roman" w:cs="Times New Roman"/>
                <w:sz w:val="20"/>
                <w:szCs w:val="20"/>
              </w:rPr>
              <w:t>Enterprise and large-scale deployments; small-scale, community-specific mobile backends not addressed</w:t>
            </w:r>
          </w:p>
        </w:tc>
      </w:tr>
      <w:tr w14:paraId="3C7E3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AA2991F">
            <w:pPr>
              <w:jc w:val="center"/>
            </w:pPr>
            <w:r>
              <w:rPr>
                <w:rFonts w:ascii="Times New Roman" w:hAnsi="Times New Roman" w:eastAsia="Times New Roman" w:cs="Times New Roman"/>
                <w:sz w:val="20"/>
                <w:szCs w:val="20"/>
              </w:rPr>
              <w:t>44</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09F832">
            <w:pPr>
              <w:jc w:val="both"/>
            </w:pPr>
            <w:r>
              <w:rPr>
                <w:rFonts w:ascii="Times New Roman" w:hAnsi="Times New Roman" w:eastAsia="Times New Roman" w:cs="Times New Roman"/>
                <w:sz w:val="20"/>
                <w:szCs w:val="20"/>
              </w:rPr>
              <w:t>Ramachandrappa (2024)</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6EDCE4">
            <w:pPr>
              <w:jc w:val="both"/>
            </w:pPr>
            <w:r>
              <w:rPr>
                <w:rFonts w:ascii="Times New Roman" w:hAnsi="Times New Roman" w:eastAsia="Times New Roman" w:cs="Times New Roman"/>
                <w:sz w:val="20"/>
                <w:szCs w:val="20"/>
              </w:rPr>
              <w:t>A comparative analysis of native vs React Native mobile app development [Focus: Performance and development efficiency of React Native]</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ED369AA">
            <w:pPr>
              <w:jc w:val="both"/>
            </w:pPr>
            <w:r>
              <w:rPr>
                <w:rFonts w:ascii="Times New Roman" w:hAnsi="Times New Roman" w:eastAsia="Times New Roman" w:cs="Times New Roman"/>
                <w:sz w:val="20"/>
                <w:szCs w:val="20"/>
              </w:rPr>
              <w:t>Comparative empirical analysis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B0344C">
            <w:pPr>
              <w:jc w:val="both"/>
            </w:pPr>
            <w:r>
              <w:rPr>
                <w:rFonts w:ascii="Times New Roman" w:hAnsi="Times New Roman" w:eastAsia="Times New Roman" w:cs="Times New Roman"/>
                <w:sz w:val="20"/>
                <w:szCs w:val="20"/>
              </w:rPr>
              <w:t>React Native achieves near-native performance and significantly reduces development time for cross-platform deployment</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54BE02">
            <w:pPr>
              <w:jc w:val="both"/>
            </w:pPr>
            <w:r>
              <w:rPr>
                <w:rFonts w:ascii="Times New Roman" w:hAnsi="Times New Roman" w:eastAsia="Times New Roman" w:cs="Times New Roman"/>
                <w:sz w:val="20"/>
                <w:szCs w:val="20"/>
              </w:rPr>
              <w:t>General cross-platform comparison; no evaluation in community-specific mobile exchange app contexts</w:t>
            </w:r>
          </w:p>
        </w:tc>
      </w:tr>
      <w:tr w14:paraId="4979F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5112ED">
            <w:pPr>
              <w:jc w:val="center"/>
            </w:pPr>
            <w:r>
              <w:rPr>
                <w:rFonts w:ascii="Times New Roman" w:hAnsi="Times New Roman" w:eastAsia="Times New Roman" w:cs="Times New Roman"/>
                <w:sz w:val="20"/>
                <w:szCs w:val="20"/>
              </w:rPr>
              <w:t>45</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AE33A6">
            <w:pPr>
              <w:jc w:val="both"/>
            </w:pPr>
            <w:r>
              <w:rPr>
                <w:rFonts w:ascii="Times New Roman" w:hAnsi="Times New Roman" w:eastAsia="Times New Roman" w:cs="Times New Roman"/>
                <w:sz w:val="20"/>
                <w:szCs w:val="20"/>
              </w:rPr>
              <w:t>Depop / ECDB (2024)</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60F013B">
            <w:pPr>
              <w:jc w:val="both"/>
            </w:pPr>
            <w:r>
              <w:rPr>
                <w:rFonts w:ascii="Times New Roman" w:hAnsi="Times New Roman" w:eastAsia="Times New Roman" w:cs="Times New Roman"/>
                <w:sz w:val="20"/>
                <w:szCs w:val="20"/>
              </w:rPr>
              <w:t>U.S. reCommerce fashion: Depop soars, The RealReal nears Poshmark, Vinted grows 17% [Focus: Growth of P2P secondhand fashion apps]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944358">
            <w:pPr>
              <w:jc w:val="both"/>
            </w:pPr>
            <w:r>
              <w:rPr>
                <w:rFonts w:ascii="Times New Roman" w:hAnsi="Times New Roman" w:eastAsia="Times New Roman" w:cs="Times New Roman"/>
                <w:sz w:val="20"/>
                <w:szCs w:val="20"/>
              </w:rPr>
              <w:t>Platform analytics and market data</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507DBE">
            <w:pPr>
              <w:jc w:val="both"/>
            </w:pPr>
            <w:r>
              <w:rPr>
                <w:rFonts w:ascii="Times New Roman" w:hAnsi="Times New Roman" w:eastAsia="Times New Roman" w:cs="Times New Roman"/>
                <w:sz w:val="20"/>
                <w:szCs w:val="20"/>
              </w:rPr>
              <w:t>Peer messaging and social features are the primary engagement drivers on secondhand fashion platforms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01C2FB">
            <w:pPr>
              <w:jc w:val="both"/>
            </w:pPr>
            <w:r>
              <w:rPr>
                <w:rFonts w:ascii="Times New Roman" w:hAnsi="Times New Roman" w:eastAsia="Times New Roman" w:cs="Times New Roman"/>
                <w:sz w:val="20"/>
                <w:szCs w:val="20"/>
              </w:rPr>
              <w:t>Open commercial resale market; non-monetary, institutional clothing exchange not a use case</w:t>
            </w:r>
          </w:p>
        </w:tc>
      </w:tr>
      <w:tr w14:paraId="148E2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1757D2">
            <w:pPr>
              <w:jc w:val="center"/>
            </w:pPr>
            <w:r>
              <w:rPr>
                <w:rFonts w:ascii="Times New Roman" w:hAnsi="Times New Roman" w:eastAsia="Times New Roman" w:cs="Times New Roman"/>
                <w:sz w:val="20"/>
                <w:szCs w:val="20"/>
              </w:rPr>
              <w:t>46</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57CE9A">
            <w:pPr>
              <w:jc w:val="both"/>
            </w:pPr>
            <w:r>
              <w:rPr>
                <w:rFonts w:ascii="Times New Roman" w:hAnsi="Times New Roman" w:eastAsia="Times New Roman" w:cs="Times New Roman"/>
                <w:sz w:val="20"/>
                <w:szCs w:val="20"/>
              </w:rPr>
              <w:t>DataIntelo (2023)</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4A2584">
            <w:pPr>
              <w:jc w:val="both"/>
            </w:pPr>
            <w:r>
              <w:rPr>
                <w:rFonts w:ascii="Times New Roman" w:hAnsi="Times New Roman" w:eastAsia="Times New Roman" w:cs="Times New Roman"/>
                <w:sz w:val="20"/>
                <w:szCs w:val="20"/>
              </w:rPr>
              <w:t>Cloth swapping app market report: Global forecast 2023 to 2032 [Focus: Global cloth swapping app market size and growth]</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B9723A">
            <w:pPr>
              <w:jc w:val="both"/>
            </w:pPr>
            <w:r>
              <w:rPr>
                <w:rFonts w:ascii="Times New Roman" w:hAnsi="Times New Roman" w:eastAsia="Times New Roman" w:cs="Times New Roman"/>
                <w:sz w:val="20"/>
                <w:szCs w:val="20"/>
              </w:rPr>
              <w:t>Market research and forecasting</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68FFB9">
            <w:pPr>
              <w:jc w:val="both"/>
            </w:pPr>
            <w:r>
              <w:rPr>
                <w:rFonts w:ascii="Times New Roman" w:hAnsi="Times New Roman" w:eastAsia="Times New Roman" w:cs="Times New Roman"/>
                <w:sz w:val="20"/>
                <w:szCs w:val="20"/>
              </w:rPr>
              <w:t>The global cloth swapping app market was valued at USD 3.5 billion in 2023, growing at 18.2% CAGR through 2032</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AE89138">
            <w:pPr>
              <w:jc w:val="both"/>
            </w:pPr>
            <w:r>
              <w:rPr>
                <w:rFonts w:ascii="Times New Roman" w:hAnsi="Times New Roman" w:eastAsia="Times New Roman" w:cs="Times New Roman"/>
                <w:sz w:val="20"/>
                <w:szCs w:val="20"/>
              </w:rPr>
              <w:t>Commercial market analysis; closed institutional clothing exchange systems such as NYSC camps not investigated</w:t>
            </w:r>
          </w:p>
        </w:tc>
      </w:tr>
      <w:tr w14:paraId="33196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D9CDD71">
            <w:pPr>
              <w:jc w:val="center"/>
            </w:pPr>
            <w:r>
              <w:rPr>
                <w:rFonts w:ascii="Times New Roman" w:hAnsi="Times New Roman" w:eastAsia="Times New Roman" w:cs="Times New Roman"/>
                <w:sz w:val="20"/>
                <w:szCs w:val="20"/>
              </w:rPr>
              <w:t>47</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6E80F78">
            <w:pPr>
              <w:jc w:val="both"/>
            </w:pPr>
            <w:r>
              <w:rPr>
                <w:rFonts w:ascii="Times New Roman" w:hAnsi="Times New Roman" w:eastAsia="Times New Roman" w:cs="Times New Roman"/>
                <w:sz w:val="20"/>
                <w:szCs w:val="20"/>
              </w:rPr>
              <w:t>Cross et al. (2023)</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73B5AD">
            <w:pPr>
              <w:jc w:val="both"/>
            </w:pPr>
            <w:r>
              <w:rPr>
                <w:rFonts w:ascii="Times New Roman" w:hAnsi="Times New Roman" w:eastAsia="Times New Roman" w:cs="Times New Roman"/>
                <w:sz w:val="20"/>
                <w:szCs w:val="20"/>
              </w:rPr>
              <w:t>Swapp – The clothing swapping app [Focus: Student-developed functional clothing swap platform]</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6C744A">
            <w:pPr>
              <w:jc w:val="both"/>
            </w:pPr>
            <w:r>
              <w:rPr>
                <w:rFonts w:ascii="Times New Roman" w:hAnsi="Times New Roman" w:eastAsia="Times New Roman" w:cs="Times New Roman"/>
                <w:sz w:val="20"/>
                <w:szCs w:val="20"/>
              </w:rPr>
              <w:t>Software design project (Penn State University)</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0D38E6">
            <w:pPr>
              <w:jc w:val="both"/>
            </w:pPr>
            <w:r>
              <w:rPr>
                <w:rFonts w:ascii="Times New Roman" w:hAnsi="Times New Roman" w:eastAsia="Times New Roman" w:cs="Times New Roman"/>
                <w:sz w:val="20"/>
                <w:szCs w:val="20"/>
              </w:rPr>
              <w:t>A P2P clothing swap app requires feed-based listing, filtering, and direct messaging as core minimum-viable features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048D11">
            <w:pPr>
              <w:jc w:val="both"/>
            </w:pPr>
            <w:r>
              <w:rPr>
                <w:rFonts w:ascii="Times New Roman" w:hAnsi="Times New Roman" w:eastAsia="Times New Roman" w:cs="Times New Roman"/>
                <w:sz w:val="20"/>
                <w:szCs w:val="20"/>
              </w:rPr>
              <w:t>General-purpose commercial swap app; uniform-specific closed-community exchange and identity-bound access not addressed</w:t>
            </w:r>
          </w:p>
        </w:tc>
      </w:tr>
      <w:tr w14:paraId="6E6BC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63AAB6">
            <w:pPr>
              <w:jc w:val="center"/>
            </w:pPr>
            <w:r>
              <w:rPr>
                <w:rFonts w:ascii="Times New Roman" w:hAnsi="Times New Roman" w:eastAsia="Times New Roman" w:cs="Times New Roman"/>
                <w:sz w:val="20"/>
                <w:szCs w:val="20"/>
              </w:rPr>
              <w:t>48</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1187C9">
            <w:pPr>
              <w:jc w:val="both"/>
            </w:pPr>
            <w:r>
              <w:rPr>
                <w:rFonts w:ascii="Times New Roman" w:hAnsi="Times New Roman" w:eastAsia="Times New Roman" w:cs="Times New Roman"/>
                <w:sz w:val="20"/>
                <w:szCs w:val="20"/>
              </w:rPr>
              <w:t>Dopplle / SETsquared Bath (2023)</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C4B23F">
            <w:pPr>
              <w:jc w:val="both"/>
            </w:pPr>
            <w:r>
              <w:rPr>
                <w:rFonts w:ascii="Times New Roman" w:hAnsi="Times New Roman" w:eastAsia="Times New Roman" w:cs="Times New Roman"/>
                <w:sz w:val="20"/>
                <w:szCs w:val="20"/>
              </w:rPr>
              <w:t>Dopplle – The sustainable clothes swapping app [Focus: Sustainable clothing swap app for university students]</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E4B2677">
            <w:pPr>
              <w:jc w:val="both"/>
            </w:pPr>
            <w:r>
              <w:rPr>
                <w:rFonts w:ascii="Times New Roman" w:hAnsi="Times New Roman" w:eastAsia="Times New Roman" w:cs="Times New Roman"/>
                <w:sz w:val="20"/>
                <w:szCs w:val="20"/>
              </w:rPr>
              <w:t>Innovation project, field deployment across UK universities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444E179">
            <w:pPr>
              <w:jc w:val="both"/>
            </w:pPr>
            <w:r>
              <w:rPr>
                <w:rFonts w:ascii="Times New Roman" w:hAnsi="Times New Roman" w:eastAsia="Times New Roman" w:cs="Times New Roman"/>
                <w:sz w:val="20"/>
                <w:szCs w:val="20"/>
              </w:rPr>
              <w:t>Proximity and shared community identity drive adoption of campus-targeted swap platforms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AC48F0">
            <w:pPr>
              <w:jc w:val="both"/>
            </w:pPr>
            <w:r>
              <w:rPr>
                <w:rFonts w:ascii="Times New Roman" w:hAnsi="Times New Roman" w:eastAsia="Times New Roman" w:cs="Times New Roman"/>
                <w:sz w:val="20"/>
                <w:szCs w:val="20"/>
              </w:rPr>
              <w:t>Community-targeted but commercially oriented; mandatory uniform redistribution in controlled environments not addressed</w:t>
            </w:r>
          </w:p>
        </w:tc>
      </w:tr>
      <w:tr w14:paraId="40537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C8C4DB">
            <w:pPr>
              <w:jc w:val="center"/>
            </w:pPr>
            <w:r>
              <w:rPr>
                <w:rFonts w:ascii="Times New Roman" w:hAnsi="Times New Roman" w:eastAsia="Times New Roman" w:cs="Times New Roman"/>
                <w:sz w:val="20"/>
                <w:szCs w:val="20"/>
              </w:rPr>
              <w:t>49</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E9C40DC">
            <w:pPr>
              <w:jc w:val="both"/>
            </w:pPr>
            <w:r>
              <w:rPr>
                <w:rFonts w:ascii="Times New Roman" w:hAnsi="Times New Roman" w:eastAsia="Times New Roman" w:cs="Times New Roman"/>
                <w:sz w:val="20"/>
                <w:szCs w:val="20"/>
              </w:rPr>
              <w:t>Naver / Poshmark (2022)</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271F62">
            <w:pPr>
              <w:jc w:val="both"/>
            </w:pPr>
            <w:r>
              <w:rPr>
                <w:rFonts w:ascii="Times New Roman" w:hAnsi="Times New Roman" w:eastAsia="Times New Roman" w:cs="Times New Roman"/>
                <w:sz w:val="20"/>
                <w:szCs w:val="20"/>
              </w:rPr>
              <w:t>Poshmark acquisition and P2P resale platform integration [Focus: P2P fashion resale platform growth]</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54CEAB">
            <w:pPr>
              <w:jc w:val="both"/>
            </w:pPr>
            <w:r>
              <w:rPr>
                <w:rFonts w:ascii="Times New Roman" w:hAnsi="Times New Roman" w:eastAsia="Times New Roman" w:cs="Times New Roman"/>
                <w:sz w:val="20"/>
                <w:szCs w:val="20"/>
              </w:rPr>
              <w:t>Industry analysis and platform documentation</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EDE099">
            <w:pPr>
              <w:jc w:val="both"/>
            </w:pPr>
            <w:r>
              <w:rPr>
                <w:rFonts w:ascii="Times New Roman" w:hAnsi="Times New Roman" w:eastAsia="Times New Roman" w:cs="Times New Roman"/>
                <w:sz w:val="20"/>
                <w:szCs w:val="20"/>
              </w:rPr>
              <w:t>In-app negotiation and social community features are key retention tools on P2P clothing platforms</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8F0300">
            <w:pPr>
              <w:jc w:val="both"/>
            </w:pPr>
            <w:r>
              <w:rPr>
                <w:rFonts w:ascii="Times New Roman" w:hAnsi="Times New Roman" w:eastAsia="Times New Roman" w:cs="Times New Roman"/>
                <w:sz w:val="20"/>
                <w:szCs w:val="20"/>
              </w:rPr>
              <w:t>Monetised resale platform; access-restricted, camp-specific non-monetary exchange not a considered use case</w:t>
            </w:r>
          </w:p>
        </w:tc>
      </w:tr>
      <w:tr w14:paraId="6D14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4460C3">
            <w:pPr>
              <w:jc w:val="center"/>
            </w:pPr>
            <w:r>
              <w:rPr>
                <w:rFonts w:ascii="Times New Roman" w:hAnsi="Times New Roman" w:eastAsia="Times New Roman" w:cs="Times New Roman"/>
                <w:sz w:val="20"/>
                <w:szCs w:val="20"/>
              </w:rPr>
              <w:t>50</w:t>
            </w:r>
          </w:p>
        </w:tc>
        <w:tc>
          <w:tcPr>
            <w:tcW w:w="188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AA7BDCA">
            <w:pPr>
              <w:jc w:val="both"/>
            </w:pPr>
            <w:r>
              <w:rPr>
                <w:rFonts w:ascii="Times New Roman" w:hAnsi="Times New Roman" w:eastAsia="Times New Roman" w:cs="Times New Roman"/>
                <w:sz w:val="20"/>
                <w:szCs w:val="20"/>
              </w:rPr>
              <w:t>World Business Outlook (2025)</w:t>
            </w:r>
          </w:p>
        </w:tc>
        <w:tc>
          <w:tcPr>
            <w:tcW w:w="1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E6DBF4">
            <w:pPr>
              <w:jc w:val="both"/>
            </w:pPr>
            <w:r>
              <w:rPr>
                <w:rFonts w:ascii="Times New Roman" w:hAnsi="Times New Roman" w:eastAsia="Times New Roman" w:cs="Times New Roman"/>
                <w:sz w:val="20"/>
                <w:szCs w:val="20"/>
              </w:rPr>
              <w:t>What makes Vinted's business model different from other resale platforms? [Focus: Vinted's commission-free P2P resale model]</w:t>
            </w:r>
          </w:p>
        </w:tc>
        <w:tc>
          <w:tcPr>
            <w:tcW w:w="173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A6373A">
            <w:pPr>
              <w:jc w:val="both"/>
            </w:pPr>
            <w:r>
              <w:rPr>
                <w:rFonts w:ascii="Times New Roman" w:hAnsi="Times New Roman" w:eastAsia="Times New Roman" w:cs="Times New Roman"/>
                <w:sz w:val="20"/>
                <w:szCs w:val="20"/>
              </w:rPr>
              <w:t>Industry analysis</w:t>
            </w:r>
          </w:p>
        </w:tc>
        <w:tc>
          <w:tcPr>
            <w:tcW w:w="244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0FBA3D">
            <w:pPr>
              <w:jc w:val="both"/>
            </w:pPr>
            <w:r>
              <w:rPr>
                <w:rFonts w:ascii="Times New Roman" w:hAnsi="Times New Roman" w:eastAsia="Times New Roman" w:cs="Times New Roman"/>
                <w:sz w:val="20"/>
                <w:szCs w:val="20"/>
              </w:rPr>
              <w:t>Removing financial friction from sellers by shifting fees to buyers drives listing volume and platform growth</w:t>
            </w:r>
          </w:p>
        </w:tc>
        <w:tc>
          <w:tcPr>
            <w:tcW w:w="24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F2DE47">
            <w:pPr>
              <w:jc w:val="both"/>
            </w:pPr>
            <w:r>
              <w:rPr>
                <w:rFonts w:ascii="Times New Roman" w:hAnsi="Times New Roman" w:eastAsia="Times New Roman" w:cs="Times New Roman"/>
                <w:sz w:val="20"/>
                <w:szCs w:val="20"/>
              </w:rPr>
              <w:t>Commercial open-market resale; non-monetary, identity-restricted institutional exchange platforms not considered</w:t>
            </w:r>
          </w:p>
        </w:tc>
      </w:tr>
    </w:tbl>
    <w:p w14:paraId="71897F32">
      <w:pPr>
        <w:numPr>
          <w:ilvl w:val="0"/>
          <w:numId w:val="0"/>
        </w:numPr>
        <w:spacing w:line="360" w:lineRule="auto"/>
        <w:ind w:leftChars="0"/>
        <w:jc w:val="both"/>
        <w:rPr>
          <w:rFonts w:hint="default" w:ascii="Times New Roman" w:hAnsi="Times New Roman"/>
          <w:b w:val="0"/>
          <w:bCs w:val="0"/>
          <w:sz w:val="24"/>
          <w:szCs w:val="24"/>
          <w:lang w:val="en-US"/>
        </w:rPr>
      </w:pPr>
    </w:p>
    <w:p w14:paraId="3BD2E4CF">
      <w:pPr>
        <w:numPr>
          <w:ilvl w:val="0"/>
          <w:numId w:val="0"/>
        </w:numPr>
        <w:spacing w:line="360" w:lineRule="auto"/>
        <w:ind w:leftChars="0"/>
        <w:jc w:val="both"/>
        <w:rPr>
          <w:rFonts w:hint="default" w:ascii="Times New Roman" w:hAnsi="Times New Roman"/>
          <w:b w:val="0"/>
          <w:bCs w:val="0"/>
          <w:i/>
          <w:iCs/>
          <w:sz w:val="24"/>
          <w:szCs w:val="24"/>
          <w:lang w:val="en-US"/>
        </w:rPr>
      </w:pPr>
      <w:r>
        <w:rPr>
          <w:rFonts w:hint="default" w:ascii="Times New Roman" w:hAnsi="Times New Roman"/>
          <w:b w:val="0"/>
          <w:bCs w:val="0"/>
          <w:sz w:val="24"/>
          <w:szCs w:val="24"/>
          <w:lang w:val="en-US"/>
        </w:rPr>
        <w:t>Table 2.1</w:t>
      </w:r>
      <w:r>
        <w:rPr>
          <w:rFonts w:hint="default" w:ascii="Times New Roman" w:hAnsi="Times New Roman"/>
          <w:b w:val="0"/>
          <w:bCs w:val="0"/>
          <w:i/>
          <w:iCs/>
          <w:sz w:val="24"/>
          <w:szCs w:val="24"/>
          <w:lang w:val="en-US"/>
        </w:rPr>
        <w:t xml:space="preserve"> Summary of Related Works</w:t>
      </w:r>
    </w:p>
    <w:p w14:paraId="1E1B3AEC">
      <w:pPr>
        <w:numPr>
          <w:ilvl w:val="0"/>
          <w:numId w:val="0"/>
        </w:numPr>
        <w:spacing w:line="360" w:lineRule="auto"/>
        <w:ind w:leftChars="0"/>
        <w:jc w:val="both"/>
        <w:rPr>
          <w:rFonts w:hint="default" w:ascii="Times New Roman" w:hAnsi="Times New Roman"/>
          <w:b w:val="0"/>
          <w:bCs w:val="0"/>
          <w:sz w:val="24"/>
          <w:szCs w:val="24"/>
          <w:lang w:val="en-US"/>
        </w:rPr>
      </w:pPr>
    </w:p>
    <w:p w14:paraId="231A9AB0">
      <w:pPr>
        <w:numPr>
          <w:ilvl w:val="0"/>
          <w:numId w:val="0"/>
        </w:numPr>
        <w:spacing w:line="360" w:lineRule="auto"/>
        <w:ind w:leftChars="0"/>
        <w:jc w:val="center"/>
        <w:rPr>
          <w:rFonts w:hint="default" w:ascii="Times New Roman" w:hAnsi="Times New Roman"/>
          <w:b/>
          <w:bCs/>
          <w:sz w:val="24"/>
          <w:szCs w:val="24"/>
          <w:lang w:val="en-US"/>
        </w:rPr>
      </w:pPr>
    </w:p>
    <w:p w14:paraId="3072BFA8">
      <w:pPr>
        <w:numPr>
          <w:ilvl w:val="0"/>
          <w:numId w:val="0"/>
        </w:numPr>
        <w:spacing w:line="360" w:lineRule="auto"/>
        <w:ind w:leftChars="0"/>
        <w:jc w:val="center"/>
        <w:rPr>
          <w:rFonts w:hint="default" w:ascii="Times New Roman" w:hAnsi="Times New Roman"/>
          <w:b/>
          <w:bCs/>
          <w:sz w:val="24"/>
          <w:szCs w:val="24"/>
          <w:lang w:val="en-US"/>
        </w:rPr>
      </w:pPr>
    </w:p>
    <w:p w14:paraId="61F883E7">
      <w:pPr>
        <w:numPr>
          <w:ilvl w:val="0"/>
          <w:numId w:val="0"/>
        </w:numPr>
        <w:spacing w:line="360" w:lineRule="auto"/>
        <w:ind w:leftChars="0"/>
        <w:jc w:val="center"/>
        <w:rPr>
          <w:rFonts w:hint="default" w:ascii="Times New Roman" w:hAnsi="Times New Roman"/>
          <w:b/>
          <w:bCs/>
          <w:sz w:val="24"/>
          <w:szCs w:val="24"/>
          <w:lang w:val="en-US"/>
        </w:rPr>
      </w:pPr>
    </w:p>
    <w:p w14:paraId="7F1E1688">
      <w:pPr>
        <w:numPr>
          <w:ilvl w:val="0"/>
          <w:numId w:val="0"/>
        </w:numPr>
        <w:spacing w:line="360" w:lineRule="auto"/>
        <w:ind w:leftChars="0"/>
        <w:jc w:val="center"/>
        <w:rPr>
          <w:rFonts w:hint="default" w:ascii="Times New Roman" w:hAnsi="Times New Roman"/>
          <w:b/>
          <w:bCs/>
          <w:sz w:val="24"/>
          <w:szCs w:val="24"/>
          <w:lang w:val="en-US"/>
        </w:rPr>
      </w:pPr>
    </w:p>
    <w:p w14:paraId="55B4F75B">
      <w:pPr>
        <w:numPr>
          <w:ilvl w:val="0"/>
          <w:numId w:val="0"/>
        </w:numPr>
        <w:spacing w:line="360" w:lineRule="auto"/>
        <w:ind w:leftChars="0"/>
        <w:jc w:val="left"/>
        <w:rPr>
          <w:rFonts w:hint="default" w:ascii="Times New Roman" w:hAnsi="Times New Roman"/>
          <w:b w:val="0"/>
          <w:bCs w:val="0"/>
          <w:sz w:val="24"/>
          <w:szCs w:val="24"/>
          <w:lang w:val="en-US"/>
        </w:rPr>
      </w:pPr>
    </w:p>
    <w:p w14:paraId="4D1E7934">
      <w:pPr>
        <w:numPr>
          <w:ilvl w:val="0"/>
          <w:numId w:val="0"/>
        </w:numPr>
        <w:spacing w:line="360" w:lineRule="auto"/>
        <w:ind w:leftChars="0"/>
        <w:jc w:val="center"/>
        <w:rPr>
          <w:rFonts w:hint="default" w:ascii="Times New Roman" w:hAnsi="Times New Roman"/>
          <w:b/>
          <w:bCs/>
          <w:sz w:val="24"/>
          <w:szCs w:val="24"/>
          <w:lang w:val="en-US"/>
        </w:rPr>
      </w:pPr>
    </w:p>
    <w:p w14:paraId="6C2C1666">
      <w:pPr>
        <w:numPr>
          <w:ilvl w:val="0"/>
          <w:numId w:val="0"/>
        </w:numPr>
        <w:spacing w:line="360" w:lineRule="auto"/>
        <w:ind w:leftChars="0"/>
        <w:jc w:val="center"/>
        <w:rPr>
          <w:rFonts w:hint="default" w:ascii="Times New Roman" w:hAnsi="Times New Roman"/>
          <w:b/>
          <w:bCs/>
          <w:sz w:val="24"/>
          <w:szCs w:val="24"/>
          <w:lang w:val="en-US"/>
        </w:rPr>
      </w:pPr>
    </w:p>
    <w:p w14:paraId="3573A615">
      <w:pPr>
        <w:numPr>
          <w:ilvl w:val="0"/>
          <w:numId w:val="0"/>
        </w:numPr>
        <w:spacing w:line="360" w:lineRule="auto"/>
        <w:ind w:leftChars="0"/>
        <w:jc w:val="center"/>
        <w:rPr>
          <w:rFonts w:hint="default" w:ascii="Times New Roman" w:hAnsi="Times New Roman"/>
          <w:b/>
          <w:bCs/>
          <w:sz w:val="24"/>
          <w:szCs w:val="24"/>
          <w:lang w:val="en-US"/>
        </w:rPr>
      </w:pPr>
    </w:p>
    <w:p w14:paraId="3649DC3A">
      <w:pPr>
        <w:numPr>
          <w:ilvl w:val="0"/>
          <w:numId w:val="0"/>
        </w:numPr>
        <w:spacing w:line="360" w:lineRule="auto"/>
        <w:ind w:leftChars="0"/>
        <w:jc w:val="center"/>
        <w:rPr>
          <w:rFonts w:hint="default" w:ascii="Times New Roman" w:hAnsi="Times New Roman"/>
          <w:b/>
          <w:bCs/>
          <w:sz w:val="24"/>
          <w:szCs w:val="24"/>
          <w:lang w:val="en-US"/>
        </w:rPr>
      </w:pPr>
    </w:p>
    <w:p w14:paraId="6FFB8E36">
      <w:pPr>
        <w:numPr>
          <w:ilvl w:val="0"/>
          <w:numId w:val="0"/>
        </w:numPr>
        <w:spacing w:line="360" w:lineRule="auto"/>
        <w:ind w:leftChars="0"/>
        <w:jc w:val="center"/>
        <w:rPr>
          <w:rFonts w:hint="default" w:ascii="Times New Roman" w:hAnsi="Times New Roman"/>
          <w:b/>
          <w:bCs/>
          <w:sz w:val="24"/>
          <w:szCs w:val="24"/>
          <w:lang w:val="en-US"/>
        </w:rPr>
      </w:pPr>
    </w:p>
    <w:p w14:paraId="7F690D01">
      <w:pPr>
        <w:numPr>
          <w:ilvl w:val="0"/>
          <w:numId w:val="0"/>
        </w:numPr>
        <w:spacing w:line="360" w:lineRule="auto"/>
        <w:ind w:leftChars="0"/>
        <w:jc w:val="center"/>
        <w:rPr>
          <w:rFonts w:hint="default" w:ascii="Times New Roman" w:hAnsi="Times New Roman"/>
          <w:b/>
          <w:bCs/>
          <w:sz w:val="24"/>
          <w:szCs w:val="24"/>
          <w:lang w:val="en-US"/>
        </w:rPr>
      </w:pPr>
    </w:p>
    <w:p w14:paraId="786F27EB">
      <w:pPr>
        <w:numPr>
          <w:ilvl w:val="0"/>
          <w:numId w:val="0"/>
        </w:numPr>
        <w:spacing w:line="360" w:lineRule="auto"/>
        <w:ind w:leftChars="0"/>
        <w:jc w:val="center"/>
        <w:rPr>
          <w:rFonts w:hint="default" w:ascii="Times New Roman" w:hAnsi="Times New Roman"/>
          <w:b/>
          <w:bCs/>
          <w:sz w:val="24"/>
          <w:szCs w:val="24"/>
          <w:lang w:val="en-US"/>
        </w:rPr>
      </w:pPr>
    </w:p>
    <w:p w14:paraId="5D78C687">
      <w:pPr>
        <w:numPr>
          <w:ilvl w:val="0"/>
          <w:numId w:val="0"/>
        </w:numPr>
        <w:spacing w:line="360" w:lineRule="auto"/>
        <w:ind w:leftChars="0"/>
        <w:jc w:val="center"/>
        <w:rPr>
          <w:rFonts w:hint="default" w:ascii="Times New Roman" w:hAnsi="Times New Roman"/>
          <w:b/>
          <w:bCs/>
          <w:sz w:val="24"/>
          <w:szCs w:val="24"/>
          <w:lang w:val="en-US"/>
        </w:rPr>
      </w:pPr>
    </w:p>
    <w:p w14:paraId="50E4594A">
      <w:pPr>
        <w:numPr>
          <w:ilvl w:val="0"/>
          <w:numId w:val="0"/>
        </w:numPr>
        <w:spacing w:line="360" w:lineRule="auto"/>
        <w:ind w:leftChars="0"/>
        <w:jc w:val="center"/>
        <w:rPr>
          <w:rFonts w:hint="default" w:ascii="Times New Roman" w:hAnsi="Times New Roman"/>
          <w:b/>
          <w:bCs/>
          <w:sz w:val="24"/>
          <w:szCs w:val="24"/>
          <w:lang w:val="en-US"/>
        </w:rPr>
      </w:pPr>
    </w:p>
    <w:p w14:paraId="31D05732">
      <w:pPr>
        <w:numPr>
          <w:ilvl w:val="0"/>
          <w:numId w:val="0"/>
        </w:numPr>
        <w:spacing w:line="360" w:lineRule="auto"/>
        <w:ind w:leftChars="0"/>
        <w:jc w:val="center"/>
        <w:rPr>
          <w:rFonts w:hint="default" w:ascii="Times New Roman" w:hAnsi="Times New Roman"/>
          <w:b/>
          <w:bCs/>
          <w:sz w:val="24"/>
          <w:szCs w:val="24"/>
          <w:lang w:val="en-US"/>
        </w:rPr>
      </w:pPr>
    </w:p>
    <w:p w14:paraId="2DC1DB09">
      <w:pPr>
        <w:numPr>
          <w:ilvl w:val="0"/>
          <w:numId w:val="0"/>
        </w:numPr>
        <w:spacing w:line="360" w:lineRule="auto"/>
        <w:ind w:leftChars="0"/>
        <w:jc w:val="both"/>
        <w:rPr>
          <w:rFonts w:hint="default" w:ascii="Times New Roman" w:hAnsi="Times New Roman"/>
          <w:b/>
          <w:bCs/>
          <w:sz w:val="24"/>
          <w:szCs w:val="24"/>
          <w:lang w:val="en-US"/>
        </w:rPr>
      </w:pPr>
    </w:p>
    <w:p w14:paraId="15AC931F">
      <w:pPr>
        <w:numPr>
          <w:ilvl w:val="0"/>
          <w:numId w:val="0"/>
        </w:numPr>
        <w:spacing w:line="360" w:lineRule="auto"/>
        <w:ind w:leftChars="0"/>
        <w:jc w:val="both"/>
        <w:rPr>
          <w:rFonts w:hint="default" w:ascii="Times New Roman" w:hAnsi="Times New Roman"/>
          <w:b/>
          <w:bCs/>
          <w:sz w:val="24"/>
          <w:szCs w:val="24"/>
          <w:lang w:val="en-US"/>
        </w:rPr>
      </w:pPr>
    </w:p>
    <w:p w14:paraId="79E20112">
      <w:pPr>
        <w:numPr>
          <w:ilvl w:val="0"/>
          <w:numId w:val="0"/>
        </w:numPr>
        <w:spacing w:line="360" w:lineRule="auto"/>
        <w:ind w:leftChars="0"/>
        <w:jc w:val="center"/>
        <w:rPr>
          <w:rFonts w:hint="default" w:ascii="Times New Roman" w:hAnsi="Times New Roman"/>
          <w:b/>
          <w:bCs/>
          <w:sz w:val="24"/>
          <w:szCs w:val="24"/>
          <w:lang w:val="en-US"/>
        </w:rPr>
      </w:pPr>
    </w:p>
    <w:p w14:paraId="2D6CCC9B">
      <w:pPr>
        <w:numPr>
          <w:ilvl w:val="0"/>
          <w:numId w:val="0"/>
        </w:numPr>
        <w:spacing w:line="360" w:lineRule="auto"/>
        <w:ind w:leftChars="0"/>
        <w:jc w:val="center"/>
        <w:rPr>
          <w:rFonts w:hint="default" w:ascii="Times New Roman" w:hAnsi="Times New Roman"/>
          <w:b/>
          <w:bCs/>
          <w:sz w:val="24"/>
          <w:szCs w:val="24"/>
          <w:lang w:val="en-US"/>
        </w:rPr>
      </w:pPr>
    </w:p>
    <w:p w14:paraId="223D2DA5">
      <w:pPr>
        <w:numPr>
          <w:ilvl w:val="0"/>
          <w:numId w:val="0"/>
        </w:numPr>
        <w:spacing w:line="360" w:lineRule="auto"/>
        <w:ind w:leftChars="0"/>
        <w:jc w:val="center"/>
        <w:rPr>
          <w:rFonts w:hint="default" w:ascii="Times New Roman" w:hAnsi="Times New Roman"/>
          <w:b/>
          <w:bCs/>
          <w:sz w:val="24"/>
          <w:szCs w:val="24"/>
          <w:lang w:val="en-US"/>
        </w:rPr>
      </w:pPr>
    </w:p>
    <w:p w14:paraId="3B556C99">
      <w:pPr>
        <w:numPr>
          <w:ilvl w:val="0"/>
          <w:numId w:val="0"/>
        </w:numPr>
        <w:spacing w:line="360" w:lineRule="auto"/>
        <w:ind w:leftChars="0"/>
        <w:jc w:val="center"/>
        <w:rPr>
          <w:rFonts w:hint="default" w:ascii="Times New Roman" w:hAnsi="Times New Roman"/>
          <w:b/>
          <w:bCs/>
          <w:sz w:val="24"/>
          <w:szCs w:val="24"/>
          <w:lang w:val="en-US"/>
        </w:rPr>
      </w:pPr>
    </w:p>
    <w:p w14:paraId="7E9DA265">
      <w:pPr>
        <w:numPr>
          <w:ilvl w:val="0"/>
          <w:numId w:val="0"/>
        </w:numPr>
        <w:spacing w:line="360" w:lineRule="auto"/>
        <w:ind w:leftChars="0"/>
        <w:jc w:val="center"/>
        <w:rPr>
          <w:rFonts w:hint="default" w:ascii="Times New Roman" w:hAnsi="Times New Roman"/>
          <w:b/>
          <w:bCs/>
          <w:sz w:val="24"/>
          <w:szCs w:val="24"/>
          <w:lang w:val="en-US"/>
        </w:rPr>
      </w:pPr>
      <w:r>
        <w:rPr>
          <w:rFonts w:hint="default" w:ascii="Times New Roman" w:hAnsi="Times New Roman"/>
          <w:b/>
          <w:bCs/>
          <w:sz w:val="24"/>
          <w:szCs w:val="24"/>
          <w:lang w:val="en-US"/>
        </w:rPr>
        <w:t>REFERENCES</w:t>
      </w:r>
    </w:p>
    <w:p w14:paraId="22F46248">
      <w:pPr>
        <w:numPr>
          <w:ilvl w:val="0"/>
          <w:numId w:val="0"/>
        </w:numPr>
        <w:spacing w:line="360" w:lineRule="auto"/>
        <w:ind w:leftChars="0"/>
        <w:jc w:val="both"/>
        <w:rPr>
          <w:rFonts w:hint="default" w:ascii="Times New Roman" w:hAnsi="Times New Roman"/>
          <w:sz w:val="24"/>
          <w:szCs w:val="24"/>
          <w:lang w:val="en-US"/>
        </w:rPr>
      </w:pPr>
    </w:p>
    <w:p w14:paraId="6E8A3002">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Albinsson, P. A., Perera, B. Y., &amp; Lawson, S. J. (2024). Understanding collaborative </w:t>
      </w:r>
      <w:r>
        <w:rPr>
          <w:rFonts w:hint="default" w:ascii="Times New Roman" w:hAnsi="Times New Roman"/>
          <w:sz w:val="24"/>
          <w:szCs w:val="24"/>
          <w:lang w:val="en-US"/>
        </w:rPr>
        <w:tab/>
      </w:r>
      <w:r>
        <w:rPr>
          <w:rFonts w:hint="default" w:ascii="Times New Roman" w:hAnsi="Times New Roman"/>
          <w:sz w:val="24"/>
          <w:szCs w:val="24"/>
          <w:lang w:val="en-US"/>
        </w:rPr>
        <w:t>consumption. Edward Elgar.</w:t>
      </w:r>
    </w:p>
    <w:p w14:paraId="4BCCE258">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r>
        <w:rPr>
          <w:rFonts w:hint="default" w:ascii="Times New Roman" w:hAnsi="Times New Roman"/>
          <w:sz w:val="24"/>
          <w:szCs w:val="24"/>
          <w:lang w:val="en-US"/>
        </w:rPr>
        <w:tab/>
      </w:r>
      <w:r>
        <w:rPr>
          <w:rFonts w:hint="default" w:ascii="Times New Roman" w:hAnsi="Times New Roman"/>
          <w:sz w:val="24"/>
          <w:szCs w:val="24"/>
          <w:lang w:val="en-US"/>
        </w:rPr>
        <w:t>https://doi.org/10.4337/9781035307531</w:t>
      </w:r>
    </w:p>
    <w:p w14:paraId="0068E5E9">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Albors, J., Ramos, J. C., &amp; Hervas, J. L. (2022). Digital platforms and the circular </w:t>
      </w:r>
      <w:r>
        <w:rPr>
          <w:rFonts w:hint="default" w:ascii="Times New Roman" w:hAnsi="Times New Roman"/>
          <w:sz w:val="24"/>
          <w:szCs w:val="24"/>
          <w:lang w:val="en-US"/>
        </w:rPr>
        <w:tab/>
      </w:r>
      <w:r>
        <w:rPr>
          <w:rFonts w:hint="default" w:ascii="Times New Roman" w:hAnsi="Times New Roman"/>
          <w:sz w:val="24"/>
          <w:szCs w:val="24"/>
          <w:lang w:val="en-US"/>
        </w:rPr>
        <w:t xml:space="preserve">economy: Enabling resource sharing within bounded communities. Journal of </w:t>
      </w:r>
      <w:r>
        <w:rPr>
          <w:rFonts w:hint="default" w:ascii="Times New Roman" w:hAnsi="Times New Roman"/>
          <w:sz w:val="24"/>
          <w:szCs w:val="24"/>
          <w:lang w:val="en-US"/>
        </w:rPr>
        <w:tab/>
      </w:r>
      <w:r>
        <w:rPr>
          <w:rFonts w:hint="default" w:ascii="Times New Roman" w:hAnsi="Times New Roman"/>
          <w:sz w:val="24"/>
          <w:szCs w:val="24"/>
          <w:lang w:val="en-US"/>
        </w:rPr>
        <w:t>Cleaner Production, 342, 130956.</w:t>
      </w:r>
    </w:p>
    <w:p w14:paraId="5C2DD14A">
      <w:pPr>
        <w:numPr>
          <w:ilvl w:val="0"/>
          <w:numId w:val="0"/>
        </w:numPr>
        <w:spacing w:line="360" w:lineRule="auto"/>
        <w:ind w:leftChars="0" w:firstLine="720" w:firstLineChars="0"/>
        <w:jc w:val="both"/>
        <w:rPr>
          <w:rFonts w:hint="default" w:ascii="Times New Roman" w:hAnsi="Times New Roman"/>
          <w:sz w:val="24"/>
          <w:szCs w:val="24"/>
          <w:lang w:val="en-US"/>
        </w:rPr>
      </w:pPr>
      <w:r>
        <w:rPr>
          <w:rFonts w:hint="default" w:ascii="Times New Roman" w:hAnsi="Times New Roman"/>
          <w:sz w:val="24"/>
          <w:szCs w:val="24"/>
          <w:lang w:val="en-US"/>
        </w:rPr>
        <w:t>https://doi.org/10.1016/j.jclepro.2022.130956</w:t>
      </w:r>
    </w:p>
    <w:p w14:paraId="65C507E2">
      <w:pPr>
        <w:numPr>
          <w:ilvl w:val="0"/>
          <w:numId w:val="0"/>
        </w:numPr>
        <w:spacing w:line="360" w:lineRule="auto"/>
        <w:ind w:leftChars="0"/>
        <w:jc w:val="both"/>
        <w:rPr>
          <w:rFonts w:hint="default" w:ascii="Times New Roman" w:hAnsi="Times New Roman"/>
          <w:sz w:val="24"/>
          <w:szCs w:val="24"/>
          <w:lang w:val="en-US"/>
        </w:rPr>
      </w:pPr>
    </w:p>
    <w:p w14:paraId="5C662961">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Allied Market Research. (2023). Sharing economy market share, size, trends, growth </w:t>
      </w:r>
      <w:r>
        <w:rPr>
          <w:rFonts w:hint="default" w:ascii="Times New Roman" w:hAnsi="Times New Roman"/>
          <w:sz w:val="24"/>
          <w:szCs w:val="24"/>
          <w:lang w:val="en-US"/>
        </w:rPr>
        <w:tab/>
      </w:r>
      <w:r>
        <w:rPr>
          <w:rFonts w:hint="default" w:ascii="Times New Roman" w:hAnsi="Times New Roman"/>
          <w:sz w:val="24"/>
          <w:szCs w:val="24"/>
          <w:lang w:val="en-US"/>
        </w:rPr>
        <w:t xml:space="preserve">2032. </w:t>
      </w:r>
    </w:p>
    <w:p w14:paraId="7C63E5B8">
      <w:pPr>
        <w:numPr>
          <w:ilvl w:val="0"/>
          <w:numId w:val="0"/>
        </w:numPr>
        <w:spacing w:line="360" w:lineRule="auto"/>
        <w:ind w:leftChars="0" w:firstLine="720" w:firstLineChars="0"/>
        <w:jc w:val="both"/>
        <w:rPr>
          <w:rFonts w:hint="default" w:ascii="Times New Roman" w:hAnsi="Times New Roman"/>
          <w:sz w:val="24"/>
          <w:szCs w:val="24"/>
          <w:lang w:val="en-US"/>
        </w:rPr>
      </w:pPr>
      <w:r>
        <w:rPr>
          <w:rFonts w:hint="default" w:ascii="Times New Roman" w:hAnsi="Times New Roman"/>
          <w:sz w:val="24"/>
          <w:szCs w:val="24"/>
          <w:lang w:val="en-US"/>
        </w:rPr>
        <w:t>https://www.alliedmarketresearch.com/sharing-economy-market-A230672</w:t>
      </w:r>
    </w:p>
    <w:p w14:paraId="39F29459">
      <w:pPr>
        <w:numPr>
          <w:ilvl w:val="0"/>
          <w:numId w:val="0"/>
        </w:numPr>
        <w:spacing w:line="360" w:lineRule="auto"/>
        <w:ind w:leftChars="0"/>
        <w:jc w:val="both"/>
        <w:rPr>
          <w:rFonts w:hint="default" w:ascii="Times New Roman" w:hAnsi="Times New Roman"/>
          <w:sz w:val="24"/>
          <w:szCs w:val="24"/>
          <w:lang w:val="en-US"/>
        </w:rPr>
      </w:pPr>
    </w:p>
    <w:p w14:paraId="032E495E">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Armouch, M., Bousfiha, B., &amp; El Honsali, F. (2024). Is it fashionable to swap clothes? </w:t>
      </w:r>
      <w:r>
        <w:rPr>
          <w:rFonts w:hint="default" w:ascii="Times New Roman" w:hAnsi="Times New Roman"/>
          <w:sz w:val="24"/>
          <w:szCs w:val="24"/>
          <w:lang w:val="en-US"/>
        </w:rPr>
        <w:tab/>
      </w:r>
      <w:r>
        <w:rPr>
          <w:rFonts w:hint="default" w:ascii="Times New Roman" w:hAnsi="Times New Roman"/>
          <w:sz w:val="24"/>
          <w:szCs w:val="24"/>
          <w:lang w:val="en-US"/>
        </w:rPr>
        <w:t>The moderating role of culture.</w:t>
      </w:r>
      <w:r>
        <w:rPr>
          <w:rFonts w:hint="default" w:ascii="Times New Roman" w:hAnsi="Times New Roman"/>
          <w:i/>
          <w:iCs/>
          <w:sz w:val="24"/>
          <w:szCs w:val="24"/>
          <w:lang w:val="en-US"/>
        </w:rPr>
        <w:t xml:space="preserve"> Journal of Consumer Behaviour,</w:t>
      </w:r>
      <w:r>
        <w:rPr>
          <w:rFonts w:hint="default" w:ascii="Times New Roman" w:hAnsi="Times New Roman"/>
          <w:sz w:val="24"/>
          <w:szCs w:val="24"/>
          <w:lang w:val="en-US"/>
        </w:rPr>
        <w:t xml:space="preserve"> 23(4), 1821–</w:t>
      </w:r>
      <w:r>
        <w:rPr>
          <w:rFonts w:hint="default" w:ascii="Times New Roman" w:hAnsi="Times New Roman"/>
          <w:sz w:val="24"/>
          <w:szCs w:val="24"/>
          <w:lang w:val="en-US"/>
        </w:rPr>
        <w:tab/>
      </w:r>
      <w:r>
        <w:rPr>
          <w:rFonts w:hint="default" w:ascii="Times New Roman" w:hAnsi="Times New Roman"/>
          <w:sz w:val="24"/>
          <w:szCs w:val="24"/>
          <w:lang w:val="en-US"/>
        </w:rPr>
        <w:t>1836.</w:t>
      </w:r>
    </w:p>
    <w:p w14:paraId="3D6697D6">
      <w:pPr>
        <w:numPr>
          <w:ilvl w:val="0"/>
          <w:numId w:val="0"/>
        </w:numPr>
        <w:spacing w:line="360" w:lineRule="auto"/>
        <w:ind w:leftChars="0"/>
        <w:jc w:val="both"/>
        <w:rPr>
          <w:rFonts w:hint="default" w:ascii="Times New Roman" w:hAnsi="Times New Roman"/>
          <w:sz w:val="24"/>
          <w:szCs w:val="24"/>
          <w:lang w:val="en-US"/>
        </w:rPr>
      </w:pPr>
    </w:p>
    <w:p w14:paraId="7F5EFDC4">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Ashaduzzaman, M., Jebarajakirthy, C., Weaven, S. K., Maseeh, H. I., Das, M., &amp; </w:t>
      </w:r>
      <w:r>
        <w:rPr>
          <w:rFonts w:hint="default" w:ascii="Times New Roman" w:hAnsi="Times New Roman"/>
          <w:sz w:val="24"/>
          <w:szCs w:val="24"/>
          <w:lang w:val="en-US"/>
        </w:rPr>
        <w:tab/>
      </w:r>
      <w:r>
        <w:rPr>
          <w:rFonts w:hint="default" w:ascii="Times New Roman" w:hAnsi="Times New Roman"/>
          <w:sz w:val="24"/>
          <w:szCs w:val="24"/>
          <w:lang w:val="en-US"/>
        </w:rPr>
        <w:t xml:space="preserve">Pentecost, R. (2022). Predicting collaborative consumption behaviour: A </w:t>
      </w:r>
      <w:r>
        <w:rPr>
          <w:rFonts w:hint="default" w:ascii="Times New Roman" w:hAnsi="Times New Roman"/>
          <w:sz w:val="24"/>
          <w:szCs w:val="24"/>
          <w:lang w:val="en-US"/>
        </w:rPr>
        <w:tab/>
      </w:r>
      <w:r>
        <w:rPr>
          <w:rFonts w:hint="default" w:ascii="Times New Roman" w:hAnsi="Times New Roman"/>
          <w:sz w:val="24"/>
          <w:szCs w:val="24"/>
          <w:lang w:val="en-US"/>
        </w:rPr>
        <w:t xml:space="preserve">meta-analytic path analysis on the theory of planned behaviour. </w:t>
      </w:r>
      <w:r>
        <w:rPr>
          <w:rFonts w:hint="default" w:ascii="Times New Roman" w:hAnsi="Times New Roman"/>
          <w:i/>
          <w:iCs/>
          <w:sz w:val="24"/>
          <w:szCs w:val="24"/>
          <w:lang w:val="en-US"/>
        </w:rPr>
        <w:t xml:space="preserve">European </w:t>
      </w:r>
      <w:r>
        <w:rPr>
          <w:rFonts w:hint="default" w:ascii="Times New Roman" w:hAnsi="Times New Roman"/>
          <w:i/>
          <w:iCs/>
          <w:sz w:val="24"/>
          <w:szCs w:val="24"/>
          <w:lang w:val="en-US"/>
        </w:rPr>
        <w:tab/>
      </w:r>
      <w:r>
        <w:rPr>
          <w:rFonts w:hint="default" w:ascii="Times New Roman" w:hAnsi="Times New Roman"/>
          <w:i/>
          <w:iCs/>
          <w:sz w:val="24"/>
          <w:szCs w:val="24"/>
          <w:lang w:val="en-US"/>
        </w:rPr>
        <w:t>Journal of Marketing</w:t>
      </w:r>
      <w:r>
        <w:rPr>
          <w:rFonts w:hint="default" w:ascii="Times New Roman" w:hAnsi="Times New Roman"/>
          <w:sz w:val="24"/>
          <w:szCs w:val="24"/>
          <w:lang w:val="en-US"/>
        </w:rPr>
        <w:t>, 56(4), 968–1013.</w:t>
      </w:r>
    </w:p>
    <w:p w14:paraId="1282D93F">
      <w:pPr>
        <w:numPr>
          <w:ilvl w:val="0"/>
          <w:numId w:val="0"/>
        </w:numPr>
        <w:spacing w:line="360" w:lineRule="auto"/>
        <w:ind w:leftChars="0" w:firstLine="720" w:firstLineChars="0"/>
        <w:jc w:val="both"/>
        <w:rPr>
          <w:rFonts w:hint="default" w:ascii="Times New Roman" w:hAnsi="Times New Roman"/>
          <w:sz w:val="24"/>
          <w:szCs w:val="24"/>
          <w:lang w:val="en-US"/>
        </w:rPr>
      </w:pPr>
      <w:r>
        <w:rPr>
          <w:rFonts w:hint="default" w:ascii="Times New Roman" w:hAnsi="Times New Roman"/>
          <w:sz w:val="24"/>
          <w:szCs w:val="24"/>
          <w:lang w:val="en-US"/>
        </w:rPr>
        <w:t>https://doi.org/10.1108/EJM-01-2021-0063</w:t>
      </w:r>
    </w:p>
    <w:p w14:paraId="770238BF">
      <w:pPr>
        <w:numPr>
          <w:ilvl w:val="0"/>
          <w:numId w:val="0"/>
        </w:numPr>
        <w:spacing w:line="360" w:lineRule="auto"/>
        <w:ind w:leftChars="0"/>
        <w:jc w:val="both"/>
        <w:rPr>
          <w:rFonts w:hint="default" w:ascii="Times New Roman" w:hAnsi="Times New Roman"/>
          <w:sz w:val="24"/>
          <w:szCs w:val="24"/>
          <w:lang w:val="en-US"/>
        </w:rPr>
      </w:pPr>
    </w:p>
    <w:p w14:paraId="38A52FB3">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Bahia, K., Castells, P., Cruz, G., Masaki, T., Pedrós, X., Pfutze, T., Rodríguez-</w:t>
      </w:r>
      <w:r>
        <w:rPr>
          <w:rFonts w:hint="default" w:ascii="Times New Roman" w:hAnsi="Times New Roman"/>
          <w:sz w:val="24"/>
          <w:szCs w:val="24"/>
          <w:lang w:val="en-US"/>
        </w:rPr>
        <w:tab/>
      </w:r>
      <w:r>
        <w:rPr>
          <w:rFonts w:hint="default" w:ascii="Times New Roman" w:hAnsi="Times New Roman"/>
          <w:sz w:val="24"/>
          <w:szCs w:val="24"/>
          <w:lang w:val="en-US"/>
        </w:rPr>
        <w:t xml:space="preserve">Castelán, C., &amp; Winkler, H. (2024). The welfare effects of mobile broadband </w:t>
      </w:r>
      <w:r>
        <w:rPr>
          <w:rFonts w:hint="default" w:ascii="Times New Roman" w:hAnsi="Times New Roman"/>
          <w:sz w:val="24"/>
          <w:szCs w:val="24"/>
          <w:lang w:val="en-US"/>
        </w:rPr>
        <w:tab/>
      </w:r>
      <w:r>
        <w:rPr>
          <w:rFonts w:hint="default" w:ascii="Times New Roman" w:hAnsi="Times New Roman"/>
          <w:sz w:val="24"/>
          <w:szCs w:val="24"/>
          <w:lang w:val="en-US"/>
        </w:rPr>
        <w:t xml:space="preserve">internet: Evidence from Nigeria. </w:t>
      </w:r>
      <w:r>
        <w:rPr>
          <w:rFonts w:hint="default" w:ascii="Times New Roman" w:hAnsi="Times New Roman"/>
          <w:i/>
          <w:iCs/>
          <w:sz w:val="24"/>
          <w:szCs w:val="24"/>
          <w:lang w:val="en-US"/>
        </w:rPr>
        <w:t>Journal of Development Economics,</w:t>
      </w:r>
      <w:r>
        <w:rPr>
          <w:rFonts w:hint="default" w:ascii="Times New Roman" w:hAnsi="Times New Roman"/>
          <w:sz w:val="24"/>
          <w:szCs w:val="24"/>
          <w:lang w:val="en-US"/>
        </w:rPr>
        <w:t xml:space="preserve"> 170, </w:t>
      </w:r>
      <w:r>
        <w:rPr>
          <w:rFonts w:hint="default" w:ascii="Times New Roman" w:hAnsi="Times New Roman"/>
          <w:sz w:val="24"/>
          <w:szCs w:val="24"/>
          <w:lang w:val="en-US"/>
        </w:rPr>
        <w:tab/>
      </w:r>
      <w:r>
        <w:rPr>
          <w:rFonts w:hint="default" w:ascii="Times New Roman" w:hAnsi="Times New Roman"/>
          <w:sz w:val="24"/>
          <w:szCs w:val="24"/>
          <w:lang w:val="en-US"/>
        </w:rPr>
        <w:t>103314.</w:t>
      </w:r>
    </w:p>
    <w:p w14:paraId="7144725B">
      <w:pPr>
        <w:numPr>
          <w:ilvl w:val="0"/>
          <w:numId w:val="0"/>
        </w:numPr>
        <w:spacing w:line="360" w:lineRule="auto"/>
        <w:ind w:leftChars="0" w:firstLine="720" w:firstLineChars="0"/>
        <w:jc w:val="both"/>
        <w:rPr>
          <w:rFonts w:hint="default" w:ascii="Times New Roman" w:hAnsi="Times New Roman"/>
          <w:sz w:val="24"/>
          <w:szCs w:val="24"/>
          <w:lang w:val="en-US"/>
        </w:rPr>
      </w:pPr>
      <w:r>
        <w:rPr>
          <w:rFonts w:hint="default" w:ascii="Times New Roman" w:hAnsi="Times New Roman"/>
          <w:sz w:val="24"/>
          <w:szCs w:val="24"/>
          <w:lang w:val="en-US"/>
        </w:rPr>
        <w:t xml:space="preserve"> https://doi.org/10.1016/j.jdeveco.2024.103314</w:t>
      </w:r>
    </w:p>
    <w:p w14:paraId="46DFF00E">
      <w:pPr>
        <w:numPr>
          <w:ilvl w:val="0"/>
          <w:numId w:val="0"/>
        </w:numPr>
        <w:spacing w:line="360" w:lineRule="auto"/>
        <w:ind w:leftChars="0"/>
        <w:jc w:val="both"/>
        <w:rPr>
          <w:rFonts w:hint="default" w:ascii="Times New Roman" w:hAnsi="Times New Roman"/>
          <w:sz w:val="24"/>
          <w:szCs w:val="24"/>
          <w:lang w:val="en-US"/>
        </w:rPr>
      </w:pPr>
    </w:p>
    <w:p w14:paraId="78AD86CE">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Bączyk, M., Tunn, V., Worrell, E., &amp; Corona, B. (2024). Consumer behavior in </w:t>
      </w:r>
      <w:r>
        <w:rPr>
          <w:rFonts w:hint="default" w:ascii="Times New Roman" w:hAnsi="Times New Roman"/>
          <w:sz w:val="24"/>
          <w:szCs w:val="24"/>
          <w:lang w:val="en-US"/>
        </w:rPr>
        <w:tab/>
      </w:r>
      <w:r>
        <w:rPr>
          <w:rFonts w:hint="default" w:ascii="Times New Roman" w:hAnsi="Times New Roman"/>
          <w:sz w:val="24"/>
          <w:szCs w:val="24"/>
          <w:lang w:val="en-US"/>
        </w:rPr>
        <w:t xml:space="preserve">circular business models: Unveiling conservation and rebound effects. </w:t>
      </w:r>
      <w:r>
        <w:rPr>
          <w:rFonts w:hint="default" w:ascii="Times New Roman" w:hAnsi="Times New Roman"/>
          <w:sz w:val="24"/>
          <w:szCs w:val="24"/>
          <w:lang w:val="en-US"/>
        </w:rPr>
        <w:tab/>
      </w:r>
      <w:r>
        <w:rPr>
          <w:rFonts w:hint="default" w:ascii="Times New Roman" w:hAnsi="Times New Roman"/>
          <w:sz w:val="24"/>
          <w:szCs w:val="24"/>
          <w:lang w:val="en-US"/>
        </w:rPr>
        <w:t>Sustainable Production and Consumption, 52, 283–298.</w:t>
      </w:r>
    </w:p>
    <w:p w14:paraId="080D8182">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 </w:t>
      </w:r>
      <w:r>
        <w:rPr>
          <w:rFonts w:hint="default" w:ascii="Times New Roman" w:hAnsi="Times New Roman"/>
          <w:sz w:val="24"/>
          <w:szCs w:val="24"/>
          <w:lang w:val="en-US"/>
        </w:rPr>
        <w:tab/>
      </w:r>
      <w:r>
        <w:rPr>
          <w:rFonts w:hint="default" w:ascii="Times New Roman" w:hAnsi="Times New Roman"/>
          <w:sz w:val="24"/>
          <w:szCs w:val="24"/>
          <w:lang w:val="en-US"/>
        </w:rPr>
        <w:t>https://doi.org/10.1016/j.spc.2024.10.022</w:t>
      </w:r>
    </w:p>
    <w:p w14:paraId="5DB0B969">
      <w:pPr>
        <w:numPr>
          <w:ilvl w:val="0"/>
          <w:numId w:val="0"/>
        </w:numPr>
        <w:spacing w:line="360" w:lineRule="auto"/>
        <w:ind w:leftChars="0"/>
        <w:jc w:val="both"/>
        <w:rPr>
          <w:rFonts w:hint="default" w:ascii="Times New Roman" w:hAnsi="Times New Roman"/>
          <w:sz w:val="24"/>
          <w:szCs w:val="24"/>
          <w:lang w:val="en-US"/>
        </w:rPr>
      </w:pPr>
    </w:p>
    <w:p w14:paraId="416D53FE">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Bakhtiari, M., Vasylieva, T., &amp; Shkolnyk, I. (2024). Sharing economy development: </w:t>
      </w:r>
      <w:r>
        <w:rPr>
          <w:rFonts w:hint="default" w:ascii="Times New Roman" w:hAnsi="Times New Roman"/>
          <w:sz w:val="24"/>
          <w:szCs w:val="24"/>
          <w:lang w:val="en-US"/>
        </w:rPr>
        <w:tab/>
      </w:r>
      <w:r>
        <w:rPr>
          <w:rFonts w:hint="default" w:ascii="Times New Roman" w:hAnsi="Times New Roman"/>
          <w:sz w:val="24"/>
          <w:szCs w:val="24"/>
          <w:lang w:val="en-US"/>
        </w:rPr>
        <w:t xml:space="preserve">Empirical analysis of technological factors. Sustainability, 16(4), 1702. </w:t>
      </w:r>
      <w:r>
        <w:rPr>
          <w:rFonts w:hint="default" w:ascii="Times New Roman" w:hAnsi="Times New Roman"/>
          <w:sz w:val="24"/>
          <w:szCs w:val="24"/>
          <w:lang w:val="en-US"/>
        </w:rPr>
        <w:tab/>
      </w:r>
      <w:r>
        <w:rPr>
          <w:rFonts w:hint="default" w:ascii="Times New Roman" w:hAnsi="Times New Roman"/>
          <w:sz w:val="24"/>
          <w:szCs w:val="24"/>
          <w:lang w:val="en-US"/>
        </w:rPr>
        <w:t>https://doi.org/10.3390/su16041702</w:t>
      </w:r>
    </w:p>
    <w:p w14:paraId="7BFA6A5A">
      <w:pPr>
        <w:numPr>
          <w:ilvl w:val="0"/>
          <w:numId w:val="0"/>
        </w:numPr>
        <w:spacing w:line="360" w:lineRule="auto"/>
        <w:ind w:leftChars="0"/>
        <w:jc w:val="both"/>
        <w:rPr>
          <w:rFonts w:hint="default" w:ascii="Times New Roman" w:hAnsi="Times New Roman"/>
          <w:sz w:val="24"/>
          <w:szCs w:val="24"/>
          <w:lang w:val="en-US"/>
        </w:rPr>
      </w:pPr>
    </w:p>
    <w:p w14:paraId="278641F6">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Balagué, V., Soriano-Pons, E., &amp; Ramón-Molina, S. (2023). Investigating factors </w:t>
      </w:r>
      <w:r>
        <w:rPr>
          <w:rFonts w:hint="default" w:ascii="Times New Roman" w:hAnsi="Times New Roman"/>
          <w:sz w:val="24"/>
          <w:szCs w:val="24"/>
          <w:lang w:val="en-US"/>
        </w:rPr>
        <w:tab/>
      </w:r>
      <w:r>
        <w:rPr>
          <w:rFonts w:hint="default" w:ascii="Times New Roman" w:hAnsi="Times New Roman"/>
          <w:sz w:val="24"/>
          <w:szCs w:val="24"/>
          <w:lang w:val="en-US"/>
        </w:rPr>
        <w:t xml:space="preserve">influencing trust in C2C e-commerce environments: A systematic literature </w:t>
      </w:r>
      <w:r>
        <w:rPr>
          <w:rFonts w:hint="default" w:ascii="Times New Roman" w:hAnsi="Times New Roman"/>
          <w:sz w:val="24"/>
          <w:szCs w:val="24"/>
          <w:lang w:val="en-US"/>
        </w:rPr>
        <w:tab/>
      </w:r>
      <w:r>
        <w:rPr>
          <w:rFonts w:hint="default" w:ascii="Times New Roman" w:hAnsi="Times New Roman"/>
          <w:sz w:val="24"/>
          <w:szCs w:val="24"/>
          <w:lang w:val="en-US"/>
        </w:rPr>
        <w:t>review. Electronic Commerce Research and Applications, 62, 101317.</w:t>
      </w:r>
    </w:p>
    <w:p w14:paraId="356A9898">
      <w:pPr>
        <w:numPr>
          <w:ilvl w:val="0"/>
          <w:numId w:val="0"/>
        </w:numPr>
        <w:spacing w:line="360" w:lineRule="auto"/>
        <w:ind w:leftChars="0"/>
        <w:jc w:val="both"/>
        <w:rPr>
          <w:rFonts w:hint="default" w:ascii="Times New Roman" w:hAnsi="Times New Roman"/>
          <w:sz w:val="24"/>
          <w:szCs w:val="24"/>
          <w:lang w:val="en-US"/>
        </w:rPr>
      </w:pPr>
    </w:p>
    <w:p w14:paraId="6655615D">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Bashir, S. R., Raza, S., &amp; Mišić, V. (2024). A narrative review of identity, data and </w:t>
      </w:r>
      <w:r>
        <w:rPr>
          <w:rFonts w:hint="default" w:ascii="Times New Roman" w:hAnsi="Times New Roman"/>
          <w:sz w:val="24"/>
          <w:szCs w:val="24"/>
          <w:lang w:val="en-US"/>
        </w:rPr>
        <w:tab/>
      </w:r>
      <w:r>
        <w:rPr>
          <w:rFonts w:hint="default" w:ascii="Times New Roman" w:hAnsi="Times New Roman"/>
          <w:sz w:val="24"/>
          <w:szCs w:val="24"/>
          <w:lang w:val="en-US"/>
        </w:rPr>
        <w:t xml:space="preserve">location privacy techniques in edge computing and mobile crowd sourcing. </w:t>
      </w:r>
      <w:r>
        <w:rPr>
          <w:rFonts w:hint="default" w:ascii="Times New Roman" w:hAnsi="Times New Roman"/>
          <w:sz w:val="24"/>
          <w:szCs w:val="24"/>
          <w:lang w:val="en-US"/>
        </w:rPr>
        <w:tab/>
      </w:r>
      <w:r>
        <w:rPr>
          <w:rFonts w:hint="default" w:ascii="Times New Roman" w:hAnsi="Times New Roman"/>
          <w:sz w:val="24"/>
          <w:szCs w:val="24"/>
          <w:lang w:val="en-US"/>
        </w:rPr>
        <w:t>Electronics, 13(21), 4228.</w:t>
      </w:r>
    </w:p>
    <w:p w14:paraId="01CECF1C">
      <w:pPr>
        <w:numPr>
          <w:ilvl w:val="0"/>
          <w:numId w:val="0"/>
        </w:numPr>
        <w:spacing w:line="360" w:lineRule="auto"/>
        <w:ind w:leftChars="0" w:firstLine="720" w:firstLineChars="0"/>
        <w:jc w:val="both"/>
        <w:rPr>
          <w:rFonts w:hint="default" w:ascii="Times New Roman" w:hAnsi="Times New Roman"/>
          <w:sz w:val="24"/>
          <w:szCs w:val="24"/>
          <w:lang w:val="en-US"/>
        </w:rPr>
      </w:pPr>
      <w:r>
        <w:rPr>
          <w:rFonts w:hint="default" w:ascii="Times New Roman" w:hAnsi="Times New Roman"/>
          <w:sz w:val="24"/>
          <w:szCs w:val="24"/>
          <w:lang w:val="en-US"/>
        </w:rPr>
        <w:t>https://doi.org/10.3390/electronics13214228</w:t>
      </w:r>
    </w:p>
    <w:p w14:paraId="3A86371B">
      <w:pPr>
        <w:numPr>
          <w:ilvl w:val="0"/>
          <w:numId w:val="0"/>
        </w:numPr>
        <w:spacing w:line="360" w:lineRule="auto"/>
        <w:ind w:leftChars="0"/>
        <w:jc w:val="both"/>
        <w:rPr>
          <w:rFonts w:hint="default" w:ascii="Times New Roman" w:hAnsi="Times New Roman"/>
          <w:sz w:val="24"/>
          <w:szCs w:val="24"/>
          <w:lang w:val="en-US"/>
        </w:rPr>
      </w:pPr>
    </w:p>
    <w:p w14:paraId="36667196">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Belanche, D., Guinalíu, M., &amp; Albás, P. (2022). Customer adoption of P2P mobile </w:t>
      </w:r>
      <w:r>
        <w:rPr>
          <w:rFonts w:hint="default" w:ascii="Times New Roman" w:hAnsi="Times New Roman"/>
          <w:sz w:val="24"/>
          <w:szCs w:val="24"/>
          <w:lang w:val="en-US"/>
        </w:rPr>
        <w:tab/>
      </w:r>
      <w:r>
        <w:rPr>
          <w:rFonts w:hint="default" w:ascii="Times New Roman" w:hAnsi="Times New Roman"/>
          <w:sz w:val="24"/>
          <w:szCs w:val="24"/>
          <w:lang w:val="en-US"/>
        </w:rPr>
        <w:t xml:space="preserve">payment systems: The role of perceived risk. Telematics and Informatics, 72, </w:t>
      </w:r>
      <w:r>
        <w:rPr>
          <w:rFonts w:hint="default" w:ascii="Times New Roman" w:hAnsi="Times New Roman"/>
          <w:sz w:val="24"/>
          <w:szCs w:val="24"/>
          <w:lang w:val="en-US"/>
        </w:rPr>
        <w:tab/>
      </w:r>
      <w:r>
        <w:rPr>
          <w:rFonts w:hint="default" w:ascii="Times New Roman" w:hAnsi="Times New Roman"/>
          <w:sz w:val="24"/>
          <w:szCs w:val="24"/>
          <w:lang w:val="en-US"/>
        </w:rPr>
        <w:t>101851.</w:t>
      </w:r>
    </w:p>
    <w:p w14:paraId="5E67CDC2">
      <w:pPr>
        <w:numPr>
          <w:ilvl w:val="0"/>
          <w:numId w:val="0"/>
        </w:numPr>
        <w:spacing w:line="360" w:lineRule="auto"/>
        <w:ind w:leftChars="0"/>
        <w:jc w:val="both"/>
        <w:rPr>
          <w:rFonts w:hint="default" w:ascii="Times New Roman" w:hAnsi="Times New Roman"/>
          <w:sz w:val="24"/>
          <w:szCs w:val="24"/>
          <w:lang w:val="en-US"/>
        </w:rPr>
      </w:pPr>
    </w:p>
    <w:p w14:paraId="6E479094">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Blanco-Oliver, A., Lara-Rubio, J., &amp; Irimia-Diéguez, A. (2024). Examining user </w:t>
      </w:r>
      <w:r>
        <w:rPr>
          <w:rFonts w:hint="default" w:ascii="Times New Roman" w:hAnsi="Times New Roman"/>
          <w:sz w:val="24"/>
          <w:szCs w:val="24"/>
          <w:lang w:val="en-US"/>
        </w:rPr>
        <w:tab/>
      </w:r>
      <w:r>
        <w:rPr>
          <w:rFonts w:hint="default" w:ascii="Times New Roman" w:hAnsi="Times New Roman"/>
          <w:sz w:val="24"/>
          <w:szCs w:val="24"/>
          <w:lang w:val="en-US"/>
        </w:rPr>
        <w:t xml:space="preserve">behavior with machine learning for effective mobile peer-to-peer payment </w:t>
      </w:r>
      <w:r>
        <w:rPr>
          <w:rFonts w:hint="default" w:ascii="Times New Roman" w:hAnsi="Times New Roman"/>
          <w:sz w:val="24"/>
          <w:szCs w:val="24"/>
          <w:lang w:val="en-US"/>
        </w:rPr>
        <w:tab/>
      </w:r>
      <w:r>
        <w:rPr>
          <w:rFonts w:hint="default" w:ascii="Times New Roman" w:hAnsi="Times New Roman"/>
          <w:sz w:val="24"/>
          <w:szCs w:val="24"/>
          <w:lang w:val="en-US"/>
        </w:rPr>
        <w:t>adoption. Financial Innovation, 10, 94.</w:t>
      </w:r>
    </w:p>
    <w:p w14:paraId="30E2E590">
      <w:pPr>
        <w:numPr>
          <w:ilvl w:val="0"/>
          <w:numId w:val="0"/>
        </w:numPr>
        <w:spacing w:line="360" w:lineRule="auto"/>
        <w:ind w:leftChars="0"/>
        <w:jc w:val="both"/>
        <w:rPr>
          <w:rFonts w:hint="default" w:ascii="Times New Roman" w:hAnsi="Times New Roman"/>
          <w:sz w:val="24"/>
          <w:szCs w:val="24"/>
          <w:lang w:val="en-US"/>
        </w:rPr>
      </w:pPr>
    </w:p>
    <w:p w14:paraId="3153F3BC">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Burton, M., &amp; Eike, R. (2023). The sustainability-conscious consumer: An </w:t>
      </w:r>
      <w:r>
        <w:rPr>
          <w:rFonts w:hint="default" w:ascii="Times New Roman" w:hAnsi="Times New Roman"/>
          <w:sz w:val="24"/>
          <w:szCs w:val="24"/>
          <w:lang w:val="en-US"/>
        </w:rPr>
        <w:tab/>
      </w:r>
      <w:r>
        <w:rPr>
          <w:rFonts w:hint="default" w:ascii="Times New Roman" w:hAnsi="Times New Roman"/>
          <w:sz w:val="24"/>
          <w:szCs w:val="24"/>
          <w:lang w:val="en-US"/>
        </w:rPr>
        <w:t xml:space="preserve">exploration of the motivations, values, beliefs, and norms guiding garment life </w:t>
      </w:r>
      <w:r>
        <w:rPr>
          <w:rFonts w:hint="default" w:ascii="Times New Roman" w:hAnsi="Times New Roman"/>
          <w:sz w:val="24"/>
          <w:szCs w:val="24"/>
          <w:lang w:val="en-US"/>
        </w:rPr>
        <w:tab/>
      </w:r>
      <w:r>
        <w:rPr>
          <w:rFonts w:hint="default" w:ascii="Times New Roman" w:hAnsi="Times New Roman"/>
          <w:sz w:val="24"/>
          <w:szCs w:val="24"/>
          <w:lang w:val="en-US"/>
        </w:rPr>
        <w:t>extension practices. Sustainability, 15(15), 12033.</w:t>
      </w:r>
    </w:p>
    <w:p w14:paraId="1139813A">
      <w:pPr>
        <w:numPr>
          <w:ilvl w:val="0"/>
          <w:numId w:val="0"/>
        </w:numPr>
        <w:spacing w:line="360" w:lineRule="auto"/>
        <w:ind w:leftChars="0"/>
        <w:jc w:val="both"/>
        <w:rPr>
          <w:rFonts w:hint="default" w:ascii="Times New Roman" w:hAnsi="Times New Roman"/>
          <w:sz w:val="24"/>
          <w:szCs w:val="24"/>
          <w:lang w:val="en-US"/>
        </w:rPr>
      </w:pPr>
    </w:p>
    <w:p w14:paraId="7372B243">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Busalim, A., Fox, G., &amp; Lynn, T. (2022). Consumer behavior in sustainable fashion: </w:t>
      </w:r>
      <w:r>
        <w:rPr>
          <w:rFonts w:hint="default" w:ascii="Times New Roman" w:hAnsi="Times New Roman"/>
          <w:sz w:val="24"/>
          <w:szCs w:val="24"/>
          <w:lang w:val="en-US"/>
        </w:rPr>
        <w:tab/>
      </w:r>
      <w:r>
        <w:rPr>
          <w:rFonts w:hint="default" w:ascii="Times New Roman" w:hAnsi="Times New Roman"/>
          <w:sz w:val="24"/>
          <w:szCs w:val="24"/>
          <w:lang w:val="en-US"/>
        </w:rPr>
        <w:t xml:space="preserve">A systemic literature review and future research agenda. International Journal </w:t>
      </w:r>
      <w:r>
        <w:rPr>
          <w:rFonts w:hint="default" w:ascii="Times New Roman" w:hAnsi="Times New Roman"/>
          <w:sz w:val="24"/>
          <w:szCs w:val="24"/>
          <w:lang w:val="en-US"/>
        </w:rPr>
        <w:tab/>
      </w:r>
      <w:r>
        <w:rPr>
          <w:rFonts w:hint="default" w:ascii="Times New Roman" w:hAnsi="Times New Roman"/>
          <w:sz w:val="24"/>
          <w:szCs w:val="24"/>
          <w:lang w:val="en-US"/>
        </w:rPr>
        <w:t>of Consumer Studies, 46(5), 1804–1828.</w:t>
      </w:r>
    </w:p>
    <w:p w14:paraId="6B8BAC4B">
      <w:pPr>
        <w:numPr>
          <w:ilvl w:val="0"/>
          <w:numId w:val="0"/>
        </w:numPr>
        <w:spacing w:line="360" w:lineRule="auto"/>
        <w:ind w:leftChars="0"/>
        <w:jc w:val="both"/>
        <w:rPr>
          <w:rFonts w:hint="default" w:ascii="Times New Roman" w:hAnsi="Times New Roman"/>
          <w:sz w:val="24"/>
          <w:szCs w:val="24"/>
          <w:lang w:val="en-US"/>
        </w:rPr>
      </w:pPr>
    </w:p>
    <w:p w14:paraId="63BD55CD">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Camacho-Otero, J., Pettersen, I. N., &amp; Boks, C. (2020). Consumer engagement in the </w:t>
      </w:r>
      <w:r>
        <w:rPr>
          <w:rFonts w:hint="default" w:ascii="Times New Roman" w:hAnsi="Times New Roman"/>
          <w:sz w:val="24"/>
          <w:szCs w:val="24"/>
          <w:lang w:val="en-US"/>
        </w:rPr>
        <w:tab/>
      </w:r>
      <w:r>
        <w:rPr>
          <w:rFonts w:hint="default" w:ascii="Times New Roman" w:hAnsi="Times New Roman"/>
          <w:sz w:val="24"/>
          <w:szCs w:val="24"/>
          <w:lang w:val="en-US"/>
        </w:rPr>
        <w:t xml:space="preserve">circular economy: Exploring clothes swapping in emerging economies from a </w:t>
      </w:r>
      <w:r>
        <w:rPr>
          <w:rFonts w:hint="default" w:ascii="Times New Roman" w:hAnsi="Times New Roman"/>
          <w:sz w:val="24"/>
          <w:szCs w:val="24"/>
          <w:lang w:val="en-US"/>
        </w:rPr>
        <w:tab/>
      </w:r>
      <w:r>
        <w:rPr>
          <w:rFonts w:hint="default" w:ascii="Times New Roman" w:hAnsi="Times New Roman"/>
          <w:sz w:val="24"/>
          <w:szCs w:val="24"/>
          <w:lang w:val="en-US"/>
        </w:rPr>
        <w:t>social practice perspective. Sustainable Development, 28(1), 279–293.</w:t>
      </w:r>
    </w:p>
    <w:p w14:paraId="5E700FA1">
      <w:pPr>
        <w:numPr>
          <w:ilvl w:val="0"/>
          <w:numId w:val="0"/>
        </w:numPr>
        <w:spacing w:line="360" w:lineRule="auto"/>
        <w:ind w:leftChars="0"/>
        <w:jc w:val="both"/>
        <w:rPr>
          <w:rFonts w:hint="default" w:ascii="Times New Roman" w:hAnsi="Times New Roman"/>
          <w:sz w:val="24"/>
          <w:szCs w:val="24"/>
          <w:lang w:val="en-US"/>
        </w:rPr>
      </w:pPr>
    </w:p>
    <w:p w14:paraId="52ED0FEE">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Chen, H., &amp; Lin, K. (2024). Understanding collaborative consumption in the </w:t>
      </w:r>
      <w:r>
        <w:rPr>
          <w:rFonts w:hint="default" w:ascii="Times New Roman" w:hAnsi="Times New Roman"/>
          <w:sz w:val="24"/>
          <w:szCs w:val="24"/>
          <w:lang w:val="en-US"/>
        </w:rPr>
        <w:tab/>
      </w:r>
      <w:r>
        <w:rPr>
          <w:rFonts w:hint="default" w:ascii="Times New Roman" w:hAnsi="Times New Roman"/>
          <w:sz w:val="24"/>
          <w:szCs w:val="24"/>
          <w:lang w:val="en-US"/>
        </w:rPr>
        <w:t xml:space="preserve">technology-driven sharing economy: A cost-benefit analysis perspective. </w:t>
      </w:r>
      <w:r>
        <w:rPr>
          <w:rFonts w:hint="default" w:ascii="Times New Roman" w:hAnsi="Times New Roman"/>
          <w:sz w:val="24"/>
          <w:szCs w:val="24"/>
          <w:lang w:val="en-US"/>
        </w:rPr>
        <w:tab/>
      </w:r>
      <w:r>
        <w:rPr>
          <w:rFonts w:hint="default" w:ascii="Times New Roman" w:hAnsi="Times New Roman"/>
          <w:sz w:val="24"/>
          <w:szCs w:val="24"/>
          <w:lang w:val="en-US"/>
        </w:rPr>
        <w:t>PLOS ONE, 19(12), e0309024.</w:t>
      </w:r>
    </w:p>
    <w:p w14:paraId="58879708">
      <w:pPr>
        <w:numPr>
          <w:ilvl w:val="0"/>
          <w:numId w:val="0"/>
        </w:numPr>
        <w:spacing w:line="360" w:lineRule="auto"/>
        <w:ind w:leftChars="0"/>
        <w:jc w:val="both"/>
        <w:rPr>
          <w:rFonts w:hint="default" w:ascii="Times New Roman" w:hAnsi="Times New Roman"/>
          <w:sz w:val="24"/>
          <w:szCs w:val="24"/>
          <w:lang w:val="en-US"/>
        </w:rPr>
      </w:pPr>
    </w:p>
    <w:p w14:paraId="62FE1980">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Cross, J., Min, X., Thompson, F., Tiglao, J., Watt, J., &amp; Yudhistira, J. (2023). Swapp </w:t>
      </w:r>
      <w:r>
        <w:rPr>
          <w:rFonts w:hint="default" w:ascii="Times New Roman" w:hAnsi="Times New Roman"/>
          <w:sz w:val="24"/>
          <w:szCs w:val="24"/>
          <w:lang w:val="en-US"/>
        </w:rPr>
        <w:tab/>
      </w:r>
      <w:r>
        <w:rPr>
          <w:rFonts w:hint="default" w:ascii="Times New Roman" w:hAnsi="Times New Roman"/>
          <w:sz w:val="24"/>
          <w:szCs w:val="24"/>
          <w:lang w:val="en-US"/>
        </w:rPr>
        <w:t>– The clothing swapping app. Penn State LF Showcase FA23.</w:t>
      </w:r>
    </w:p>
    <w:p w14:paraId="3A1465C7">
      <w:pPr>
        <w:numPr>
          <w:ilvl w:val="0"/>
          <w:numId w:val="0"/>
        </w:numPr>
        <w:spacing w:line="360" w:lineRule="auto"/>
        <w:ind w:leftChars="0"/>
        <w:jc w:val="both"/>
        <w:rPr>
          <w:rFonts w:hint="default" w:ascii="Times New Roman" w:hAnsi="Times New Roman"/>
          <w:sz w:val="24"/>
          <w:szCs w:val="24"/>
          <w:lang w:val="en-US"/>
        </w:rPr>
      </w:pPr>
    </w:p>
    <w:p w14:paraId="7CA77160">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DataIntelo. (2023). Cloth swapping app market report: Global forecast from 2023 to </w:t>
      </w:r>
      <w:r>
        <w:rPr>
          <w:rFonts w:hint="default" w:ascii="Times New Roman" w:hAnsi="Times New Roman"/>
          <w:sz w:val="24"/>
          <w:szCs w:val="24"/>
          <w:lang w:val="en-US"/>
        </w:rPr>
        <w:tab/>
      </w:r>
      <w:r>
        <w:rPr>
          <w:rFonts w:hint="default" w:ascii="Times New Roman" w:hAnsi="Times New Roman"/>
          <w:sz w:val="24"/>
          <w:szCs w:val="24"/>
          <w:lang w:val="en-US"/>
        </w:rPr>
        <w:t xml:space="preserve">2032. </w:t>
      </w:r>
    </w:p>
    <w:p w14:paraId="3EBA533E">
      <w:pPr>
        <w:numPr>
          <w:ilvl w:val="0"/>
          <w:numId w:val="0"/>
        </w:numPr>
        <w:spacing w:line="360" w:lineRule="auto"/>
        <w:ind w:leftChars="0" w:firstLine="720" w:firstLineChars="0"/>
        <w:jc w:val="both"/>
        <w:rPr>
          <w:rFonts w:hint="default" w:ascii="Times New Roman" w:hAnsi="Times New Roman"/>
          <w:sz w:val="24"/>
          <w:szCs w:val="24"/>
          <w:lang w:val="en-US"/>
        </w:rPr>
      </w:pPr>
      <w:r>
        <w:rPr>
          <w:rFonts w:hint="default" w:ascii="Times New Roman" w:hAnsi="Times New Roman"/>
          <w:sz w:val="24"/>
          <w:szCs w:val="24"/>
          <w:lang w:val="en-US"/>
        </w:rPr>
        <w:t>https://dataintelo.com/report/cloth-swapping-app-market</w:t>
      </w:r>
    </w:p>
    <w:p w14:paraId="0F5433C3">
      <w:pPr>
        <w:numPr>
          <w:ilvl w:val="0"/>
          <w:numId w:val="0"/>
        </w:numPr>
        <w:spacing w:line="360" w:lineRule="auto"/>
        <w:ind w:leftChars="0"/>
        <w:jc w:val="both"/>
        <w:rPr>
          <w:rFonts w:hint="default" w:ascii="Times New Roman" w:hAnsi="Times New Roman"/>
          <w:sz w:val="24"/>
          <w:szCs w:val="24"/>
          <w:lang w:val="en-US"/>
        </w:rPr>
      </w:pPr>
    </w:p>
    <w:p w14:paraId="51C91DD3">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Ertz, M., &amp; Sarigöllü, E. (2022). Consumer intentions to use collaborative economy </w:t>
      </w:r>
      <w:r>
        <w:rPr>
          <w:rFonts w:hint="default" w:ascii="Times New Roman" w:hAnsi="Times New Roman"/>
          <w:sz w:val="24"/>
          <w:szCs w:val="24"/>
          <w:lang w:val="en-US"/>
        </w:rPr>
        <w:tab/>
      </w:r>
      <w:r>
        <w:rPr>
          <w:rFonts w:hint="default" w:ascii="Times New Roman" w:hAnsi="Times New Roman"/>
          <w:sz w:val="24"/>
          <w:szCs w:val="24"/>
          <w:lang w:val="en-US"/>
        </w:rPr>
        <w:t xml:space="preserve">platforms: A meta-analysis. </w:t>
      </w:r>
      <w:r>
        <w:rPr>
          <w:rFonts w:hint="default" w:ascii="Times New Roman" w:hAnsi="Times New Roman"/>
          <w:i/>
          <w:iCs/>
          <w:sz w:val="24"/>
          <w:szCs w:val="24"/>
          <w:lang w:val="en-US"/>
        </w:rPr>
        <w:t>International Journal of Consumer Studies</w:t>
      </w:r>
      <w:r>
        <w:rPr>
          <w:rFonts w:hint="default" w:ascii="Times New Roman" w:hAnsi="Times New Roman"/>
          <w:sz w:val="24"/>
          <w:szCs w:val="24"/>
          <w:lang w:val="en-US"/>
        </w:rPr>
        <w:t xml:space="preserve">, 46(5), </w:t>
      </w:r>
      <w:r>
        <w:rPr>
          <w:rFonts w:hint="default" w:ascii="Times New Roman" w:hAnsi="Times New Roman"/>
          <w:sz w:val="24"/>
          <w:szCs w:val="24"/>
          <w:lang w:val="en-US"/>
        </w:rPr>
        <w:tab/>
      </w:r>
      <w:r>
        <w:rPr>
          <w:rFonts w:hint="default" w:ascii="Times New Roman" w:hAnsi="Times New Roman"/>
          <w:sz w:val="24"/>
          <w:szCs w:val="24"/>
          <w:lang w:val="en-US"/>
        </w:rPr>
        <w:t>1859–1876.</w:t>
      </w:r>
    </w:p>
    <w:p w14:paraId="607832EA">
      <w:pPr>
        <w:numPr>
          <w:ilvl w:val="0"/>
          <w:numId w:val="0"/>
        </w:numPr>
        <w:spacing w:line="360" w:lineRule="auto"/>
        <w:ind w:leftChars="0"/>
        <w:jc w:val="both"/>
        <w:rPr>
          <w:rFonts w:hint="default" w:ascii="Times New Roman" w:hAnsi="Times New Roman"/>
          <w:sz w:val="24"/>
          <w:szCs w:val="24"/>
          <w:lang w:val="en-US"/>
        </w:rPr>
      </w:pPr>
    </w:p>
    <w:p w14:paraId="332FB2B2">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Gefen, D., Benbasat, I., &amp; Pavlou, P. A. (2023). Trust, risk, and their role in online </w:t>
      </w:r>
      <w:r>
        <w:rPr>
          <w:rFonts w:hint="default" w:ascii="Times New Roman" w:hAnsi="Times New Roman"/>
          <w:sz w:val="24"/>
          <w:szCs w:val="24"/>
          <w:lang w:val="en-US"/>
        </w:rPr>
        <w:tab/>
      </w:r>
      <w:r>
        <w:rPr>
          <w:rFonts w:hint="default" w:ascii="Times New Roman" w:hAnsi="Times New Roman"/>
          <w:sz w:val="24"/>
          <w:szCs w:val="24"/>
          <w:lang w:val="en-US"/>
        </w:rPr>
        <w:t>exchange. MIS Quarterly, 47(2), 651–680.</w:t>
      </w:r>
    </w:p>
    <w:p w14:paraId="1F547C76">
      <w:pPr>
        <w:numPr>
          <w:ilvl w:val="0"/>
          <w:numId w:val="0"/>
        </w:numPr>
        <w:spacing w:line="360" w:lineRule="auto"/>
        <w:ind w:leftChars="0"/>
        <w:jc w:val="both"/>
        <w:rPr>
          <w:rFonts w:hint="default" w:ascii="Times New Roman" w:hAnsi="Times New Roman"/>
          <w:sz w:val="24"/>
          <w:szCs w:val="24"/>
          <w:lang w:val="en-US"/>
        </w:rPr>
      </w:pPr>
    </w:p>
    <w:p w14:paraId="3E514388">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Guo, P., Jeyaraj, J. J., &amp; Razali, A. B. (2024). A systematic review of collaborative </w:t>
      </w:r>
      <w:r>
        <w:rPr>
          <w:rFonts w:hint="default" w:ascii="Times New Roman" w:hAnsi="Times New Roman"/>
          <w:sz w:val="24"/>
          <w:szCs w:val="24"/>
          <w:lang w:val="en-US"/>
        </w:rPr>
        <w:tab/>
      </w:r>
      <w:r>
        <w:rPr>
          <w:rFonts w:hint="default" w:ascii="Times New Roman" w:hAnsi="Times New Roman"/>
          <w:sz w:val="24"/>
          <w:szCs w:val="24"/>
          <w:lang w:val="en-US"/>
        </w:rPr>
        <w:t xml:space="preserve">mobile-assisted mobile applications. Humanities and Social Sciences </w:t>
      </w:r>
      <w:r>
        <w:rPr>
          <w:rFonts w:hint="default" w:ascii="Times New Roman" w:hAnsi="Times New Roman"/>
          <w:sz w:val="24"/>
          <w:szCs w:val="24"/>
          <w:lang w:val="en-US"/>
        </w:rPr>
        <w:tab/>
      </w:r>
      <w:r>
        <w:rPr>
          <w:rFonts w:hint="default" w:ascii="Times New Roman" w:hAnsi="Times New Roman"/>
          <w:sz w:val="24"/>
          <w:szCs w:val="24"/>
          <w:lang w:val="en-US"/>
        </w:rPr>
        <w:t>Communications.</w:t>
      </w:r>
    </w:p>
    <w:p w14:paraId="16277899">
      <w:pPr>
        <w:numPr>
          <w:ilvl w:val="0"/>
          <w:numId w:val="0"/>
        </w:numPr>
        <w:spacing w:line="360" w:lineRule="auto"/>
        <w:ind w:leftChars="0"/>
        <w:jc w:val="both"/>
        <w:rPr>
          <w:rFonts w:hint="default" w:ascii="Times New Roman" w:hAnsi="Times New Roman"/>
          <w:sz w:val="24"/>
          <w:szCs w:val="24"/>
          <w:lang w:val="en-US"/>
        </w:rPr>
      </w:pPr>
    </w:p>
    <w:p w14:paraId="556582AF">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Hamari, J., Sjöklint, M., &amp; Ukkonen, A. (2016). The sharing economy: Why people </w:t>
      </w:r>
      <w:r>
        <w:rPr>
          <w:rFonts w:hint="default" w:ascii="Times New Roman" w:hAnsi="Times New Roman"/>
          <w:sz w:val="24"/>
          <w:szCs w:val="24"/>
          <w:lang w:val="en-US"/>
        </w:rPr>
        <w:tab/>
      </w:r>
      <w:r>
        <w:rPr>
          <w:rFonts w:hint="default" w:ascii="Times New Roman" w:hAnsi="Times New Roman"/>
          <w:sz w:val="24"/>
          <w:szCs w:val="24"/>
          <w:lang w:val="en-US"/>
        </w:rPr>
        <w:t xml:space="preserve">participate in collaborative consumption. </w:t>
      </w:r>
      <w:r>
        <w:rPr>
          <w:rFonts w:hint="default" w:ascii="Times New Roman" w:hAnsi="Times New Roman"/>
          <w:i/>
          <w:iCs/>
          <w:sz w:val="24"/>
          <w:szCs w:val="24"/>
          <w:lang w:val="en-US"/>
        </w:rPr>
        <w:t xml:space="preserve">Journal of the Association for </w:t>
      </w:r>
      <w:r>
        <w:rPr>
          <w:rFonts w:hint="default" w:ascii="Times New Roman" w:hAnsi="Times New Roman"/>
          <w:i/>
          <w:iCs/>
          <w:sz w:val="24"/>
          <w:szCs w:val="24"/>
          <w:lang w:val="en-US"/>
        </w:rPr>
        <w:tab/>
      </w:r>
      <w:r>
        <w:rPr>
          <w:rFonts w:hint="default" w:ascii="Times New Roman" w:hAnsi="Times New Roman"/>
          <w:i/>
          <w:iCs/>
          <w:sz w:val="24"/>
          <w:szCs w:val="24"/>
          <w:lang w:val="en-US"/>
        </w:rPr>
        <w:t>Information Science and Technology</w:t>
      </w:r>
      <w:r>
        <w:rPr>
          <w:rFonts w:hint="default" w:ascii="Times New Roman" w:hAnsi="Times New Roman"/>
          <w:sz w:val="24"/>
          <w:szCs w:val="24"/>
          <w:lang w:val="en-US"/>
        </w:rPr>
        <w:t>, 67(9), 2047–2059.</w:t>
      </w:r>
    </w:p>
    <w:p w14:paraId="0F84929A">
      <w:pPr>
        <w:numPr>
          <w:ilvl w:val="0"/>
          <w:numId w:val="0"/>
        </w:numPr>
        <w:spacing w:line="360" w:lineRule="auto"/>
        <w:ind w:leftChars="0"/>
        <w:jc w:val="both"/>
        <w:rPr>
          <w:rFonts w:hint="default" w:ascii="Times New Roman" w:hAnsi="Times New Roman"/>
          <w:sz w:val="24"/>
          <w:szCs w:val="24"/>
          <w:lang w:val="en-US"/>
        </w:rPr>
      </w:pPr>
    </w:p>
    <w:p w14:paraId="72218E22">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Han, W., Wang, X., &amp; Subramanian, C. R. (2023). The societal impact of sharing </w:t>
      </w:r>
      <w:r>
        <w:rPr>
          <w:rFonts w:hint="default" w:ascii="Times New Roman" w:hAnsi="Times New Roman"/>
          <w:sz w:val="24"/>
          <w:szCs w:val="24"/>
          <w:lang w:val="en-US"/>
        </w:rPr>
        <w:tab/>
      </w:r>
      <w:r>
        <w:rPr>
          <w:rFonts w:hint="default" w:ascii="Times New Roman" w:hAnsi="Times New Roman"/>
          <w:sz w:val="24"/>
          <w:szCs w:val="24"/>
          <w:lang w:val="en-US"/>
        </w:rPr>
        <w:t xml:space="preserve">economy platform self-regulations: An empirical investigation. Information </w:t>
      </w:r>
      <w:r>
        <w:rPr>
          <w:rFonts w:hint="default" w:ascii="Times New Roman" w:hAnsi="Times New Roman"/>
          <w:sz w:val="24"/>
          <w:szCs w:val="24"/>
          <w:lang w:val="en-US"/>
        </w:rPr>
        <w:tab/>
      </w:r>
      <w:r>
        <w:rPr>
          <w:rFonts w:hint="default" w:ascii="Times New Roman" w:hAnsi="Times New Roman"/>
          <w:sz w:val="24"/>
          <w:szCs w:val="24"/>
          <w:lang w:val="en-US"/>
        </w:rPr>
        <w:t>Systems Research, 34(2), 771–789.</w:t>
      </w:r>
    </w:p>
    <w:p w14:paraId="3A9A7937">
      <w:pPr>
        <w:numPr>
          <w:ilvl w:val="0"/>
          <w:numId w:val="0"/>
        </w:numPr>
        <w:spacing w:line="360" w:lineRule="auto"/>
        <w:ind w:leftChars="0"/>
        <w:jc w:val="both"/>
        <w:rPr>
          <w:rFonts w:hint="default" w:ascii="Times New Roman" w:hAnsi="Times New Roman"/>
          <w:sz w:val="24"/>
          <w:szCs w:val="24"/>
          <w:lang w:val="en-US"/>
        </w:rPr>
      </w:pPr>
    </w:p>
    <w:p w14:paraId="71981938">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Karpova, E. E., Jestratijevic, I., Lee, J., &amp; Wu, J. (2022). An ethnographic study of </w:t>
      </w:r>
      <w:r>
        <w:rPr>
          <w:rFonts w:hint="default" w:ascii="Times New Roman" w:hAnsi="Times New Roman"/>
          <w:sz w:val="24"/>
          <w:szCs w:val="24"/>
          <w:lang w:val="en-US"/>
        </w:rPr>
        <w:tab/>
      </w:r>
      <w:r>
        <w:rPr>
          <w:rFonts w:hint="default" w:ascii="Times New Roman" w:hAnsi="Times New Roman"/>
          <w:sz w:val="24"/>
          <w:szCs w:val="24"/>
          <w:lang w:val="en-US"/>
        </w:rPr>
        <w:t xml:space="preserve">collaborative fashion consumption: The case of temporary clothing swapping. </w:t>
      </w:r>
      <w:r>
        <w:rPr>
          <w:rFonts w:hint="default" w:ascii="Times New Roman" w:hAnsi="Times New Roman"/>
          <w:sz w:val="24"/>
          <w:szCs w:val="24"/>
          <w:lang w:val="en-US"/>
        </w:rPr>
        <w:tab/>
      </w:r>
      <w:r>
        <w:rPr>
          <w:rFonts w:hint="default" w:ascii="Times New Roman" w:hAnsi="Times New Roman"/>
          <w:sz w:val="24"/>
          <w:szCs w:val="24"/>
          <w:lang w:val="en-US"/>
        </w:rPr>
        <w:t>Clothing and Textiles Research Journal, 40(2), 113–128.</w:t>
      </w:r>
    </w:p>
    <w:p w14:paraId="5A770468">
      <w:pPr>
        <w:numPr>
          <w:ilvl w:val="0"/>
          <w:numId w:val="0"/>
        </w:numPr>
        <w:spacing w:line="360" w:lineRule="auto"/>
        <w:ind w:leftChars="0"/>
        <w:jc w:val="both"/>
        <w:rPr>
          <w:rFonts w:hint="default" w:ascii="Times New Roman" w:hAnsi="Times New Roman"/>
          <w:sz w:val="24"/>
          <w:szCs w:val="24"/>
          <w:lang w:val="en-US"/>
        </w:rPr>
      </w:pPr>
    </w:p>
    <w:p w14:paraId="3ABEFC95">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Kietzmann, J. H., Paschen, J., &amp; Treen, E. (2022). Artificial intelligence in advertising: </w:t>
      </w:r>
      <w:r>
        <w:rPr>
          <w:rFonts w:hint="default" w:ascii="Times New Roman" w:hAnsi="Times New Roman"/>
          <w:sz w:val="24"/>
          <w:szCs w:val="24"/>
          <w:lang w:val="en-US"/>
        </w:rPr>
        <w:tab/>
      </w:r>
      <w:r>
        <w:rPr>
          <w:rFonts w:hint="default" w:ascii="Times New Roman" w:hAnsi="Times New Roman"/>
          <w:sz w:val="24"/>
          <w:szCs w:val="24"/>
          <w:lang w:val="en-US"/>
        </w:rPr>
        <w:t xml:space="preserve">How marketers can leverage AI along the consumer journey. Journal of </w:t>
      </w:r>
      <w:r>
        <w:rPr>
          <w:rFonts w:hint="default" w:ascii="Times New Roman" w:hAnsi="Times New Roman"/>
          <w:sz w:val="24"/>
          <w:szCs w:val="24"/>
          <w:lang w:val="en-US"/>
        </w:rPr>
        <w:tab/>
      </w:r>
      <w:r>
        <w:rPr>
          <w:rFonts w:hint="default" w:ascii="Times New Roman" w:hAnsi="Times New Roman"/>
          <w:sz w:val="24"/>
          <w:szCs w:val="24"/>
          <w:lang w:val="en-US"/>
        </w:rPr>
        <w:t>Advertising Research, 62(3), 263–267.</w:t>
      </w:r>
    </w:p>
    <w:p w14:paraId="16FA6BD1">
      <w:pPr>
        <w:numPr>
          <w:ilvl w:val="0"/>
          <w:numId w:val="0"/>
        </w:numPr>
        <w:spacing w:line="360" w:lineRule="auto"/>
        <w:ind w:leftChars="0"/>
        <w:jc w:val="both"/>
        <w:rPr>
          <w:rFonts w:hint="default" w:ascii="Times New Roman" w:hAnsi="Times New Roman"/>
          <w:sz w:val="24"/>
          <w:szCs w:val="24"/>
          <w:lang w:val="en-US"/>
        </w:rPr>
      </w:pPr>
    </w:p>
    <w:p w14:paraId="7E2D67DC">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Mateus, P., &amp; Marques, S. (2024). Trust, privacy, and safety factors in P2P markets </w:t>
      </w:r>
      <w:r>
        <w:rPr>
          <w:rFonts w:hint="default" w:ascii="Times New Roman" w:hAnsi="Times New Roman"/>
          <w:sz w:val="24"/>
          <w:szCs w:val="24"/>
          <w:lang w:val="en-US"/>
        </w:rPr>
        <w:tab/>
      </w:r>
      <w:r>
        <w:rPr>
          <w:rFonts w:hint="default" w:ascii="Times New Roman" w:hAnsi="Times New Roman"/>
          <w:sz w:val="24"/>
          <w:szCs w:val="24"/>
          <w:lang w:val="en-US"/>
        </w:rPr>
        <w:t>based on social networks: A case study of Facebook Marketplace. CHI '24.</w:t>
      </w:r>
    </w:p>
    <w:p w14:paraId="15009B4F">
      <w:pPr>
        <w:numPr>
          <w:ilvl w:val="0"/>
          <w:numId w:val="0"/>
        </w:numPr>
        <w:spacing w:line="360" w:lineRule="auto"/>
        <w:ind w:leftChars="0"/>
        <w:jc w:val="both"/>
        <w:rPr>
          <w:rFonts w:hint="default" w:ascii="Times New Roman" w:hAnsi="Times New Roman"/>
          <w:sz w:val="24"/>
          <w:szCs w:val="24"/>
          <w:lang w:val="en-US"/>
        </w:rPr>
      </w:pPr>
    </w:p>
    <w:p w14:paraId="1D09AC6B">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Meshulam, A., Kalmykova, Y., &amp; Parajuli, R. (2023). Sharing economy rebound: The </w:t>
      </w:r>
      <w:r>
        <w:rPr>
          <w:rFonts w:hint="default" w:ascii="Times New Roman" w:hAnsi="Times New Roman"/>
          <w:sz w:val="24"/>
          <w:szCs w:val="24"/>
          <w:lang w:val="en-US"/>
        </w:rPr>
        <w:tab/>
      </w:r>
      <w:r>
        <w:rPr>
          <w:rFonts w:hint="default" w:ascii="Times New Roman" w:hAnsi="Times New Roman"/>
          <w:sz w:val="24"/>
          <w:szCs w:val="24"/>
          <w:lang w:val="en-US"/>
        </w:rPr>
        <w:t xml:space="preserve">case of peer-to-peer sharing of food waste. Journal of Industrial Ecology, </w:t>
      </w:r>
      <w:r>
        <w:rPr>
          <w:rFonts w:hint="default" w:ascii="Times New Roman" w:hAnsi="Times New Roman"/>
          <w:sz w:val="24"/>
          <w:szCs w:val="24"/>
          <w:lang w:val="en-US"/>
        </w:rPr>
        <w:tab/>
      </w:r>
      <w:r>
        <w:rPr>
          <w:rFonts w:hint="default" w:ascii="Times New Roman" w:hAnsi="Times New Roman"/>
          <w:sz w:val="24"/>
          <w:szCs w:val="24"/>
          <w:lang w:val="en-US"/>
        </w:rPr>
        <w:t>27(3), 784–798.</w:t>
      </w:r>
    </w:p>
    <w:p w14:paraId="0A8AFDB7">
      <w:pPr>
        <w:numPr>
          <w:ilvl w:val="0"/>
          <w:numId w:val="0"/>
        </w:numPr>
        <w:spacing w:line="360" w:lineRule="auto"/>
        <w:ind w:leftChars="0"/>
        <w:jc w:val="both"/>
        <w:rPr>
          <w:rFonts w:hint="default" w:ascii="Times New Roman" w:hAnsi="Times New Roman"/>
          <w:sz w:val="24"/>
          <w:szCs w:val="24"/>
          <w:lang w:val="en-US"/>
        </w:rPr>
      </w:pPr>
    </w:p>
    <w:p w14:paraId="0B17755E">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Mpamugo, E., &amp; Ansa, G. (2024). Enhancing network security in mobile applications </w:t>
      </w:r>
      <w:r>
        <w:rPr>
          <w:rFonts w:hint="default" w:ascii="Times New Roman" w:hAnsi="Times New Roman"/>
          <w:sz w:val="24"/>
          <w:szCs w:val="24"/>
          <w:lang w:val="en-US"/>
        </w:rPr>
        <w:tab/>
      </w:r>
      <w:r>
        <w:rPr>
          <w:rFonts w:hint="default" w:ascii="Times New Roman" w:hAnsi="Times New Roman"/>
          <w:sz w:val="24"/>
          <w:szCs w:val="24"/>
          <w:lang w:val="en-US"/>
        </w:rPr>
        <w:t xml:space="preserve">with role-based access control. Journal of Information Systems and </w:t>
      </w:r>
      <w:r>
        <w:rPr>
          <w:rFonts w:hint="default" w:ascii="Times New Roman" w:hAnsi="Times New Roman"/>
          <w:sz w:val="24"/>
          <w:szCs w:val="24"/>
          <w:lang w:val="en-US"/>
        </w:rPr>
        <w:tab/>
      </w:r>
      <w:r>
        <w:rPr>
          <w:rFonts w:hint="default" w:ascii="Times New Roman" w:hAnsi="Times New Roman"/>
          <w:sz w:val="24"/>
          <w:szCs w:val="24"/>
          <w:lang w:val="en-US"/>
        </w:rPr>
        <w:t>Informatics, 6(3), 1872–1899.</w:t>
      </w:r>
    </w:p>
    <w:p w14:paraId="69C0DE75">
      <w:pPr>
        <w:numPr>
          <w:ilvl w:val="0"/>
          <w:numId w:val="0"/>
        </w:numPr>
        <w:spacing w:line="360" w:lineRule="auto"/>
        <w:ind w:leftChars="0"/>
        <w:jc w:val="both"/>
        <w:rPr>
          <w:rFonts w:hint="default" w:ascii="Times New Roman" w:hAnsi="Times New Roman"/>
          <w:sz w:val="24"/>
          <w:szCs w:val="24"/>
          <w:lang w:val="en-US"/>
        </w:rPr>
      </w:pPr>
    </w:p>
    <w:p w14:paraId="6B5E491D">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Mukundhan, K. V., Shah, R., &amp; Asghar, M. (2024). The collaborative economy and </w:t>
      </w:r>
      <w:r>
        <w:rPr>
          <w:rFonts w:hint="default" w:ascii="Times New Roman" w:hAnsi="Times New Roman"/>
          <w:sz w:val="24"/>
          <w:szCs w:val="24"/>
          <w:lang w:val="en-US"/>
        </w:rPr>
        <w:tab/>
      </w:r>
      <w:r>
        <w:rPr>
          <w:rFonts w:hint="default" w:ascii="Times New Roman" w:hAnsi="Times New Roman"/>
          <w:sz w:val="24"/>
          <w:szCs w:val="24"/>
          <w:lang w:val="en-US"/>
        </w:rPr>
        <w:t>its disruptive impact. Amazonia Investiga, 13(83), 142–156.</w:t>
      </w:r>
    </w:p>
    <w:p w14:paraId="7FE0E27B">
      <w:pPr>
        <w:numPr>
          <w:ilvl w:val="0"/>
          <w:numId w:val="0"/>
        </w:numPr>
        <w:spacing w:line="360" w:lineRule="auto"/>
        <w:ind w:leftChars="0"/>
        <w:jc w:val="both"/>
        <w:rPr>
          <w:rFonts w:hint="default" w:ascii="Times New Roman" w:hAnsi="Times New Roman"/>
          <w:sz w:val="24"/>
          <w:szCs w:val="24"/>
          <w:lang w:val="en-US"/>
        </w:rPr>
      </w:pPr>
    </w:p>
    <w:p w14:paraId="34AB9A2A">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Ramachandrappa, N. C. (2024). A comparative analysis of native vs React Native </w:t>
      </w:r>
      <w:r>
        <w:rPr>
          <w:rFonts w:hint="default" w:ascii="Times New Roman" w:hAnsi="Times New Roman"/>
          <w:sz w:val="24"/>
          <w:szCs w:val="24"/>
          <w:lang w:val="en-US"/>
        </w:rPr>
        <w:tab/>
      </w:r>
      <w:r>
        <w:rPr>
          <w:rFonts w:hint="default" w:ascii="Times New Roman" w:hAnsi="Times New Roman"/>
          <w:sz w:val="24"/>
          <w:szCs w:val="24"/>
          <w:lang w:val="en-US"/>
        </w:rPr>
        <w:t xml:space="preserve">mobile app development. </w:t>
      </w:r>
      <w:r>
        <w:rPr>
          <w:rFonts w:hint="default" w:ascii="Times New Roman" w:hAnsi="Times New Roman"/>
          <w:i/>
          <w:iCs/>
          <w:sz w:val="24"/>
          <w:szCs w:val="24"/>
          <w:lang w:val="en-US"/>
        </w:rPr>
        <w:t xml:space="preserve">International Journal of Computer Trends and </w:t>
      </w:r>
      <w:r>
        <w:rPr>
          <w:rFonts w:hint="default" w:ascii="Times New Roman" w:hAnsi="Times New Roman"/>
          <w:i/>
          <w:iCs/>
          <w:sz w:val="24"/>
          <w:szCs w:val="24"/>
          <w:lang w:val="en-US"/>
        </w:rPr>
        <w:tab/>
      </w:r>
      <w:r>
        <w:rPr>
          <w:rFonts w:hint="default" w:ascii="Times New Roman" w:hAnsi="Times New Roman"/>
          <w:i/>
          <w:iCs/>
          <w:sz w:val="24"/>
          <w:szCs w:val="24"/>
          <w:lang w:val="en-US"/>
        </w:rPr>
        <w:t>Technology,</w:t>
      </w:r>
      <w:r>
        <w:rPr>
          <w:rFonts w:hint="default" w:ascii="Times New Roman" w:hAnsi="Times New Roman"/>
          <w:sz w:val="24"/>
          <w:szCs w:val="24"/>
          <w:lang w:val="en-US"/>
        </w:rPr>
        <w:t xml:space="preserve"> 72(9), 57–62.</w:t>
      </w:r>
    </w:p>
    <w:p w14:paraId="391DA3B5">
      <w:pPr>
        <w:numPr>
          <w:ilvl w:val="0"/>
          <w:numId w:val="0"/>
        </w:numPr>
        <w:spacing w:line="360" w:lineRule="auto"/>
        <w:ind w:leftChars="0"/>
        <w:jc w:val="both"/>
        <w:rPr>
          <w:rFonts w:hint="default" w:ascii="Times New Roman" w:hAnsi="Times New Roman"/>
          <w:sz w:val="24"/>
          <w:szCs w:val="24"/>
          <w:lang w:val="en-US"/>
        </w:rPr>
      </w:pPr>
    </w:p>
    <w:p w14:paraId="5B725920">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Sabir, S. S. U. H. (2025). A review on secure authentication mechanisms for mobile </w:t>
      </w:r>
      <w:r>
        <w:rPr>
          <w:rFonts w:hint="default" w:ascii="Times New Roman" w:hAnsi="Times New Roman"/>
          <w:sz w:val="24"/>
          <w:szCs w:val="24"/>
          <w:lang w:val="en-US"/>
        </w:rPr>
        <w:tab/>
      </w:r>
      <w:r>
        <w:rPr>
          <w:rFonts w:hint="default" w:ascii="Times New Roman" w:hAnsi="Times New Roman"/>
          <w:sz w:val="24"/>
          <w:szCs w:val="24"/>
          <w:lang w:val="en-US"/>
        </w:rPr>
        <w:t>security. Sensors, 25(3), 700.</w:t>
      </w:r>
    </w:p>
    <w:p w14:paraId="5AB08ED2">
      <w:pPr>
        <w:numPr>
          <w:ilvl w:val="0"/>
          <w:numId w:val="0"/>
        </w:numPr>
        <w:spacing w:line="360" w:lineRule="auto"/>
        <w:ind w:leftChars="0"/>
        <w:jc w:val="both"/>
        <w:rPr>
          <w:rFonts w:hint="default" w:ascii="Times New Roman" w:hAnsi="Times New Roman"/>
          <w:sz w:val="24"/>
          <w:szCs w:val="24"/>
          <w:lang w:val="en-US"/>
        </w:rPr>
      </w:pPr>
    </w:p>
    <w:p w14:paraId="72E822EE">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Tran, T. T. H., Robinson, K., &amp; Paparoidamis, N. G. (2022). Sharing with perfect </w:t>
      </w:r>
      <w:r>
        <w:rPr>
          <w:rFonts w:hint="default" w:ascii="Times New Roman" w:hAnsi="Times New Roman"/>
          <w:sz w:val="24"/>
          <w:szCs w:val="24"/>
          <w:lang w:val="en-US"/>
        </w:rPr>
        <w:tab/>
      </w:r>
      <w:r>
        <w:rPr>
          <w:rFonts w:hint="default" w:ascii="Times New Roman" w:hAnsi="Times New Roman"/>
          <w:sz w:val="24"/>
          <w:szCs w:val="24"/>
          <w:lang w:val="en-US"/>
        </w:rPr>
        <w:t xml:space="preserve">strangers: The effects of self-disclosure on consumers' trust, risk perception, </w:t>
      </w:r>
      <w:r>
        <w:rPr>
          <w:rFonts w:hint="default" w:ascii="Times New Roman" w:hAnsi="Times New Roman"/>
          <w:sz w:val="24"/>
          <w:szCs w:val="24"/>
          <w:lang w:val="en-US"/>
        </w:rPr>
        <w:tab/>
      </w:r>
      <w:r>
        <w:rPr>
          <w:rFonts w:hint="default" w:ascii="Times New Roman" w:hAnsi="Times New Roman"/>
          <w:sz w:val="24"/>
          <w:szCs w:val="24"/>
          <w:lang w:val="en-US"/>
        </w:rPr>
        <w:t xml:space="preserve">and behavioral intention in the sharing economy. </w:t>
      </w:r>
      <w:r>
        <w:rPr>
          <w:rFonts w:hint="default" w:ascii="Times New Roman" w:hAnsi="Times New Roman"/>
          <w:i/>
          <w:iCs/>
          <w:sz w:val="24"/>
          <w:szCs w:val="24"/>
          <w:lang w:val="en-US"/>
        </w:rPr>
        <w:t xml:space="preserve">Journal of Business </w:t>
      </w:r>
      <w:r>
        <w:rPr>
          <w:rFonts w:hint="default" w:ascii="Times New Roman" w:hAnsi="Times New Roman"/>
          <w:i/>
          <w:iCs/>
          <w:sz w:val="24"/>
          <w:szCs w:val="24"/>
          <w:lang w:val="en-US"/>
        </w:rPr>
        <w:tab/>
      </w:r>
      <w:r>
        <w:rPr>
          <w:rFonts w:hint="default" w:ascii="Times New Roman" w:hAnsi="Times New Roman"/>
          <w:i/>
          <w:iCs/>
          <w:sz w:val="24"/>
          <w:szCs w:val="24"/>
          <w:lang w:val="en-US"/>
        </w:rPr>
        <w:t>Research</w:t>
      </w:r>
      <w:r>
        <w:rPr>
          <w:rFonts w:hint="default" w:ascii="Times New Roman" w:hAnsi="Times New Roman"/>
          <w:sz w:val="24"/>
          <w:szCs w:val="24"/>
          <w:lang w:val="en-US"/>
        </w:rPr>
        <w:t>, 144, 1–16.</w:t>
      </w:r>
    </w:p>
    <w:p w14:paraId="12D23AB2">
      <w:pPr>
        <w:numPr>
          <w:ilvl w:val="0"/>
          <w:numId w:val="0"/>
        </w:numPr>
        <w:spacing w:line="360" w:lineRule="auto"/>
        <w:ind w:leftChars="0"/>
        <w:jc w:val="both"/>
        <w:rPr>
          <w:rFonts w:hint="default" w:ascii="Times New Roman" w:hAnsi="Times New Roman"/>
          <w:sz w:val="24"/>
          <w:szCs w:val="24"/>
          <w:lang w:val="en-US"/>
        </w:rPr>
      </w:pPr>
    </w:p>
    <w:p w14:paraId="0BEE305A">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University of Amsterdam. (2025). Cross-platform mobile app development: A </w:t>
      </w:r>
      <w:r>
        <w:rPr>
          <w:rFonts w:hint="default" w:ascii="Times New Roman" w:hAnsi="Times New Roman"/>
          <w:sz w:val="24"/>
          <w:szCs w:val="24"/>
          <w:lang w:val="en-US"/>
        </w:rPr>
        <w:tab/>
      </w:r>
      <w:r>
        <w:rPr>
          <w:rFonts w:hint="default" w:ascii="Times New Roman" w:hAnsi="Times New Roman"/>
          <w:sz w:val="24"/>
          <w:szCs w:val="24"/>
          <w:lang w:val="en-US"/>
        </w:rPr>
        <w:t>comparative study. Faculty of Natural Sciences, Mathematics and Informatics.</w:t>
      </w:r>
    </w:p>
    <w:p w14:paraId="2F2CF9F9">
      <w:pPr>
        <w:numPr>
          <w:ilvl w:val="0"/>
          <w:numId w:val="0"/>
        </w:numPr>
        <w:spacing w:line="360" w:lineRule="auto"/>
        <w:ind w:leftChars="0"/>
        <w:jc w:val="both"/>
        <w:rPr>
          <w:rFonts w:hint="default" w:ascii="Times New Roman" w:hAnsi="Times New Roman"/>
          <w:sz w:val="24"/>
          <w:szCs w:val="24"/>
          <w:lang w:val="en-US"/>
        </w:rPr>
      </w:pPr>
    </w:p>
    <w:p w14:paraId="640477D2">
      <w:pPr>
        <w:numPr>
          <w:ilvl w:val="0"/>
          <w:numId w:val="3"/>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S. Department of Commerce. (2024). Nigeria – Digital economy. International </w:t>
      </w:r>
      <w:r>
        <w:rPr>
          <w:rFonts w:hint="default" w:ascii="Times New Roman" w:hAnsi="Times New Roman"/>
          <w:sz w:val="24"/>
          <w:szCs w:val="24"/>
          <w:lang w:val="en-US"/>
        </w:rPr>
        <w:tab/>
      </w:r>
      <w:r>
        <w:rPr>
          <w:rFonts w:hint="default" w:ascii="Times New Roman" w:hAnsi="Times New Roman"/>
          <w:sz w:val="24"/>
          <w:szCs w:val="24"/>
          <w:lang w:val="en-US"/>
        </w:rPr>
        <w:tab/>
      </w:r>
      <w:r>
        <w:rPr>
          <w:rFonts w:hint="default" w:ascii="Times New Roman" w:hAnsi="Times New Roman"/>
          <w:sz w:val="24"/>
          <w:szCs w:val="24"/>
          <w:lang w:val="en-US"/>
        </w:rPr>
        <w:t xml:space="preserve">Trade Administration. </w:t>
      </w:r>
    </w:p>
    <w:p w14:paraId="0F3DCF7F">
      <w:pPr>
        <w:numPr>
          <w:ilvl w:val="0"/>
          <w:numId w:val="0"/>
        </w:numPr>
        <w:spacing w:line="360" w:lineRule="auto"/>
        <w:ind w:firstLine="720" w:firstLineChars="0"/>
        <w:jc w:val="both"/>
        <w:rPr>
          <w:rFonts w:hint="default" w:ascii="Times New Roman" w:hAnsi="Times New Roman"/>
          <w:sz w:val="24"/>
          <w:szCs w:val="24"/>
          <w:lang w:val="en-US"/>
        </w:rPr>
      </w:pPr>
      <w:r>
        <w:rPr>
          <w:rFonts w:hint="default" w:ascii="Times New Roman" w:hAnsi="Times New Roman"/>
          <w:sz w:val="24"/>
          <w:szCs w:val="24"/>
          <w:lang w:val="en-US"/>
        </w:rPr>
        <w:t>https://www.trade.gov/country-commercial-guides/nigeria-digital-economy</w:t>
      </w:r>
    </w:p>
    <w:p w14:paraId="192C147B">
      <w:pPr>
        <w:numPr>
          <w:ilvl w:val="0"/>
          <w:numId w:val="0"/>
        </w:numPr>
        <w:spacing w:line="360" w:lineRule="auto"/>
        <w:ind w:leftChars="0"/>
        <w:jc w:val="both"/>
        <w:rPr>
          <w:rFonts w:hint="default" w:ascii="Times New Roman" w:hAnsi="Times New Roman"/>
          <w:sz w:val="24"/>
          <w:szCs w:val="24"/>
          <w:lang w:val="en-US"/>
        </w:rPr>
      </w:pPr>
    </w:p>
    <w:p w14:paraId="76B236DA">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Viana, L. C., &amp; França da Cunha, C. (2023). Peer-to-peer platforms in the sharing </w:t>
      </w:r>
      <w:r>
        <w:rPr>
          <w:rFonts w:hint="default" w:ascii="Times New Roman" w:hAnsi="Times New Roman"/>
          <w:sz w:val="24"/>
          <w:szCs w:val="24"/>
          <w:lang w:val="en-US"/>
        </w:rPr>
        <w:tab/>
      </w:r>
      <w:r>
        <w:rPr>
          <w:rFonts w:hint="default" w:ascii="Times New Roman" w:hAnsi="Times New Roman"/>
          <w:sz w:val="24"/>
          <w:szCs w:val="24"/>
          <w:lang w:val="en-US"/>
        </w:rPr>
        <w:t xml:space="preserve">economy: Current status and future research agenda. </w:t>
      </w:r>
      <w:r>
        <w:rPr>
          <w:rFonts w:hint="default" w:ascii="Times New Roman" w:hAnsi="Times New Roman"/>
          <w:i/>
          <w:iCs/>
          <w:sz w:val="24"/>
          <w:szCs w:val="24"/>
          <w:lang w:val="en-US"/>
        </w:rPr>
        <w:t xml:space="preserve">Future Studies Research </w:t>
      </w:r>
      <w:r>
        <w:rPr>
          <w:rFonts w:hint="default" w:ascii="Times New Roman" w:hAnsi="Times New Roman"/>
          <w:i/>
          <w:iCs/>
          <w:sz w:val="24"/>
          <w:szCs w:val="24"/>
          <w:lang w:val="en-US"/>
        </w:rPr>
        <w:tab/>
      </w:r>
      <w:r>
        <w:rPr>
          <w:rFonts w:hint="default" w:ascii="Times New Roman" w:hAnsi="Times New Roman"/>
          <w:i/>
          <w:iCs/>
          <w:sz w:val="24"/>
          <w:szCs w:val="24"/>
          <w:lang w:val="en-US"/>
        </w:rPr>
        <w:t>Journal,</w:t>
      </w:r>
      <w:r>
        <w:rPr>
          <w:rFonts w:hint="default" w:ascii="Times New Roman" w:hAnsi="Times New Roman"/>
          <w:sz w:val="24"/>
          <w:szCs w:val="24"/>
          <w:lang w:val="en-US"/>
        </w:rPr>
        <w:t xml:space="preserve"> 16(1), e781.</w:t>
      </w:r>
    </w:p>
    <w:p w14:paraId="38644AAC">
      <w:pPr>
        <w:numPr>
          <w:ilvl w:val="0"/>
          <w:numId w:val="0"/>
        </w:numPr>
        <w:spacing w:line="360" w:lineRule="auto"/>
        <w:ind w:leftChars="0"/>
        <w:jc w:val="both"/>
        <w:rPr>
          <w:rFonts w:hint="default" w:ascii="Times New Roman" w:hAnsi="Times New Roman"/>
          <w:sz w:val="24"/>
          <w:szCs w:val="24"/>
          <w:lang w:val="en-US"/>
        </w:rPr>
      </w:pPr>
    </w:p>
    <w:p w14:paraId="468DED79">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Wikipedia. (2024). National Youth Service Corps. Wikimedia Foundation. </w:t>
      </w:r>
      <w:r>
        <w:rPr>
          <w:rFonts w:hint="default" w:ascii="Times New Roman" w:hAnsi="Times New Roman"/>
          <w:sz w:val="24"/>
          <w:szCs w:val="24"/>
          <w:lang w:val="en-US"/>
        </w:rPr>
        <w:tab/>
      </w:r>
      <w:r>
        <w:rPr>
          <w:rFonts w:hint="default" w:ascii="Times New Roman" w:hAnsi="Times New Roman"/>
          <w:sz w:val="24"/>
          <w:szCs w:val="24"/>
          <w:lang w:val="en-US"/>
        </w:rPr>
        <w:t>https://en.wikipedia.org/wiki/National_Youth_Service_Corps</w:t>
      </w:r>
    </w:p>
    <w:p w14:paraId="5B3CF9B0">
      <w:pPr>
        <w:numPr>
          <w:ilvl w:val="0"/>
          <w:numId w:val="0"/>
        </w:numPr>
        <w:spacing w:line="360" w:lineRule="auto"/>
        <w:ind w:leftChars="0"/>
        <w:jc w:val="both"/>
        <w:rPr>
          <w:rFonts w:hint="default" w:ascii="Times New Roman" w:hAnsi="Times New Roman"/>
          <w:sz w:val="24"/>
          <w:szCs w:val="24"/>
          <w:lang w:val="en-US"/>
        </w:rPr>
      </w:pPr>
    </w:p>
    <w:p w14:paraId="7480AE60">
      <w:pPr>
        <w:numPr>
          <w:ilvl w:val="0"/>
          <w:numId w:val="0"/>
        </w:numPr>
        <w:spacing w:line="360" w:lineRule="auto"/>
        <w:ind w:leftChars="0"/>
        <w:jc w:val="both"/>
        <w:rPr>
          <w:rFonts w:hint="default" w:ascii="Times New Roman" w:hAnsi="Times New Roman"/>
          <w:sz w:val="24"/>
          <w:szCs w:val="24"/>
          <w:lang w:val="en-US"/>
        </w:rPr>
      </w:pPr>
      <w:r>
        <w:rPr>
          <w:rFonts w:hint="default" w:ascii="Times New Roman" w:hAnsi="Times New Roman"/>
          <w:sz w:val="24"/>
          <w:szCs w:val="24"/>
          <w:lang w:val="en-US"/>
        </w:rPr>
        <w:t xml:space="preserve">Woo, E., Kim, S., &amp; Park, H. (2024). Sharing systems and community cohesion: </w:t>
      </w:r>
      <w:r>
        <w:rPr>
          <w:rFonts w:hint="default" w:ascii="Times New Roman" w:hAnsi="Times New Roman"/>
          <w:sz w:val="24"/>
          <w:szCs w:val="24"/>
          <w:lang w:val="en-US"/>
        </w:rPr>
        <w:tab/>
      </w:r>
      <w:r>
        <w:rPr>
          <w:rFonts w:hint="default" w:ascii="Times New Roman" w:hAnsi="Times New Roman"/>
          <w:sz w:val="24"/>
          <w:szCs w:val="24"/>
          <w:lang w:val="en-US"/>
        </w:rPr>
        <w:t>Evidence from neighbourhood-based tool libraries. Sustainability, 16(3), 1124.</w:t>
      </w:r>
    </w:p>
    <w:p w14:paraId="22B11048">
      <w:pPr>
        <w:numPr>
          <w:ilvl w:val="0"/>
          <w:numId w:val="0"/>
        </w:numPr>
        <w:spacing w:line="360" w:lineRule="auto"/>
        <w:ind w:leftChars="0"/>
        <w:jc w:val="both"/>
        <w:rPr>
          <w:rFonts w:hint="default" w:ascii="Times New Roman" w:hAnsi="Times New Roman"/>
          <w:sz w:val="24"/>
          <w:szCs w:val="24"/>
          <w:lang w:val="en-US"/>
        </w:rPr>
      </w:pPr>
    </w:p>
    <w:p w14:paraId="74CF95DE">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sz w:val="24"/>
          <w:szCs w:val="24"/>
          <w:lang w:val="en-US"/>
        </w:rPr>
        <w:t xml:space="preserve">Zhang, J. (2024). A systematic review on WebRTC for potential applications and </w:t>
      </w:r>
      <w:r>
        <w:rPr>
          <w:rFonts w:hint="default" w:ascii="Times New Roman" w:hAnsi="Times New Roman"/>
          <w:sz w:val="24"/>
          <w:szCs w:val="24"/>
          <w:lang w:val="en-US"/>
        </w:rPr>
        <w:tab/>
      </w:r>
      <w:r>
        <w:rPr>
          <w:rFonts w:hint="default" w:ascii="Times New Roman" w:hAnsi="Times New Roman"/>
          <w:sz w:val="24"/>
          <w:szCs w:val="24"/>
          <w:lang w:val="en-US"/>
        </w:rPr>
        <w:t xml:space="preserve">challenges beyond audio video streaming. Multimedia Tools and Applications, </w:t>
      </w:r>
      <w:r>
        <w:rPr>
          <w:rFonts w:hint="default" w:ascii="Times New Roman" w:hAnsi="Times New Roman"/>
          <w:sz w:val="24"/>
          <w:szCs w:val="24"/>
          <w:lang w:val="en-US"/>
        </w:rPr>
        <w:tab/>
      </w:r>
      <w:r>
        <w:rPr>
          <w:rFonts w:hint="default" w:ascii="Times New Roman" w:hAnsi="Times New Roman"/>
          <w:sz w:val="24"/>
          <w:szCs w:val="24"/>
          <w:lang w:val="en-US"/>
        </w:rPr>
        <w:t>84, 2909–2946.</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0B2DE1"/>
    <w:multiLevelType w:val="multilevel"/>
    <w:tmpl w:val="A20B2DE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29812B23"/>
    <w:multiLevelType w:val="singleLevel"/>
    <w:tmpl w:val="29812B23"/>
    <w:lvl w:ilvl="0" w:tentative="0">
      <w:start w:val="1"/>
      <w:numFmt w:val="lowerRoman"/>
      <w:suff w:val="space"/>
      <w:lvlText w:val="%1."/>
      <w:lvlJc w:val="left"/>
    </w:lvl>
  </w:abstractNum>
  <w:abstractNum w:abstractNumId="2">
    <w:nsid w:val="5C80DDFF"/>
    <w:multiLevelType w:val="singleLevel"/>
    <w:tmpl w:val="5C80DDFF"/>
    <w:lvl w:ilvl="0" w:tentative="0">
      <w:start w:val="21"/>
      <w:numFmt w:val="upperLetter"/>
      <w:lvlText w:val="%1."/>
      <w:lvlJc w:val="left"/>
      <w:pPr>
        <w:tabs>
          <w:tab w:val="left" w:pos="312"/>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480CAE"/>
    <w:rsid w:val="0A832C2F"/>
    <w:rsid w:val="0E487E6F"/>
    <w:rsid w:val="173012DF"/>
    <w:rsid w:val="23480CAE"/>
    <w:rsid w:val="243557BD"/>
    <w:rsid w:val="37300A2D"/>
    <w:rsid w:val="3CCB5CFD"/>
    <w:rsid w:val="455A178B"/>
    <w:rsid w:val="4BE3360E"/>
    <w:rsid w:val="4E456992"/>
    <w:rsid w:val="5C466CF1"/>
    <w:rsid w:val="63AC2D96"/>
    <w:rsid w:val="649D6ED0"/>
    <w:rsid w:val="655962D4"/>
    <w:rsid w:val="734C1828"/>
    <w:rsid w:val="75526304"/>
    <w:rsid w:val="789A25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uiPriority w:val="0"/>
    <w:rPr>
      <w:color w:val="0000FF"/>
      <w:u w:val="single"/>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668</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2026-02-17T17:49:00Z</dcterms:created>
  <dc:creator>tmuko</dc:creator>
  <cp:lastModifiedBy>Tega Mukoro</cp:lastModifiedBy>
  <dcterms:modified xsi:type="dcterms:W3CDTF">2026-02-21T16:21:58Z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6493440CA5934581AB75A85E5E85153A_11</vt:lpwstr>
  </property>
</Properties>
</file>