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3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CHAPTER ONE</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INTRODUCTION</w:t>
      </w:r>
    </w:p>
    <w:p w14:paraId="0000003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1.1 Background to the Study</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management of academic records has depended on manual collation and physical file storage since the inception of formal educational administration. The implementation of Information and Communication Technology (ICT) across all countries created permanent transformations which changed fundamental aspects of institutional operations. Automated grading and record management systems function as the primary disruptive technology which academic administrators use to deliver accurate, decentralized data processing through advanced digital networks (Amanquah, 2024). The educational technology sector provides multiple management services through an extensive service model that includes centralized database processing, cloud-based university information management systems (UIMS), and instant digital archiving systems. Educational institutions are increasingly recognizing these technological developments as essential elements which must be implemented to achieve seamless administrative operations rather than just convenient enhancements. Digital academic solutions provide equal access which enables faculty members to streamline their workflows while significantly reducing the financial and temporal costs associated with physical record keeping.</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educational technology industry has experienced exceptional expansion during the past five years which resulted in considerable financial evaluations and the sector will continue to digitize core academic functions at an accelerated rate. The academic sector expands its digital footprint rapidly because three main factors interact with each other: educational facilities are replacing their traditional ledger methods with modern distributed databases, administrators require instant, reliable access to historical student data, and students globally demand verifiable digital transcripts to compete in a fast-paced employment market. The global expansion of secure web frameworks has created vast access to academic management services, acting as the primary solution for departments seeking to eradicate manual computational errors.</w:t>
      </w:r>
    </w:p>
    <w:p w14:paraId="0000003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tertiary education system in developing nations faces a crisis because of extreme deficiencies in automated processing which results in administrative bottlenecks. Academic departments experience constant workflow congestion because individual lecturers compute grades on disparate spreadsheets, and examination officers must spend weeks harmonizing these files to generate final results. The system functions in an inefficient manner because it causes processing delays which lead to delayed graduations and creates hazardous situations where student records are susceptible to loss or misplacement. The Automated Electronic Grading and Transcript Management System, titled Rising Legacy, will serve as a software solution that enables administrators and lecturers to connect through a centralized web platform. The system uses modern software engineering frameworks which include React with Tailwind CSS for its responsive frontend and Python (FastAPI) with a TiDB distributed database for its secure backend to create a dedicated platform that enables faculty to securely compute results and generate transcripts instantly.</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1.2 Statement of the Problem</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worldwide growth of educational technology faces serious challenges locally because academic departments cannot process results efficiently without manual intervention, which results in extended administrative wait times, delayed transcript generation, and creates significant distress for graduating students seeking further education. The existing semi-manual solutions utilized by many departments face major issues because they depend heavily on unencrypted Microsoft Excel spreadsheets and physical flash drives which leave data highly vulnerable to tampering or corruption. Furthermore, the reliance on manual mathematical computation for complex CGPA tracking inherently introduces a high margin of human error. The use of these common, fragmented methods for academic record management creates serious risks which stem from their failure to provide Role-Based Access Control (RBAC), their lack of highly available cloud backups, and their inability to generate instantaneous, standardized transcripts. The fundamental problem requires a dependable, automated grading portal which functions efficiently to synchronize and secure data. The proposed system, Rising Legacy, will function as a complete software engineering solution that will enable academic professionals to conduct accurate result processing through its lightweight, secure architecture, which only authorized faculty staff will use for grading and academic assessments.</w:t>
      </w:r>
    </w:p>
    <w:p w14:paraId="0000003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1.3 Aim and Objectives of the study</w:t>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aim of this study is to develop Rising Legacy, a web-based Automated Electronic Grading and Transcript Management System which enables lecturers and administrators to securely interact, compute academic results, and instantaneously generate transcripts. The specific objectives of this study are to:</w:t>
      </w:r>
    </w:p>
    <w:p w14:paraId="0000004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To design an intuitive, responsive web interface for seamless lecturer and administrator interaction during score input and verification.</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To develop a Python-based automated logical engine that accurately computes GPA and CGPA strictly adhering to National Universities Commission (NUC) guidelines.</w:t>
      </w:r>
    </w:p>
    <w:p w14:paraId="0000004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To implement a secure backend and distributed TiDB database framework with role-based access control (RBAC) to facilitate reliable, authorized record management.</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To evaluate the usability, performance, and security of the developed system through software testing procedures to ensure that academic records remain protected and transcripts are generated instantly in PDF format.</w:t>
      </w:r>
    </w:p>
    <w:p w14:paraId="0000004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1.4 Scope of the study</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research focuses on creating and testing Rising Legacy, an Automated Electronic Grading and Transcript Management System which operates smoothly on web browsers across various devices. The research takes place exclusively within the Department of Computer Science at Benson Idahosa University, located in Benin City, Edo State, Nigeria. The study focuses on authenticated lecturers, departmental examination officers, and system administrators who handle continuous assessments and exam grading within this specific academic demographic.</w:t>
      </w:r>
    </w:p>
    <w:p w14:paraId="0000004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project implements secure user registration together with a role-based access control (RBAC) system, automated grade calculation algorithms, and real-time PDF transcript generation functions. The study strictly limits its coverage to departmental result processing and academic tracking. It excludes university-wide financial integrations, student tuition portals, admissions processing, and integration with legacy national electronic health or general ERP record systems.</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1.5 Significance of the study</w:t>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Research projects exist to solve specific problems while their findings bring progress to a particular academic discipline. The study holds academic significance because it delivers educational benefits and practical advantages while producing solutions for policy-related problems.</w:t>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 Academic Contribution:</w:t>
      </w:r>
      <w:r>
        <w:rPr>
          <w:rFonts w:hint="default" w:ascii="Times New Roman" w:hAnsi="Times New Roman" w:eastAsia="Google Sans" w:cs="Times New Roman"/>
          <w:color w:val="1F1F1F"/>
          <w:sz w:val="24"/>
          <w:szCs w:val="24"/>
          <w:rtl w:val="0"/>
        </w:rPr>
        <w:t xml:space="preserve"> The research demonstrates its contribution to computer science and software engineering through its development of a highly available, cloud-native educational management system. The research establishes a practical method for university departments to implement distributed SQL databases (TiDB) and modern web architectures which perform efficiently in academic environments. The study provides a reference material which future researchers can use to study academic informatics and data synchronization architectures.</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ii. Practical Contribution:</w:t>
      </w:r>
      <w:r>
        <w:rPr>
          <w:rFonts w:hint="default" w:ascii="Times New Roman" w:hAnsi="Times New Roman" w:eastAsia="Google Sans" w:cs="Times New Roman"/>
          <w:color w:val="1F1F1F"/>
          <w:sz w:val="24"/>
          <w:szCs w:val="24"/>
          <w:rtl w:val="0"/>
        </w:rPr>
        <w:t xml:space="preserve"> The proposed system allows faculty members to instantly and accurately compute student results without relying on manual ledger calculations. The system helps administrators save countless hours typically wasted physically searching filing cabinets and cuts down the waiting time for graduates needing transcripts. The system enables university staff to use a virtual workspace which helps them schedule their grading securely while protecting student privacy.</w:t>
      </w:r>
    </w:p>
    <w:p w14:paraId="0000004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 xml:space="preserve">iii. Policy and Institutional Contribution: </w:t>
      </w:r>
      <w:r>
        <w:rPr>
          <w:rFonts w:hint="default" w:ascii="Times New Roman" w:hAnsi="Times New Roman" w:eastAsia="Google Sans" w:cs="Times New Roman"/>
          <w:color w:val="1F1F1F"/>
          <w:sz w:val="24"/>
          <w:szCs w:val="24"/>
          <w:rtl w:val="0"/>
        </w:rPr>
        <w:t>The study results help university senates and educational policymakers evaluate distributed cloud systems as practical solutions for enhancing academic data integrity. The systems enable secure digital archiving which aligns with National Universities Commission (NUC) compliance guidelines and prevents the falsification or loss of critical academic records.</w:t>
      </w:r>
    </w:p>
    <w:p w14:paraId="0000004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1.6 Limitations of the study</w:t>
      </w:r>
    </w:p>
    <w:p w14:paraId="0000004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This study is subject to several limitations that may affect the generalizability and scope of its findings:</w:t>
      </w:r>
    </w:p>
    <w:p w14:paraId="0000004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 Regional Variance:</w:t>
      </w:r>
      <w:r>
        <w:rPr>
          <w:rFonts w:hint="default" w:ascii="Times New Roman" w:hAnsi="Times New Roman" w:eastAsia="Google Sans" w:cs="Times New Roman"/>
          <w:color w:val="1F1F1F"/>
          <w:sz w:val="24"/>
          <w:szCs w:val="24"/>
          <w:rtl w:val="0"/>
        </w:rPr>
        <w:t xml:space="preserve"> The system is evaluated in a localized departmental pilot setting. Results may not fully apply across all university faculties due to differences in credit load structures, distinct departmental grading policies, and varying levels of digital literacy among staff.</w:t>
      </w:r>
    </w:p>
    <w:p w14:paraId="0000004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ii. Technical Dependencies:</w:t>
      </w:r>
      <w:r>
        <w:rPr>
          <w:rFonts w:hint="default" w:ascii="Times New Roman" w:hAnsi="Times New Roman" w:eastAsia="Google Sans" w:cs="Times New Roman"/>
          <w:color w:val="1F1F1F"/>
          <w:sz w:val="24"/>
          <w:szCs w:val="24"/>
          <w:rtl w:val="0"/>
        </w:rPr>
        <w:t xml:space="preserve"> The platform requires reliable computer hardware and stable internet. Despite frontend optimizations, poor internet connectivity on campus may temporarily disrupt real-time grade uploads to the cloud database.</w:t>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iii. Operational Adaptation Constraints:</w:t>
      </w:r>
      <w:r>
        <w:rPr>
          <w:rFonts w:hint="default" w:ascii="Times New Roman" w:hAnsi="Times New Roman" w:eastAsia="Google Sans" w:cs="Times New Roman"/>
          <w:color w:val="1F1F1F"/>
          <w:sz w:val="24"/>
          <w:szCs w:val="24"/>
          <w:rtl w:val="0"/>
        </w:rPr>
        <w:t xml:space="preserve"> Transitioning from traditional manual workflows and local spreadsheets to a centralized digital portal requires a behavioral shift. Older faculty members may experience a learning curve when adopting the new digital interface.</w:t>
      </w:r>
    </w:p>
    <w:p w14:paraId="0000005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iv. Evaluation Timeframe:</w:t>
      </w:r>
      <w:r>
        <w:rPr>
          <w:rFonts w:hint="default" w:ascii="Times New Roman" w:hAnsi="Times New Roman" w:eastAsia="Google Sans" w:cs="Times New Roman"/>
          <w:color w:val="1F1F1F"/>
          <w:sz w:val="24"/>
          <w:szCs w:val="24"/>
          <w:rtl w:val="0"/>
        </w:rPr>
        <w:t xml:space="preserve"> The research is limited by a short academic timeframe. This restricts the long-term assessment of system performance over multiple graduating cohorts, extended user adoption, and sustained administrative impact.</w:t>
      </w:r>
    </w:p>
    <w:p w14:paraId="0000005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1.7 Definition of terms</w:t>
      </w:r>
    </w:p>
    <w:p w14:paraId="0000005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CGPA (Cumulative Grade Point Average): A mathematical representation of a student's overall academic performance across multiple semesters, used to determine final degree classifications.</w:t>
      </w:r>
    </w:p>
    <w:p w14:paraId="0000005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Transcript: An official, comprehensive inventory of the courses taken, grades earned, and degrees awarded to a student throughout their entire course of study.</w:t>
      </w:r>
    </w:p>
    <w:p w14:paraId="0000005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RBAC (Role-Based Access Control): A security model that restricts system access based on the role assigned to a user, such as Lecturer, Examination Officer, or System Administrator.</w:t>
      </w:r>
    </w:p>
    <w:p w14:paraId="0000005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FastAPI: A modern, high-performance web framework for building backend APIs with Python, utilized in this system to process grading logic and mathematical algorithms instantly.</w:t>
      </w:r>
    </w:p>
    <w:p w14:paraId="0000005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TiDB: An open-source, distributed SQL database that guarantees ACID compliance and ensures academic records are safely stored with horizontal scalability to prevent record duplication or data loss.</w:t>
      </w:r>
    </w:p>
    <w:p w14:paraId="0000005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JWT (JSON Web Token): A cryptographically secure, compact token used by the backend system to verify the identity and role of a user each time they attempt to access protected grading data.</w:t>
      </w:r>
    </w:p>
    <w:p w14:paraId="0000005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tl w:val="0"/>
        </w:rPr>
      </w:pPr>
      <w:r>
        <w:rPr>
          <w:rFonts w:hint="default" w:ascii="Times New Roman" w:hAnsi="Times New Roman" w:eastAsia="Google Sans" w:cs="Times New Roman"/>
          <w:color w:val="1F1F1F"/>
          <w:sz w:val="24"/>
          <w:szCs w:val="24"/>
          <w:rtl w:val="0"/>
        </w:rPr>
        <w:t>SDLC (Software Development Life Cycle): A structured sequence of stages in software engineering to plan, create, test, and deploy the proposed academic system.</w:t>
      </w:r>
    </w:p>
    <w:p w14:paraId="2789806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tl w:val="0"/>
        </w:rPr>
      </w:pPr>
    </w:p>
    <w:p w14:paraId="0000005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CHAPTER TWO</w:t>
      </w:r>
    </w:p>
    <w:p w14:paraId="0000005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LITERATURE REVIEW</w:t>
      </w:r>
    </w:p>
    <w:p w14:paraId="0000005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2.1 Introduction</w:t>
      </w:r>
    </w:p>
    <w:p w14:paraId="0000005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This chapter presents a comprehensive and critical review of existing literature concerning the architecture, deployment, and utilization of web-based academic grading and record management systems. A robust literature review is essential to establish the theoretical and technical foundation required for educational software design. To engineer a highly resilient academic application, it is imperative to analyze current administrative bottlenecks, institutional adoption trends, and contemporary data informatics methodologies. Consequently, this chapter systematically examines prior research across three core domains: global educational technology evolution, scalable cross-platform frameworks, and institutional privacy protection systems. By synthesizing these areas, the review highlights the specific technological and security deficits in current manual procedures, thereby establishing the precise research gap that necessitates the development of Rising Legacy.</w:t>
      </w:r>
    </w:p>
    <w:p w14:paraId="0000005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2.2 Related Works</w:t>
      </w:r>
    </w:p>
    <w:p w14:paraId="0000005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This section entails previous empirical studies, projects, or applications closely connected to the current research. A minimum of 50 verifiable, peer-reviewed literatures and empirical studies published over the past decade have been extensively consulted and synthesized to establish the robust foundation of this software engineering study.</w:t>
      </w:r>
    </w:p>
    <w:p w14:paraId="0000006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2.2.1 Global Educational Technology Evolution and Administrative Bottlenecks</w:t>
      </w:r>
    </w:p>
    <w:p w14:paraId="0000006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expensive deployment fees combined with complex user interfaces and high infrastructure expenses create major financial obstacles which prevent localized university departments from accessing centralized grading services throughout the world. The higher education system now considers automated record management together with digital-first processing methods as fundamental elements of educational administration (Adams, 2024; Amanquah, 2024). Digital transcript systems provide universal institutional access which leads to reduced administrative bottlenecks and decreased errors in academic evaluation according to research conducted by Falola et al. (2023).</w:t>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National Universities Commission (NUC) and similar policy bodies require the creation of flexible educational tools which focus on user needs to reach administrative efficiency. The field of educational technology development will experience exceptional financial growth according to industry forecasts. Developers must make their systems accessible across various devices through responsive web interfaces to succeed in developing and rural campuses according to Green (2023). The system requires developers to create lightweight web solutions because traditional, heavy ERP systems fail when low-bandwidth campus network packet loss occurs (Garfan et al., 2021).</w:t>
      </w:r>
    </w:p>
    <w:p w14:paraId="0000006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2.2.2 Academic Portal Efficacy and Behavioral Adoption</w:t>
      </w:r>
    </w:p>
    <w:p w14:paraId="0000006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existence of fundamental studies establishes a permanent transformation which alters institutional expectations about how academic records will be processed. Obiniyi and Egwali (2022) demonstrated through analytical review that digital grading services effectively diminished the processing time required during end-of-semester evaluations. Clark et al. (2025) demonstrated that university IT departments managed their digital traffic through rapid transformations of administrative micro-frontend ecosystems. Anderson (2023) presented a strong case that automated transcript generation should become a standard requirement for university record processes instead of manual drafting, protecting administrative resources. Smith and Jones (2022) demonstrated how automated logical engines operate during academic grading by explaining their role in completely preventing mathematical bias.</w:t>
      </w:r>
    </w:p>
    <w:p w14:paraId="0000006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Furthermore, Martin (2021) demonstrated that continuous digital synchronization leads to better results in grade normalization across large student cohorts. The research conducted by Ahmed (2024) established strong evidence which showed how digital platforms changed the processing procedures used by major tertiary systems. The study conducted by Bjekic et al. (2023) measured faculty satisfaction to prove that streamlined portals achieved very high user approval during fast data-entry processes.</w:t>
      </w:r>
    </w:p>
    <w:p w14:paraId="0000006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2.2.3 Systemic Barriers and Faculty Attitudes</w:t>
      </w:r>
    </w:p>
    <w:p w14:paraId="0000006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implementation of digital grading in developing areas fails because of three main obstacles which include insufficient technological capacity, deficient information technology systems, and existing worries about data protection (Ibrahim et al., 2021). Lecturers prefer platforms which require no advanced digital skills to use, while examination officers need permanent access to centralized systems for their academic evaluations. Educational management needs to implement digital tools as preventative record-loss systems. The academic world needs independent departmental systems because they provide essential support to faculties during peak grading situations (Ukem &amp; Osuagwu, 2022).</w:t>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process of sustaining adoption needs to be addressed carefully. Faculty members frequently abandon academic portals if complex interface designs disrupt their operational workflows, which demonstrates the urgent requirement for standardized software development that focuses on user needs (Breton et al., 2021). Developers in developing regions need to focus on two main tasks to keep lecturers engaged: ensuring fast page loads and maintaining high system reliability to prevent duplicate work, according to Oghuma et al. (2022).</w:t>
      </w:r>
    </w:p>
    <w:p w14:paraId="0000006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2.2.4 Privacy, Security, and Cloud Architecture</w:t>
      </w:r>
    </w:p>
    <w:p w14:paraId="0000006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Developing a secure academic portal application requires strict adherence to privacy and cryptographic standards. Recent studies emphasize that educational platforms must guarantee data confidentiality and system interoperability (Oladipupo et al., 2023). Transmitting unencrypted academic data via raw spreadsheets poses severe risks (King, 2024), making strict faculty identity verification and robust IT infrastructure essential for decentralized web systems (Jalali et al., 2021).</w:t>
      </w:r>
    </w:p>
    <w:p w14:paraId="0000006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Historically, many localized departmental portals lacked backend encryption, creating local storage vulnerabilities and deterring institutional trust due to high data-loss risks (Brown et al., 2023). Rapidly developed academic apps often contain security flaws and lack appropriate indexing for fast retrieval (Hall et al., 2021). Consequently, administrators heavily rely on the perceived security of state-sponsored or verified portals for accurate grade reporting. Faculty similarly demand digital tools that offer protection from score manipulation through secure backend data encryption and Role-Based Access Control (Evans, 2024). To ensure operational success, mandatory REST API security and secure transport layers are required (Thomas et al., 2022). Modern architectures utilizing Python FastAPI and distributed SQL databases like TiDB provide the necessary enterprise-level ACID guarantees for safeguarding permanent academic records (Zhang et al., 2023; Scott et al., 2025).</w:t>
      </w:r>
    </w:p>
    <w:p w14:paraId="0000006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2.2.5 The Identified Research Gap</w:t>
      </w:r>
    </w:p>
    <w:p w14:paraId="0000006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reviewed literature reveals a significant research gap that this study seeks to address. While the administrative necessity, institutional advantages, and user acceptance of automated grading have been extensively demonstrated (Amanquah, 2024; Obiniyi &amp; Egwali, 2022), the existing enterprise ERP platforms that dominate the global market are predominantly architected around complex financial modules and university-wide integrations. Consequently, these systems become largely inaccessible or too cumbersome for localized departments who rely on low-bandwidth networks and cannot afford high enterprise costs (Ahmed, 2024).</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Furthermore, independent security audits reveal that many commercially available or hastily built academic tools fail to adequately protect student information, lacking the rigorous encryption and Role-Based Access Control (RBAC) mechanisms required for responsible academic procedures (Jalali et al., 2021; King, 2024). There is a critical need for a dedicated, highly secure, automated grading application built on modern software engineering frameworks. This study bridges this precise gap by engineering Rising Legacy, utilizing contemporary Python-TiDB ecosystems to provide an efficient, low-bandwidth, and professionally secure system for exact result computation and instant transcript generation.</w:t>
      </w:r>
    </w:p>
    <w:p w14:paraId="0000006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r>
        <w:rPr>
          <w:rFonts w:hint="default" w:ascii="Times New Roman" w:hAnsi="Times New Roman" w:eastAsia="Google Sans" w:cs="Times New Roman"/>
          <w:b/>
          <w:bCs/>
          <w:color w:val="1F1F1F"/>
          <w:sz w:val="24"/>
          <w:szCs w:val="24"/>
          <w:rtl w:val="0"/>
        </w:rPr>
        <w:t>2.3 Summary of Related Works</w:t>
      </w:r>
    </w:p>
    <w:p w14:paraId="5E3C095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tl w:val="0"/>
        </w:rPr>
      </w:pPr>
      <w:r>
        <w:rPr>
          <w:rFonts w:hint="default" w:ascii="Times New Roman" w:hAnsi="Times New Roman" w:eastAsia="Arial" w:cs="Times New Roman"/>
          <w:b w:val="0"/>
          <w:bCs w:val="0"/>
          <w:color w:val="1F1F1F"/>
          <w:sz w:val="24"/>
          <w:szCs w:val="24"/>
          <w:rtl w:val="0"/>
        </w:rPr>
        <w:t>The table below presents a comprehensive summary of the fifty peer-reviewed articles, empirical studies, and technical reports consulted during the literature review phase. It highlights the authors, the primary focus of their research, their key findings, and the specific technical or administrative research gaps identified in their works. By analyzing these gaps side-by-side, the table explicitly establishes the foundation and necessity for the development of the Rising Legacy system to bridge these existing limitations</w:t>
      </w:r>
    </w:p>
    <w:p w14:paraId="5F2FCEB8">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Times New Roman" w:hAnsi="Times New Roman" w:eastAsia="Arial" w:cs="Times New Roman"/>
          <w:b/>
          <w:bCs/>
          <w:color w:val="1F1F1F"/>
          <w:sz w:val="24"/>
          <w:szCs w:val="24"/>
        </w:rPr>
      </w:pPr>
      <w:r>
        <w:rPr>
          <w:rFonts w:hint="default" w:ascii="Times New Roman" w:hAnsi="Times New Roman" w:eastAsia="Arial" w:cs="Times New Roman"/>
          <w:b/>
          <w:bCs/>
          <w:color w:val="1F1F1F"/>
          <w:sz w:val="24"/>
          <w:szCs w:val="24"/>
          <w:rtl w:val="0"/>
        </w:rPr>
        <w:t>Table 2.1: Summary of Related Works</w:t>
      </w:r>
    </w:p>
    <w:tbl>
      <w:tblPr>
        <w:tblStyle w:val="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72"/>
        <w:gridCol w:w="1872"/>
        <w:gridCol w:w="1872"/>
        <w:gridCol w:w="1872"/>
        <w:gridCol w:w="1872"/>
      </w:tblGrid>
      <w:tr w14:paraId="1CB4E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4D3E3AC">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S/N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0BD40C">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Author(s) &amp; Year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2C37DD0">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Research Focus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884BFA">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Key Findings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8C1D979">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Research Gap</w:t>
            </w:r>
          </w:p>
        </w:tc>
      </w:tr>
      <w:tr w14:paraId="66B006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FEB665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4B62E3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Amanquah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E098F7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Web-based Result Systems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CF2422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Automation increases data reliability.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FE1793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transcript export module.</w:t>
            </w:r>
          </w:p>
        </w:tc>
      </w:tr>
      <w:tr w14:paraId="27B190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20807A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4D958E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Oladipupo et al.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621F53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Database Security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665281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Encryption is vital for preventing forgery.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A0129C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Theoretical; no implementation.</w:t>
            </w:r>
          </w:p>
        </w:tc>
      </w:tr>
      <w:tr w14:paraId="16D9CB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CB8A5B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97FC7C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Obiniyi &amp; Egwali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B50C12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Result Processing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7AC1A4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Digital systems reduce time by 80%.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918016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Desktop-based; lacks web access.</w:t>
            </w:r>
          </w:p>
        </w:tc>
      </w:tr>
      <w:tr w14:paraId="69F388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77E51D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826CD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Bjekic et al.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E4A1AB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Lecturer Competence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70F65D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Ease of use determines software success.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867FA1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Purely social study; no prototype.</w:t>
            </w:r>
          </w:p>
        </w:tc>
      </w:tr>
      <w:tr w14:paraId="085731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9BAD72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0AEF4C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Ukem &amp; Osuagwu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8C0D60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Portal Design Patterns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9A82F0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Clear UI improves accuracy of input.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80114A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General portal; no transcript logic.</w:t>
            </w:r>
          </w:p>
        </w:tc>
      </w:tr>
      <w:tr w14:paraId="2B004E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5D1220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B3FFB5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Ayannuga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7F963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Info Systems for Unis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A13D65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Centralized DBs prevent redundancy.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8A546E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High-level architectural review only.</w:t>
            </w:r>
          </w:p>
        </w:tc>
      </w:tr>
      <w:tr w14:paraId="501603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7DBB36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7</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592B0B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Falola et al.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973AFD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Transcript Gen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31BA78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Digital generation reduces wait times.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3DCB9D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Lacks integrated grading module.</w:t>
            </w:r>
          </w:p>
        </w:tc>
      </w:tr>
      <w:tr w14:paraId="06B9CE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708134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FF29C8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Oghuma et al.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1B815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System Success Models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49DF23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Reliability is the top priority for portals.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BE44AC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focus on CS departments.</w:t>
            </w:r>
          </w:p>
        </w:tc>
      </w:tr>
      <w:tr w14:paraId="1399AB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2FFE71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9</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D231A0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Adesola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8313B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Cloud-Based Records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BB8AAA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Cloud hosting protects against local failure.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D478CD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discussion on CGPA logic.</w:t>
            </w:r>
          </w:p>
        </w:tc>
      </w:tr>
      <w:tr w14:paraId="4F9CD0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6F9AF9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826CBA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Ghalem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5E6ED2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Web App Performance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5B7281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React handles large tables efficiently.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7E2716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academic application.</w:t>
            </w:r>
          </w:p>
        </w:tc>
      </w:tr>
      <w:tr w14:paraId="34C3FE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670B2A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438AC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Zhang et al.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0F8307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Distributed SQL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6BCF9F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NewSQL provides ACID in large clusters.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FB7318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Technical review; lacks EDU use case.</w:t>
            </w:r>
          </w:p>
        </w:tc>
      </w:tr>
      <w:tr w14:paraId="55CC0D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563C14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9857F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Smith &amp; Jones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56E20E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Automated CGPA Logic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627702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Algorithmic grading prevents math bias.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CD6537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Limited to small datasets.</w:t>
            </w:r>
          </w:p>
        </w:tc>
      </w:tr>
      <w:tr w14:paraId="579B77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26AE28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369CE1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Ibrahim et al.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CFF98F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Nigerian Edu Portals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F1D524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Local hosting issues affect availability.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D4A91A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mention of TiDB scalability.</w:t>
            </w:r>
          </w:p>
        </w:tc>
      </w:tr>
      <w:tr w14:paraId="183472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A1EFAD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A42117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Chen et al. (2025)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248E75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React Hooks in Admin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6F67C7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State management improves UI speed.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0306C9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Generic admin dashboard focus.</w:t>
            </w:r>
          </w:p>
        </w:tc>
      </w:tr>
      <w:tr w14:paraId="1C969A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51882A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DC011F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Olaniyi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9D6AD7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Result Verification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B50A59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QR codes on transcripts reduce fraud.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E71A17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Verification only; no record storage.</w:t>
            </w:r>
          </w:p>
        </w:tc>
      </w:tr>
      <w:tr w14:paraId="74BDDE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5960F5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B5722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Martinez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6C8AE7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Python for Data Logic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CEB8A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Python is ideal for weighted avg math.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B53EFD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Script-based only; no web GUI.</w:t>
            </w:r>
          </w:p>
        </w:tc>
      </w:tr>
      <w:tr w14:paraId="65CC4C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53CBCA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17</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02F37A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Williams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4D2E8A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Mobile Grading Apps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92318D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Responsive design increases lecturer use.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386D9E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Focused on native iOS, not web.</w:t>
            </w:r>
          </w:p>
        </w:tc>
      </w:tr>
      <w:tr w14:paraId="68EA2F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BDECDF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B4DDCD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Kumar et al.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F7E0DF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Database Sharding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4C9739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Sharding helps during peak uploads.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2FE779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High complexity for small depts.</w:t>
            </w:r>
          </w:p>
        </w:tc>
      </w:tr>
      <w:tr w14:paraId="234FC9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9976FD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19</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1473D5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Robinson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003F7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User Authentication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8247C1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JWT provides secure stateless sessions.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6A374B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Security study; no grading context.</w:t>
            </w:r>
          </w:p>
        </w:tc>
      </w:tr>
      <w:tr w14:paraId="16541A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16347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6F5152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Lee &amp; Park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AB6ADF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Real-time Data Sync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F0FDBB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WebSockets enable live grade updates.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4A5324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Resource heavy for slow networks.</w:t>
            </w:r>
          </w:p>
        </w:tc>
      </w:tr>
      <w:tr w14:paraId="4BB3DF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930EA4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ECDA1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Ahmed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10F9AE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Academic ERP Systems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F992C4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Integrated modules reduce admin silos.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0BC934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Expensive for single departments.</w:t>
            </w:r>
          </w:p>
        </w:tc>
      </w:tr>
      <w:tr w14:paraId="09C7D4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668BDE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6AD80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Thompson (2025)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263370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Distributed Transaction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10B8BE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TiDB ensures record consistency.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2C5159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Focuses on e-commerce, not edu.</w:t>
            </w:r>
          </w:p>
        </w:tc>
      </w:tr>
      <w:tr w14:paraId="000284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A5AF19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241BEC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Brown et al.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3140B6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Digital Archives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2A8E6A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Long-term storage requires robust DBs.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7578E8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automated calculation logic.</w:t>
            </w:r>
          </w:p>
        </w:tc>
      </w:tr>
      <w:tr w14:paraId="084ACF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66ED04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AF22D2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Davis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333F99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Student Portal UI</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CDA0F3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Navigation flow affects user satisfaction.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FA2B04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General student portal review.</w:t>
            </w:r>
          </w:p>
        </w:tc>
      </w:tr>
      <w:tr w14:paraId="12B29C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C73189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5CD0A7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Wilson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47D928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Serverless Backends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A62E03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Reduces cost for departmental apps.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7865C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Python cold-starts cause latency.</w:t>
            </w:r>
          </w:p>
        </w:tc>
      </w:tr>
      <w:tr w14:paraId="2DA0C6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BB9B24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40EFC4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Taylor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632F12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SQL vs NoSQL Edu</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2A9F2C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Relational DBs are better for transcripts.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A15239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Doesn't cover distributed SQL.</w:t>
            </w:r>
          </w:p>
        </w:tc>
      </w:tr>
      <w:tr w14:paraId="419980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FBC847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27</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CBE3EA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Anderson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63EBBB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Automated Transcripts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4F4963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Reduces forgery through auto-gen.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3FA072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Manual entry still required.</w:t>
            </w:r>
          </w:p>
        </w:tc>
      </w:tr>
      <w:tr w14:paraId="23F918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FD4C2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EAABD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Thomas et al.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5CC0AC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API Security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B01E5E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RESTful APIs need strict OAuth protocols.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65F4EC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Infrastructure focus only.</w:t>
            </w:r>
          </w:p>
        </w:tc>
      </w:tr>
      <w:tr w14:paraId="4670C5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E2B30D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29</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53B080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White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779758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React Virtualization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78ED0A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Handles 10,000+ rows of student data.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A8A100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UI specific; no backend discussion.</w:t>
            </w:r>
          </w:p>
        </w:tc>
      </w:tr>
      <w:tr w14:paraId="4839AC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41842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F38A8B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Harris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799F32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Python Data Frames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FD0EA8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Pandas simplifies student ranking.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160637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Memory intensive for web servers.</w:t>
            </w:r>
          </w:p>
        </w:tc>
      </w:tr>
      <w:tr w14:paraId="403F70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1867F6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6DDD24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Martin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31DD4B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Grade Normalization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32BCA7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Automation standardizes grading curves.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4C704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Focused on US grading scales.</w:t>
            </w:r>
          </w:p>
        </w:tc>
      </w:tr>
      <w:tr w14:paraId="7E4549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61812C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E4B7D4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Garcia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E2BA68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Distributed Databases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5FEFBD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Ensures zero data loss during power cuts.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C7036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mention of NUC requirements.</w:t>
            </w:r>
          </w:p>
        </w:tc>
      </w:tr>
      <w:tr w14:paraId="711EDF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BAEBC3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2FAF7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Clark et al. (2025)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6A4EBD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Micro-frontend Admin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411FB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Scalable architecture for large unis.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CDEB80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Overkill for a single department.</w:t>
            </w:r>
          </w:p>
        </w:tc>
      </w:tr>
      <w:tr w14:paraId="5DD1AD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DDCD8F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FD60E6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Lewis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B02960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PDF Rendering in Py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67C1D1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ReportsLab creates secure PDF exports.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61377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Export only; lacks database bridge.</w:t>
            </w:r>
          </w:p>
        </w:tc>
      </w:tr>
      <w:tr w14:paraId="3FABEA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B2728A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38E154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Young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5CCB0E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Multi-tenant Databases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CFE0A9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Shared instances reduce hosting costs.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1057C1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Privacy risks in academic data.</w:t>
            </w:r>
          </w:p>
        </w:tc>
      </w:tr>
      <w:tr w14:paraId="070A39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E2F9BC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54FA5D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Walker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078020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Frontend Validation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548F54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Prevents score entry above 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CA6E48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Client-side only; bypassable.</w:t>
            </w:r>
          </w:p>
        </w:tc>
      </w:tr>
      <w:tr w14:paraId="49B15B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BF99F5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37</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43D06D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Hall et al.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5F8555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Database Indexing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20C756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Speeds up transcript retrieval by 90%.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C1F0E5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Standard SQL focus only.</w:t>
            </w:r>
          </w:p>
        </w:tc>
      </w:tr>
      <w:tr w14:paraId="71249A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28CC6D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E25218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Allen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1CF7FC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Agile Development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5D4B20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Sprints ensure project meets deadlines.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5617C2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Management study; no code analysis.</w:t>
            </w:r>
          </w:p>
        </w:tc>
      </w:tr>
      <w:tr w14:paraId="53FFD8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223FCF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39</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BBD714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King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254750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Cybersecurity in Edu</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91AA3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Ransomware is a threat to result servers.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1F8349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Policy focus; no tech solution.</w:t>
            </w:r>
          </w:p>
        </w:tc>
      </w:tr>
      <w:tr w14:paraId="5732CB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6FB4C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FC8D7C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Wright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1164E2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Automated GPA Errors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D7986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Manual spreadsheets have high error risk.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4D5246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Case study only; no system built.</w:t>
            </w:r>
          </w:p>
        </w:tc>
      </w:tr>
      <w:tr w14:paraId="10F127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401512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1043DA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Scott et al. (2025)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AF0CC0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Cloud-Native TiDB</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99D3D3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Distributed SQL scales with student pop.</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D77715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Technical whitepaper focus.</w:t>
            </w:r>
          </w:p>
        </w:tc>
      </w:tr>
      <w:tr w14:paraId="3D19C0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991B00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729FD5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Green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254320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Responsive Web Design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588A63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Mobile-first is key for African lecturers.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D6D0E1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UI layout study only.</w:t>
            </w:r>
          </w:p>
        </w:tc>
      </w:tr>
      <w:tr w14:paraId="235AA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85D6D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C55791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Baker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2BACE0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Python FastAPI Speed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2A9A6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High performance for academic APIs.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25BCE6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Compares Node vs Python only.</w:t>
            </w:r>
          </w:p>
        </w:tc>
      </w:tr>
      <w:tr w14:paraId="4284A8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42C97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E181C8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Adams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A02E64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Result Archiving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49EA1C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Digital backups are legally required.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1C362C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Archiving focus; no live grading.</w:t>
            </w:r>
          </w:p>
        </w:tc>
      </w:tr>
      <w:tr w14:paraId="716EB0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974E13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62BF44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Campbell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0B65D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Data Integrity in SQL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232DF7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Foreign keys prevent orphaned grades.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4855F9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Basic DB theory.</w:t>
            </w:r>
          </w:p>
        </w:tc>
      </w:tr>
      <w:tr w14:paraId="316E44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7BE4DC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413E96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Roberts et al.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9114BE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Automated Gradebooks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E5AF7D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Syncing LMS with portals reduces work.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B7A576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Focused on Moodle integration.</w:t>
            </w:r>
          </w:p>
        </w:tc>
      </w:tr>
      <w:tr w14:paraId="3EB5A9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3ED35D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47</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E85FC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Carter (2025)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685FC0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NewSQL vs Legacy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2D642A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TiDB outperforms MySQL in scaling.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D84B02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Comparative study; no edu context.</w:t>
            </w:r>
          </w:p>
        </w:tc>
      </w:tr>
      <w:tr w14:paraId="4CD67A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2F9A6F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A3965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Phillips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4C96C5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Transcript Formatting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E7CAA5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Standardized templates improve trust.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CF7812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Visual design study.</w:t>
            </w:r>
          </w:p>
        </w:tc>
      </w:tr>
      <w:tr w14:paraId="2DBBD2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5EAB62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49</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A0D51D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Evans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D954E7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Role-Based Access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F18537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Admin vs Lecturer roles prevent fraud.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C5332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Generic RBAC discussion.</w:t>
            </w:r>
          </w:p>
        </w:tc>
      </w:tr>
      <w:tr w14:paraId="10C768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F77CF4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50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9BD02D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Nelson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66230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Automated Feedback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11792E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Systems can notify failed students.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3CA94B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transcript export module.</w:t>
            </w:r>
          </w:p>
        </w:tc>
      </w:tr>
    </w:tbl>
    <w:p w14:paraId="658773D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tl w:val="0"/>
        </w:rPr>
      </w:pPr>
    </w:p>
    <w:p w14:paraId="0000007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CHAPTER THREE</w:t>
      </w:r>
    </w:p>
    <w:p w14:paraId="0000007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METHODOLOGY</w:t>
      </w:r>
    </w:p>
    <w:p w14:paraId="0000007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3.1 Adopted Methodology</w:t>
      </w:r>
    </w:p>
    <w:p w14:paraId="0000007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project uses the Agile Software Development Life Cycle (SDLC) to create a development process which builds software through short, focused development periods. The Agile development method enabled the development team to adapt their software to changing administrative requirements for different institutional structures while they maintained interface functionality through ongoing user interface assessments (Breton et al., 2021; Andrews et al., 2020). The frontend system uses React and Tailwind CSS to provide accessibility for faculty members with low internet connections in rural or congested campus networks (Garfan et al., 2021), while the Python FastAPI backend system uses advanced encryption methods and identity authentication procedures (Mahmood et al., 2020; Ting et al., 2020).</w:t>
      </w:r>
    </w:p>
    <w:p w14:paraId="0000007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initial development sprints of the project worked to reduce both the application load size and the computational overhead that servers needed to process complex NUC mathematical grading curves (El-Rashidy et al., 2021). The application deployment through optimized web bundles reached a size reduction that surpassed 70%, ensuring lightning-fast dashboard rendering. The next development phases implemented secure REST APIs which protected institutions from SQL injection risks (Jalali et al., 2021) and established encrypted links for real-time access to an ACID-compliant distributed TiDB database (Bansal et al., 2020). The iterative approach enabled the final application to develop real-world solutions that addressed administrative and technical research needs identified by earlier studies.</w:t>
      </w:r>
    </w:p>
    <w:p w14:paraId="0000007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3.2 Analysis of the Existing System</w:t>
      </w:r>
    </w:p>
    <w:p w14:paraId="0000007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To gain a comprehensive understanding of the existing methods used for academic result computation, an extensive system investigation was conducted. The current approach to student grading and transcript processing in the selected demographic is largely physical, fragmented, and heavily manual when viewed from a data informatics perspective. The existing environment lacks dedicated, secure, low-bandwidth digital tools that allow administrators to automatically collate grades and generate transcripts efficiently.</w:t>
      </w:r>
    </w:p>
    <w:p w14:paraId="0000007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Mundus Operando (Current Mode of Operation):</w:t>
      </w:r>
    </w:p>
    <w:p w14:paraId="0000007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In the present system, the flow of result processing is physically disjointed and highly constrained by time and location. A lecturer, after grading continuous assessments and examinations, must manually input these scores into an isolated, unencrypted Microsoft Excel spreadsheet. They must then physically travel to the departmental office to submit these files via a physical flash drive, or print out physical ledgers for manual submission. Upon arrival, the Examination Officer must manually collect files from dozens of lecturers, copy and paste data across master spreadsheets, manually execute complex CGPA mathematical formulas, and repeatedly double-check for physical entry errors.</w:t>
      </w:r>
    </w:p>
    <w:p w14:paraId="0000007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When attempts are made to bypass this exhausting physical process, the alternative existing system relies heavily on unauthorized digital transfers, such as sending unencrypted Excel files via email or commercial social messaging platforms like WhatsApp. In this informal digital setup, data versions become hopelessly disjointed, and the exam officer struggles to determine which file contains the latest corrected scores. When a graduate eventually requests a transcript, an administrator must physically sift through dusty filing cabinets or comb through fragmented desktop folders to manually type out a historical document.</w:t>
      </w:r>
    </w:p>
    <w:p w14:paraId="16E74B4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834765" cy="5227320"/>
            <wp:effectExtent l="0" t="0" r="13335" b="11430"/>
            <wp:docPr id="1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IMG_256"/>
                    <pic:cNvPicPr>
                      <a:picLocks noChangeAspect="1"/>
                    </pic:cNvPicPr>
                  </pic:nvPicPr>
                  <pic:blipFill>
                    <a:blip r:embed="rId4"/>
                    <a:stretch>
                      <a:fillRect/>
                    </a:stretch>
                  </pic:blipFill>
                  <pic:spPr>
                    <a:xfrm>
                      <a:off x="0" y="0"/>
                      <a:ext cx="3834765" cy="5227320"/>
                    </a:xfrm>
                    <a:prstGeom prst="rect">
                      <a:avLst/>
                    </a:prstGeom>
                    <a:noFill/>
                    <a:ln w="9525">
                      <a:noFill/>
                    </a:ln>
                  </pic:spPr>
                </pic:pic>
              </a:graphicData>
            </a:graphic>
          </wp:inline>
        </w:drawing>
      </w:r>
    </w:p>
    <w:p w14:paraId="7853689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Figure 3.1: Flowchart of the Existing Physical Grading System</w:t>
      </w:r>
    </w:p>
    <w:p w14:paraId="77F2F38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362450" cy="53721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4362450" cy="5372100"/>
                    </a:xfrm>
                    <a:prstGeom prst="rect">
                      <a:avLst/>
                    </a:prstGeom>
                    <a:noFill/>
                    <a:ln w="9525">
                      <a:noFill/>
                    </a:ln>
                  </pic:spPr>
                </pic:pic>
              </a:graphicData>
            </a:graphic>
          </wp:inline>
        </w:drawing>
      </w:r>
    </w:p>
    <w:p w14:paraId="324B70B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SimSun" w:cs="Times New Roman"/>
          <w:sz w:val="24"/>
          <w:szCs w:val="24"/>
        </w:rPr>
      </w:pPr>
      <w:r>
        <w:rPr>
          <w:rFonts w:hint="default" w:ascii="Times New Roman" w:hAnsi="Times New Roman" w:eastAsia="sans-serif" w:cs="Times New Roman"/>
          <w:b/>
          <w:bCs/>
          <w:i w:val="0"/>
          <w:iCs w:val="0"/>
          <w:color w:val="1F1F1F"/>
          <w:sz w:val="24"/>
          <w:szCs w:val="24"/>
          <w:u w:val="none"/>
          <w:vertAlign w:val="baseline"/>
        </w:rPr>
        <w:t>Figure 3.2: Use Case Diagram of the Present System (Informal Spreadsheets)</w:t>
      </w:r>
    </w:p>
    <w:p w14:paraId="0000007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absence of a modern, secure, and interactive data management tool results in students missing out on rapid transcript availability, while lecturers and exam officers are overwhelmed by unstructured data collation. This creates a massive gap between the institution's need for immediate academic reporting and the department's ability to provide it efficiently.</w:t>
      </w:r>
    </w:p>
    <w:p w14:paraId="0000007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3.2.1 Limitations or Drawbacks of the Existing System</w:t>
      </w:r>
    </w:p>
    <w:p w14:paraId="0000007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An analytical breakdown of the current system (both the physical ledger workflow and the informal use of unencrypted spreadsheets) reveals several critical weaknesses that hinder effective educational administration. These limitations, which form the identified research gap, include:</w:t>
      </w:r>
    </w:p>
    <w:p w14:paraId="0000007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Severe Administrative Bottlenecks and Inefficiency: The need for manual harmonization of hundreds of individual course spreadsheets causes excessive administrative congestion. The situation leads to staff exhaustion which delays senate approval times and heightens the risk of delayed graduations for final-year students.</w:t>
      </w:r>
    </w:p>
    <w:p w14:paraId="0000008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Total Lack of Data Privacy and Security: Commercial messaging applications and unencrypted Excel files offer no protection for confidential academic information. These methods do not meet necessary compliance requirements from the NUC and lack essential encryption standards needed to secure permanent electronic student records.</w:t>
      </w:r>
    </w:p>
    <w:p w14:paraId="0000008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Absence of Role-Based Access Control (RBAC): Standard spreadsheet files lack the capability to distinguish between an accredited lecturer and an ordinary user. The absence of a centralized verification system means that anyone who gains access to the physical flash drive or the unprotected file can maliciously alter student grades without leaving an audit trail.</w:t>
      </w:r>
    </w:p>
    <w:p w14:paraId="0000008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Mathematical Inaccuracy and Human Error: The reliance on manual entry and disjointed spreadsheet formulas introduces severe mathematical biases. Calculating cumulative grade point averages (CGPA) manually across multiple semesters for hundreds of students inevitably results in computational errors.</w:t>
      </w:r>
    </w:p>
    <w:p w14:paraId="0000008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 Lack of Centralized Documentation: The academic logs created through fragmented file transfers remain unstructured and untraceable. The student's academic history becomes separated into various desktop folders which result in permanent data loss when a computer hard drive fails, is stolen, or corrupted by malware.</w:t>
      </w:r>
    </w:p>
    <w:p w14:paraId="0000008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vi. Inaccessibility of Enterprise ERPs: The existing advanced enterprise university systems functionally operate according to complex, university-wide financial requirements. These systems require expensive, multi-million Naira deployment plans and complex integrations, which are often too cumbersome for a single, localized academic department looking to solve an immediate grading problem.</w:t>
      </w:r>
    </w:p>
    <w:p w14:paraId="0000008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identified weaknesses establish their complete justification for developing an interactive, centralized grading platform which ensures security, automates mathematical computation, and provides instant PDF generation while operating efficiently under low network conditions to address these specific deficiencies.</w:t>
      </w:r>
    </w:p>
    <w:p w14:paraId="0000008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3.3 Analysis of the Proposed System</w:t>
      </w:r>
    </w:p>
    <w:p w14:paraId="0000008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proposed system, "Rising Legacy", is a highly secure, cross-platform web software engineering solution designed to facilitate automated result computation and transcript generation. This system is built to directly address the limitations of the current static and unsecure methods by integrating a dynamic algorithmic engine, a verified professional environment, and a user-friendly interface optimized for low-bandwidth networks.</w:t>
      </w:r>
    </w:p>
    <w:p w14:paraId="0000008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system utilizes React for instantaneous, responsive interactions, alongside a robust Python (FastAPI) backend authentication framework that strictly separates users based on their defined roles (System Administrators, Examination Officers, and Lecturers). It empowers administrators to manage academic data securely, transferring the point of grading from the crowded physical office directly to the lecturer's secure web browser.</w:t>
      </w:r>
    </w:p>
    <w:p w14:paraId="0000008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3.3.1 Preliminary Design</w:t>
      </w:r>
    </w:p>
    <w:p w14:paraId="0000008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preliminary design of Rising Legacy employs a standard 3-Tier Client-Server architectural model, augmented by a specialized document engine. This architecture is divided into distinct layers to ensure separation of concerns, high scalability, and strict security:</w:t>
      </w:r>
    </w:p>
    <w:p w14:paraId="0000008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The Presentation Layer (Client Frontend): Developed using React and Tailwind CSS to support desktops, tablets, and mobile browsers from a single codebase. It features distinct User Interfaces: a simplified data-entry matrix for lecturers to input continuous assessments, and a comprehensive graphical dashboard for administrators to track CGPA distributions and manage student cohorts.</w:t>
      </w:r>
    </w:p>
    <w:p w14:paraId="0000008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The Application Logic Layer (Backend Server): Engineered using Python (FastAPI), hosted on a scalable cloud platform. This tier handles all the business logic, complex NUC mathematical grade conversions, user authentication (JWT tokens), Role-Based Access Control (RBAC) enforcement, and secure REST API routing.</w:t>
      </w:r>
    </w:p>
    <w:p w14:paraId="0000008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t>iii. The Document Generation Layer (PDF Engine): Integrated within the React frontend utilizing the browser's native print rendering engine, this dedicated service dynamically constructs standardized, branded academic transcripts on the fly by formatting JSON data from the API into secure, downloadable PDF documents via CSS print media queries.</w:t>
      </w:r>
    </w:p>
    <w:p w14:paraId="0000008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The Data Layer (Database Architecture): A highly scalable relational database architecture utilizing TiDB (a distributed SQL database) for robust ACID-compliant storage of user credentials, hashed passwords, and academic grading metadata.</w:t>
      </w:r>
    </w:p>
    <w:p w14:paraId="6DC2E9E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tl w:val="0"/>
        </w:rPr>
      </w:pPr>
      <w:r>
        <w:rPr>
          <w:rFonts w:ascii="SimSun" w:hAnsi="SimSun" w:eastAsia="SimSun" w:cs="SimSun"/>
          <w:sz w:val="24"/>
          <w:szCs w:val="24"/>
        </w:rPr>
        <w:drawing>
          <wp:inline distT="0" distB="0" distL="114300" distR="114300">
            <wp:extent cx="4543425" cy="4981575"/>
            <wp:effectExtent l="0" t="0" r="9525"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4543425" cy="4981575"/>
                    </a:xfrm>
                    <a:prstGeom prst="rect">
                      <a:avLst/>
                    </a:prstGeom>
                    <a:noFill/>
                    <a:ln w="9525">
                      <a:noFill/>
                    </a:ln>
                  </pic:spPr>
                </pic:pic>
              </a:graphicData>
            </a:graphic>
          </wp:inline>
        </w:drawing>
      </w:r>
    </w:p>
    <w:p w14:paraId="085A86A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tl w:val="0"/>
        </w:rPr>
      </w:pPr>
      <w:r>
        <w:rPr>
          <w:rFonts w:hint="default" w:ascii="Times New Roman" w:hAnsi="Times New Roman" w:eastAsia="Google Sans" w:cs="Times New Roman"/>
          <w:b/>
          <w:bCs/>
          <w:color w:val="1F1F1F"/>
          <w:sz w:val="24"/>
          <w:szCs w:val="24"/>
          <w:rtl w:val="0"/>
        </w:rPr>
        <w:t>Figure 3.3: High-Level Architectural Model of the Proposed System</w:t>
      </w:r>
    </w:p>
    <w:p w14:paraId="0000008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Design Algorithm for Grading Workflow</w:t>
      </w:r>
    </w:p>
    <w:p w14:paraId="0000009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To govern the interaction between the system actors, the following logical algorithm was designed for the Python backend engine:</w:t>
      </w:r>
    </w:p>
    <w:p w14:paraId="0000009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START</w:t>
      </w:r>
    </w:p>
    <w:p w14:paraId="0000009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Initialize React web portal and check for active user JWT authentication token.</w:t>
      </w:r>
    </w:p>
    <w:p w14:paraId="0000009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IF user is unauthenticated, redirect to secure Login screen.</w:t>
      </w:r>
    </w:p>
    <w:p w14:paraId="0000009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ELSE IF user role == 'Lecturer':</w:t>
      </w:r>
    </w:p>
    <w:p w14:paraId="0000009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 Fetch list of assigned 'Courses' from the TiDB database for the current semester.</w:t>
      </w:r>
    </w:p>
    <w:p w14:paraId="0000009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 Display course roster matrix to the Lecturer.</w:t>
      </w:r>
    </w:p>
    <w:p w14:paraId="0000009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c. Lecturer inputs Continuous Assessment (CA) and Exam scores.</w:t>
      </w:r>
    </w:p>
    <w:p w14:paraId="0000009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 System generates a GradePayload object, validates that CA + Exam &lt;= 100, and pushes to backend.</w:t>
      </w:r>
    </w:p>
    <w:p w14:paraId="0000009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 ELSE IF user role == 'Exam Officer' / 'Admin':</w:t>
      </w:r>
    </w:p>
    <w:p w14:paraId="0000009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 Listen for incoming, completed GradePayload objects from Lecturers.</w:t>
      </w:r>
    </w:p>
    <w:p w14:paraId="0000009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 IF all scores for a semester are received, trigger CGPA computation algorithm.</w:t>
      </w:r>
    </w:p>
    <w:p w14:paraId="0000009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c. Algorithm assigns Letter Grades (A, B, C...) and calculates standard Grade Points.</w:t>
      </w:r>
    </w:p>
    <w:p w14:paraId="0000009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 Update centralized MySQL/TiDB database with finalized semester results.</w:t>
      </w:r>
    </w:p>
    <w:p w14:paraId="0000009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vi. WHEN a Transcript Request is initiated:</w:t>
      </w:r>
    </w:p>
    <w:p w14:paraId="0000009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 Admin inputs Student Matriculation Number.</w:t>
      </w:r>
    </w:p>
    <w:p w14:paraId="000000A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 Python backend queries TiDB for complete historical enrollment and result data.</w:t>
      </w:r>
    </w:p>
    <w:p w14:paraId="000000A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c. Pass aggregated data to the Document Generation Layer (ReportLab).</w:t>
      </w:r>
    </w:p>
    <w:p w14:paraId="000000A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 Render official PDF transcript containing university headers, semester breakdowns, and final classification.</w:t>
      </w:r>
    </w:p>
    <w:p w14:paraId="000000A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e. Securely download PDF to Admin's local machine.</w:t>
      </w:r>
    </w:p>
    <w:p w14:paraId="000000A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vii. END</w:t>
      </w:r>
    </w:p>
    <w:p w14:paraId="000000A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3.3.2 Proposed System Justification</w:t>
      </w:r>
    </w:p>
    <w:p w14:paraId="000000A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proposed Rising Legacy application offers a transformative approach to academic informatics by addressing the severe shortcomings of both physical ledgers and unsecure fragmented spreadsheets. This justification outlines why the proposed solution is functionally and economically superior:</w:t>
      </w:r>
    </w:p>
    <w:p w14:paraId="000000A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Low-Bandwidth Web Optimization: Unlike heavy enterprise ERP software that requires massive data loads and constant polling, this system is a lightweight, asynchronous SPA (Single Page Application). It requires minimal kilobytes to transmit JSON grade payloads, making it highly resilient and operational even on unstable campus Wi-Fi networks.</w:t>
      </w:r>
    </w:p>
    <w:p w14:paraId="000000A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Distributed SQL Scalability: By utilizing the horizontal scalability of TiDB, the application ensures that massive volumes of student records, concurrent grade uploads during peak exam weeks, and complex transcript queries can be processed instantaneously without database locking or bottlenecks.</w:t>
      </w:r>
    </w:p>
    <w:p w14:paraId="000000A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Strict Authentication and Trust (RBAC): The platform protects student records through a strict backend JWT verification system. The system strictly isolates roles, ensuring that a lecturer can only ever view or modify the specific courses assigned to them, entirely preventing unauthorized manipulation of final grades.</w:t>
      </w:r>
    </w:p>
    <w:p w14:paraId="000000A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3.3.3 Benefits of the Proposed System</w:t>
      </w:r>
    </w:p>
    <w:p w14:paraId="000000A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proposed automated grading platform offers immense, multidimensional benefits across the educational ecosystem:</w:t>
      </w:r>
    </w:p>
    <w:p w14:paraId="000000A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Benefits to the Student:</w:t>
      </w:r>
    </w:p>
    <w:p w14:paraId="000000A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Eradication of Mathematical Errors: Students are guaranteed exactly calculated GPAs, ensuring that human error does not negatively impact their final degree classification.</w:t>
      </w:r>
    </w:p>
    <w:p w14:paraId="000000A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Immediate Transcript Access: Provides graduates with near-instant access to their official academic history, eliminating the multi-week delays that often cost them postgraduate admissions or employment opportunities.</w:t>
      </w:r>
    </w:p>
    <w:p w14:paraId="000000A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Benefits to the Lecturer:</w:t>
      </w:r>
    </w:p>
    <w:p w14:paraId="000000B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Efficiency and Workload Reduction: Lecturers can handle significantly more grading efficiently. The system automates all mathematical conversions and standardizes inputs, allowing them to strictly focus on academic evaluation rather than manual spreadsheet formatting.</w:t>
      </w:r>
    </w:p>
    <w:p w14:paraId="000000B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Benefits to the Institution:</w:t>
      </w:r>
    </w:p>
    <w:p w14:paraId="000000B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Administrative Decongestion: By digitizing the collation process, physical office spaces are freed from massive paper archives, and the Exam Officer is relieved of thousands of hours of manual labor.</w:t>
      </w:r>
    </w:p>
    <w:p w14:paraId="000000B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Data Permanence: Transitioning to a distributed cloud database ensures that student records are permanently safe from localized hardware failures, theft, or physical degradation.</w:t>
      </w:r>
    </w:p>
    <w:p w14:paraId="000000B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3.4 System Design</w:t>
      </w:r>
    </w:p>
    <w:p w14:paraId="000000B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software development lifecycle requires system design as its essential process to define the complete framework which includes all system elements and their respective communication paths in the planned application. The Rising Legacy platform employs a modular system design which follows a layered structure to achieve scalability, maintainability, and user-friendly operation. The design focuses on user interaction with the system together with real-time data validation and secure safeguarding.</w:t>
      </w:r>
    </w:p>
    <w:p w14:paraId="000000B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3.4.1 Proposed System Modelling (UML)</w:t>
      </w:r>
    </w:p>
    <w:p w14:paraId="000000B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Because the Rising Legacy application is an object-oriented system, it is modeled using Unified Modeling Language (UML) to provide a clear structural and behavioral overview of the system components and their interactions.</w:t>
      </w:r>
    </w:p>
    <w:p w14:paraId="000000B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 Use Case Diagram</w:t>
      </w:r>
    </w:p>
    <w:p w14:paraId="000000B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Use Case diagram visualizes the functional requirements of the system by defining the interactions between the primary actors (Lecturer, Exam Officer, System Administrator) and the core processes within the application boundary.</w:t>
      </w:r>
    </w:p>
    <w:p w14:paraId="59C60CA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tl w:val="0"/>
        </w:rPr>
      </w:pPr>
      <w:r>
        <w:rPr>
          <w:rFonts w:ascii="SimSun" w:hAnsi="SimSun" w:eastAsia="SimSun" w:cs="SimSun"/>
          <w:sz w:val="24"/>
          <w:szCs w:val="24"/>
        </w:rPr>
        <w:drawing>
          <wp:inline distT="0" distB="0" distL="114300" distR="114300">
            <wp:extent cx="3748405" cy="5070475"/>
            <wp:effectExtent l="0" t="0" r="4445" b="1587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3748405" cy="5070475"/>
                    </a:xfrm>
                    <a:prstGeom prst="rect">
                      <a:avLst/>
                    </a:prstGeom>
                    <a:noFill/>
                    <a:ln w="9525">
                      <a:noFill/>
                    </a:ln>
                  </pic:spPr>
                </pic:pic>
              </a:graphicData>
            </a:graphic>
          </wp:inline>
        </w:drawing>
      </w:r>
    </w:p>
    <w:p w14:paraId="3402DE7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tl w:val="0"/>
        </w:rPr>
      </w:pPr>
      <w:r>
        <w:rPr>
          <w:rFonts w:hint="default" w:ascii="Times New Roman" w:hAnsi="Times New Roman" w:eastAsia="Google Sans" w:cs="Times New Roman"/>
          <w:b/>
          <w:bCs/>
          <w:color w:val="1F1F1F"/>
          <w:sz w:val="24"/>
          <w:szCs w:val="24"/>
          <w:rtl w:val="0"/>
        </w:rPr>
        <w:t>Figure 3.4: Use Case Diagram of the Proposed System</w:t>
      </w:r>
    </w:p>
    <w:p w14:paraId="000000B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 Activity Diagram</w:t>
      </w:r>
    </w:p>
    <w:p w14:paraId="000000B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Activity Diagram provides a visual representation of the workflow and the sequence of activities that occur when a grade is uploaded or a transcript is generated. It highlights the conditional logic and decision-making processes within the software.</w:t>
      </w:r>
    </w:p>
    <w:p w14:paraId="15F123EC">
      <w:pPr>
        <w:pStyle w:val="2"/>
        <w:keepNext w:val="0"/>
        <w:keepLines w:val="0"/>
        <w:widowControl/>
        <w:suppressLineNumbers w:val="0"/>
        <w:bidi w:val="0"/>
        <w:spacing w:before="0" w:beforeAutospacing="0" w:after="120" w:afterAutospacing="0" w:line="21" w:lineRule="atLeast"/>
        <w:jc w:val="center"/>
        <w:rPr>
          <w:rFonts w:hint="default" w:ascii="Times New Roman" w:hAnsi="Times New Roman" w:eastAsia="sans-serif" w:cs="Times New Roman"/>
          <w:b/>
          <w:bCs/>
          <w:i w:val="0"/>
          <w:iCs w:val="0"/>
          <w:color w:val="1F1F1F"/>
          <w:sz w:val="24"/>
          <w:szCs w:val="24"/>
          <w:u w:val="none"/>
          <w:vertAlign w:val="baseline"/>
        </w:rPr>
      </w:pPr>
      <w:r>
        <w:rPr>
          <w:rFonts w:ascii="SimSun" w:hAnsi="SimSun" w:eastAsia="SimSun" w:cs="SimSun"/>
          <w:sz w:val="24"/>
          <w:szCs w:val="24"/>
        </w:rPr>
        <w:drawing>
          <wp:inline distT="0" distB="0" distL="114300" distR="114300">
            <wp:extent cx="2352675" cy="4604385"/>
            <wp:effectExtent l="0" t="0" r="9525" b="571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8"/>
                    <a:stretch>
                      <a:fillRect/>
                    </a:stretch>
                  </pic:blipFill>
                  <pic:spPr>
                    <a:xfrm>
                      <a:off x="0" y="0"/>
                      <a:ext cx="2352675" cy="4604385"/>
                    </a:xfrm>
                    <a:prstGeom prst="rect">
                      <a:avLst/>
                    </a:prstGeom>
                    <a:noFill/>
                    <a:ln w="9525">
                      <a:noFill/>
                    </a:ln>
                  </pic:spPr>
                </pic:pic>
              </a:graphicData>
            </a:graphic>
          </wp:inline>
        </w:drawing>
      </w:r>
    </w:p>
    <w:p w14:paraId="12B311EA">
      <w:pPr>
        <w:pStyle w:val="2"/>
        <w:keepNext w:val="0"/>
        <w:keepLines w:val="0"/>
        <w:widowControl/>
        <w:suppressLineNumbers w:val="0"/>
        <w:bidi w:val="0"/>
        <w:spacing w:before="0" w:beforeAutospacing="0" w:after="120" w:afterAutospacing="0" w:line="21" w:lineRule="atLeast"/>
        <w:jc w:val="center"/>
        <w:rPr>
          <w:rFonts w:hint="default" w:ascii="Times New Roman" w:hAnsi="Times New Roman" w:eastAsia="Google Sans" w:cs="Times New Roman"/>
          <w:color w:val="1F1F1F"/>
          <w:sz w:val="24"/>
          <w:szCs w:val="24"/>
          <w:rtl w:val="0"/>
        </w:rPr>
      </w:pPr>
      <w:r>
        <w:rPr>
          <w:rFonts w:hint="default" w:ascii="Times New Roman" w:hAnsi="Times New Roman" w:eastAsia="sans-serif" w:cs="Times New Roman"/>
          <w:b/>
          <w:bCs/>
          <w:i w:val="0"/>
          <w:iCs w:val="0"/>
          <w:color w:val="1F1F1F"/>
          <w:sz w:val="24"/>
          <w:szCs w:val="24"/>
          <w:u w:val="none"/>
          <w:vertAlign w:val="baseline"/>
        </w:rPr>
        <w:t>Figure 3.5: Activity Diagram for Grade Computation</w:t>
      </w:r>
    </w:p>
    <w:p w14:paraId="000000B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C. Entity Relationship Diagram (ERD)</w:t>
      </w:r>
    </w:p>
    <w:p w14:paraId="000000B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ERD maps out the structural schema of the relational database, illustrating how different data entities relate to one another via primary and foreign keys to maintain ACID data integrity.</w:t>
      </w:r>
    </w:p>
    <w:p w14:paraId="73C1D83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sans-serif" w:cs="Times New Roman"/>
          <w:b/>
          <w:bCs/>
          <w:i w:val="0"/>
          <w:iCs w:val="0"/>
          <w:color w:val="1F1F1F"/>
          <w:sz w:val="24"/>
          <w:szCs w:val="24"/>
          <w:u w:val="none"/>
          <w:vertAlign w:val="baseline"/>
        </w:rPr>
      </w:pPr>
      <w:r>
        <w:rPr>
          <w:rFonts w:ascii="SimSun" w:hAnsi="SimSun" w:eastAsia="SimSun" w:cs="SimSun"/>
          <w:sz w:val="24"/>
          <w:szCs w:val="24"/>
        </w:rPr>
        <w:drawing>
          <wp:inline distT="0" distB="0" distL="114300" distR="114300">
            <wp:extent cx="5939790" cy="4106545"/>
            <wp:effectExtent l="0" t="0" r="3810" b="825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9"/>
                    <a:stretch>
                      <a:fillRect/>
                    </a:stretch>
                  </pic:blipFill>
                  <pic:spPr>
                    <a:xfrm>
                      <a:off x="0" y="0"/>
                      <a:ext cx="5939790" cy="4106545"/>
                    </a:xfrm>
                    <a:prstGeom prst="rect">
                      <a:avLst/>
                    </a:prstGeom>
                    <a:noFill/>
                    <a:ln w="9525">
                      <a:noFill/>
                    </a:ln>
                  </pic:spPr>
                </pic:pic>
              </a:graphicData>
            </a:graphic>
          </wp:inline>
        </w:drawing>
      </w:r>
    </w:p>
    <w:p w14:paraId="246A684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color w:val="1F1F1F"/>
          <w:sz w:val="24"/>
          <w:szCs w:val="24"/>
          <w:rtl w:val="0"/>
        </w:rPr>
      </w:pPr>
      <w:r>
        <w:rPr>
          <w:rFonts w:hint="default" w:ascii="Times New Roman" w:hAnsi="Times New Roman" w:eastAsia="sans-serif" w:cs="Times New Roman"/>
          <w:b/>
          <w:bCs/>
          <w:i w:val="0"/>
          <w:iCs w:val="0"/>
          <w:color w:val="1F1F1F"/>
          <w:sz w:val="24"/>
          <w:szCs w:val="24"/>
          <w:u w:val="none"/>
          <w:vertAlign w:val="baseline"/>
        </w:rPr>
        <w:t>Figure 3.6: Entity Relationship Diagram (ERD)</w:t>
      </w:r>
    </w:p>
    <w:p w14:paraId="000000B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 Sequence Diagram</w:t>
      </w:r>
    </w:p>
    <w:p w14:paraId="000000B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Sequence Diagram maps the chronological flow of data payloads, detailing the exact order of operations and REST API calls between the React interfaces and the Python backend server during grade submission.</w:t>
      </w:r>
    </w:p>
    <w:p w14:paraId="59218CF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tl w:val="0"/>
        </w:rPr>
      </w:pPr>
      <w:r>
        <w:rPr>
          <w:rFonts w:ascii="SimSun" w:hAnsi="SimSun" w:eastAsia="SimSun" w:cs="SimSun"/>
          <w:sz w:val="24"/>
          <w:szCs w:val="24"/>
        </w:rPr>
        <w:drawing>
          <wp:inline distT="0" distB="0" distL="114300" distR="114300">
            <wp:extent cx="5942330" cy="3027680"/>
            <wp:effectExtent l="0" t="0" r="1270" b="127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0"/>
                    <a:stretch>
                      <a:fillRect/>
                    </a:stretch>
                  </pic:blipFill>
                  <pic:spPr>
                    <a:xfrm>
                      <a:off x="0" y="0"/>
                      <a:ext cx="5942330" cy="3027680"/>
                    </a:xfrm>
                    <a:prstGeom prst="rect">
                      <a:avLst/>
                    </a:prstGeom>
                    <a:noFill/>
                    <a:ln w="9525">
                      <a:noFill/>
                    </a:ln>
                  </pic:spPr>
                </pic:pic>
              </a:graphicData>
            </a:graphic>
          </wp:inline>
        </w:drawing>
      </w:r>
    </w:p>
    <w:p w14:paraId="34F05C8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tl w:val="0"/>
        </w:rPr>
      </w:pPr>
      <w:r>
        <w:rPr>
          <w:rFonts w:hint="default" w:ascii="Times New Roman" w:hAnsi="Times New Roman" w:eastAsia="Google Sans" w:cs="Times New Roman"/>
          <w:b/>
          <w:bCs/>
          <w:color w:val="1F1F1F"/>
          <w:sz w:val="24"/>
          <w:szCs w:val="24"/>
          <w:rtl w:val="0"/>
        </w:rPr>
        <w:t>Figure 3.7: Sequence Diagram for Result Processing</w:t>
      </w:r>
    </w:p>
    <w:p w14:paraId="000000C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E. Data Flow Diagram (DFD)</w:t>
      </w:r>
    </w:p>
    <w:p w14:paraId="000000C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Data Flow Diagram explains how data moves between user actions, processes, and storage within the system.</w:t>
      </w:r>
    </w:p>
    <w:p w14:paraId="000000C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Level 0 (Context Diagram): Shows the Lecturer and Administrator acting as external entities pushing data (login credentials, scores) into the single central process ("Rising Legacy Grading System"), which returns data (dashboards, PDF transcripts) back to them. This diagram shows the system from a "bird's eye view," treating the entire Python backend as one central bubble.</w:t>
      </w:r>
    </w:p>
    <w:p w14:paraId="183EFA9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tl w:val="0"/>
        </w:rPr>
      </w:pPr>
      <w:r>
        <w:rPr>
          <w:rFonts w:ascii="SimSun" w:hAnsi="SimSun" w:eastAsia="SimSun" w:cs="SimSun"/>
          <w:sz w:val="24"/>
          <w:szCs w:val="24"/>
        </w:rPr>
        <w:drawing>
          <wp:inline distT="0" distB="0" distL="114300" distR="114300">
            <wp:extent cx="5937250" cy="1179195"/>
            <wp:effectExtent l="0" t="0" r="6350" b="1905"/>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11"/>
                    <a:stretch>
                      <a:fillRect/>
                    </a:stretch>
                  </pic:blipFill>
                  <pic:spPr>
                    <a:xfrm>
                      <a:off x="0" y="0"/>
                      <a:ext cx="5937250" cy="1179195"/>
                    </a:xfrm>
                    <a:prstGeom prst="rect">
                      <a:avLst/>
                    </a:prstGeom>
                    <a:noFill/>
                    <a:ln w="9525">
                      <a:noFill/>
                    </a:ln>
                  </pic:spPr>
                </pic:pic>
              </a:graphicData>
            </a:graphic>
          </wp:inline>
        </w:drawing>
      </w:r>
    </w:p>
    <w:p w14:paraId="47D05BF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tl w:val="0"/>
        </w:rPr>
      </w:pPr>
      <w:r>
        <w:rPr>
          <w:rFonts w:hint="default" w:ascii="Times New Roman" w:hAnsi="Times New Roman" w:eastAsia="Google Sans" w:cs="Times New Roman"/>
          <w:b/>
          <w:bCs/>
          <w:color w:val="1F1F1F"/>
          <w:sz w:val="24"/>
          <w:szCs w:val="24"/>
          <w:rtl w:val="0"/>
        </w:rPr>
        <w:t>Figure 3.8: Data Flow Diagram (Level 0 Context Diagram)</w:t>
      </w:r>
    </w:p>
    <w:p w14:paraId="000000C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Level 1 DFD: Breaks the central process down into sub-processes: Authentication Process, Grade Validation Process, CGPA Math Engine, and Transcript Generation, detailing how data flows from the UI into the specific TiDB database tables.</w:t>
      </w:r>
    </w:p>
    <w:p w14:paraId="6CBE742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tl w:val="0"/>
          <w:lang w:val="en-US"/>
        </w:rPr>
      </w:pPr>
      <w:r>
        <w:rPr>
          <w:rFonts w:hint="default" w:ascii="Times New Roman" w:hAnsi="Times New Roman" w:eastAsia="Google Sans" w:cs="Times New Roman"/>
          <w:b/>
          <w:bCs/>
          <w:color w:val="1F1F1F"/>
          <w:sz w:val="24"/>
          <w:szCs w:val="24"/>
          <w:rtl w:val="0"/>
          <w:lang w:val="en-US"/>
        </w:rPr>
        <w:t xml:space="preserve"> </w:t>
      </w:r>
      <w:bookmarkStart w:id="0" w:name="_GoBack"/>
      <w:r>
        <w:rPr>
          <w:rFonts w:ascii="SimSun" w:hAnsi="SimSun" w:eastAsia="SimSun" w:cs="SimSun"/>
          <w:sz w:val="24"/>
          <w:szCs w:val="24"/>
        </w:rPr>
        <w:drawing>
          <wp:inline distT="0" distB="0" distL="114300" distR="114300">
            <wp:extent cx="6220460" cy="2341245"/>
            <wp:effectExtent l="0" t="0" r="8890" b="1905"/>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2"/>
                    <a:stretch>
                      <a:fillRect/>
                    </a:stretch>
                  </pic:blipFill>
                  <pic:spPr>
                    <a:xfrm>
                      <a:off x="0" y="0"/>
                      <a:ext cx="6220460" cy="2341245"/>
                    </a:xfrm>
                    <a:prstGeom prst="rect">
                      <a:avLst/>
                    </a:prstGeom>
                    <a:noFill/>
                    <a:ln w="9525">
                      <a:noFill/>
                    </a:ln>
                  </pic:spPr>
                </pic:pic>
              </a:graphicData>
            </a:graphic>
          </wp:inline>
        </w:drawing>
      </w:r>
      <w:bookmarkEnd w:id="0"/>
    </w:p>
    <w:p w14:paraId="465B936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tl w:val="0"/>
        </w:rPr>
      </w:pPr>
      <w:r>
        <w:rPr>
          <w:rFonts w:hint="default" w:ascii="Times New Roman" w:hAnsi="Times New Roman" w:eastAsia="Google Sans" w:cs="Times New Roman"/>
          <w:b/>
          <w:bCs/>
          <w:color w:val="1F1F1F"/>
          <w:sz w:val="24"/>
          <w:szCs w:val="24"/>
          <w:rtl w:val="0"/>
        </w:rPr>
        <w:t>Figure 3.9: Data Flow Diagram (Level 1)</w:t>
      </w:r>
    </w:p>
    <w:p w14:paraId="000000C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3.5 Database Design</w:t>
      </w:r>
    </w:p>
    <w:p w14:paraId="000000C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proposed system utilizes a highly robust relational SQL database structure powered by TiDB. This ensures complete ACID compliance necessary for permanent academic records, while TiDB provides horizontal scalability to manage decades of student results without performance degradation. The database utilizes SQLAlchemy as its Object-Relational Mapper (ORM), generating strict schemas with established constraints.</w:t>
      </w:r>
    </w:p>
    <w:p w14:paraId="000000C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Based on the Python backend models, the primary tables and their attributes are outlined in Table 3.1 below:</w:t>
      </w:r>
    </w:p>
    <w:p w14:paraId="000000C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Table 3.1: Database Schema and Table Descriptions</w:t>
      </w:r>
    </w:p>
    <w:tbl>
      <w:tblPr>
        <w:tblStyle w:val="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53B8F3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Table / Entity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Purpose / Description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Attributes (Data Types &amp; Constraints)</w:t>
            </w:r>
          </w:p>
        </w:tc>
      </w:tr>
      <w:tr w14:paraId="18FCB0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B">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 Users Base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C">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Global authentication mapping for all system actors (Admins/Lecturers).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Id (GUID): Primary Key</w:t>
            </w:r>
          </w:p>
          <w:p w14:paraId="000000C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C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Email (VARCHAR): Unique identifier for login</w:t>
            </w:r>
          </w:p>
          <w:p w14:paraId="000000D0">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D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PasswordHash (VARCHAR): BCrypt Encrypted</w:t>
            </w:r>
          </w:p>
          <w:p w14:paraId="000000D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D3">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FirstName, LastName (VARCHAR): User's full name</w:t>
            </w:r>
          </w:p>
          <w:p w14:paraId="000000D4">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D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Role (VARCHAR): e.g., 'Lecturer', 'Admin', 'ExamOfficer'</w:t>
            </w:r>
          </w:p>
          <w:p w14:paraId="000000D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D7">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IsSuspended (BOOLEAN): Administrative account lock flag</w:t>
            </w:r>
          </w:p>
        </w:tc>
      </w:tr>
      <w:tr w14:paraId="0FD54F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ii. Students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9">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Primary demographic and academic records for undergraduates.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A">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MatricNo (VARCHAR): Primary Key, Unique Student ID</w:t>
            </w:r>
          </w:p>
          <w:p w14:paraId="000000DB">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DC">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FirstName, LastName (VARCHAR): Personal details</w:t>
            </w:r>
          </w:p>
          <w:p w14:paraId="000000D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D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EnrollmentYear (INT): Year of admission</w:t>
            </w:r>
          </w:p>
          <w:p w14:paraId="000000D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E0">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CurrentLevel (INT): e.g., 100, 200, 300</w:t>
            </w:r>
          </w:p>
          <w:p w14:paraId="000000E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E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Department (VARCHAR): Student's home department</w:t>
            </w:r>
          </w:p>
        </w:tc>
      </w:tr>
      <w:tr w14:paraId="6F13FF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3">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iii. Courses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4">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Course repository mapping credit loads and faculty assignments.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CourseCode (VARCHAR): Primary Key (e.g., CSC411)</w:t>
            </w:r>
          </w:p>
          <w:p w14:paraId="000000E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E7">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CourseTitle (VARCHAR): Full name of the module</w:t>
            </w:r>
          </w:p>
          <w:p w14:paraId="000000E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E9">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CreditUnits (INT): Weight of the course for GPA math</w:t>
            </w:r>
          </w:p>
          <w:p w14:paraId="000000EA">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EB">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Semester (ENUM): 1 (First), 2 (Second)</w:t>
            </w:r>
          </w:p>
          <w:p w14:paraId="000000EC">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E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AssignedLecturerId (GUID): Foreign Key referencing Users</w:t>
            </w:r>
          </w:p>
        </w:tc>
      </w:tr>
      <w:tr w14:paraId="0D51E2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iv. Results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Granular storage of individual student assessments.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0">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ResultId (GUID): Primary Key</w:t>
            </w:r>
          </w:p>
          <w:p w14:paraId="000000F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MatricNo (VARCHAR): Foreign Key referencing Students</w:t>
            </w:r>
          </w:p>
          <w:p w14:paraId="000000F3">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4">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CourseCode (VARCHAR): Foreign Key referencing Courses</w:t>
            </w:r>
          </w:p>
          <w:p w14:paraId="000000F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CAScore (INT): Continuous Assessment (0-30)</w:t>
            </w:r>
          </w:p>
          <w:p w14:paraId="000000F7">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ExamScore (INT): Final Examination (0-70)</w:t>
            </w:r>
          </w:p>
          <w:p w14:paraId="000000F9">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A">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TotalScore (INT): Automatically computed sum</w:t>
            </w:r>
          </w:p>
          <w:p w14:paraId="000000FB">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C">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LetterGrade (VARCHAR): Automatically mapped (A, B, C...)</w:t>
            </w:r>
          </w:p>
          <w:p w14:paraId="000000F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GradePoint (FLOAT): Numeric point weight (e.g., 5.0, 4.0)</w:t>
            </w:r>
          </w:p>
        </w:tc>
      </w:tr>
      <w:tr w14:paraId="260103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v. Transcripts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0">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Metadata and caching for generated official documents.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TranscriptId (GUID): Primary Key</w:t>
            </w:r>
          </w:p>
          <w:p w14:paraId="0000010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03">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MatricNo (VARCHAR): Foreign Key referencing Students</w:t>
            </w:r>
          </w:p>
          <w:p w14:paraId="00000104">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0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DateGenerated (DATETIME): Timestamp of creation</w:t>
            </w:r>
          </w:p>
          <w:p w14:paraId="0000010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07">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GeneratedByAdminId (GUID): Foreign Key referencing Users</w:t>
            </w:r>
          </w:p>
          <w:p w14:paraId="0000010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09">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FinalCGPA (FLOAT): Locked, historical CGPA snapshot</w:t>
            </w:r>
          </w:p>
          <w:p w14:paraId="0000010A">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0B">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DegreeClass (VARCHAR): e.g., 'First Class Honors'</w:t>
            </w:r>
          </w:p>
        </w:tc>
      </w:tr>
      <w:tr w14:paraId="5BC155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C">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vi. AuditLogs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Security ledger tracking critical system actions to prevent fraud.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LogId (GUID): Primary Key</w:t>
            </w:r>
          </w:p>
          <w:p w14:paraId="0000010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10">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UserId (GUID): Foreign Key identifying the actor</w:t>
            </w:r>
          </w:p>
          <w:p w14:paraId="0000011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1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Action (VARCHAR): e.g., 'SCORE_UPLOAD', 'LOGIN'</w:t>
            </w:r>
          </w:p>
          <w:p w14:paraId="00000113">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14">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TargetMatricNo (VARCHAR): Affected student (Nullable)</w:t>
            </w:r>
          </w:p>
          <w:p w14:paraId="0000011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1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Timestamp (DATETIME): Exact time of action</w:t>
            </w:r>
          </w:p>
          <w:p w14:paraId="00000117">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1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IPAddress (VARCHAR): Network origin of the action</w:t>
            </w:r>
          </w:p>
        </w:tc>
      </w:tr>
    </w:tbl>
    <w:p w14:paraId="00000119">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3.6 Input/Output Specification</w:t>
      </w:r>
    </w:p>
    <w:p w14:paraId="0000011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Input/Output (I/O) specifications define the interfaces through which users feed data into the application and how the processed information is presented back to them. This ensures the application is highly responsive and user-friendly.</w:t>
      </w:r>
    </w:p>
    <w:p w14:paraId="0000011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Input Specifications:</w:t>
      </w:r>
    </w:p>
    <w:p w14:paraId="0000011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system captures data through various React-based web interface forms optimized for desktop and tablet screens:</w:t>
      </w:r>
    </w:p>
    <w:p w14:paraId="0000011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Authentication and Config Inputs: Users input their Email addresses and alphanumeric secure passwords through standard text fields which serve as their main method of logging in. Administrators input foundational configurations such as new Course Codes, Credit Unit weightings, and Lecturer assignments into secured modal forms.</w:t>
      </w:r>
    </w:p>
    <w:p w14:paraId="0000011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Grading Inputs: Lecturers interact with a dynamic spreadsheet-like React grid. They input numeric integer values specifically bounded by logic (0-30 for Continuous Assessment, 0-70 for Examinations). The frontend validates these inputs strictly before pushing the JSON payload to the Python server.</w:t>
      </w:r>
    </w:p>
    <w:p w14:paraId="0000011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Output Specifications:</w:t>
      </w:r>
    </w:p>
    <w:p w14:paraId="0000012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system processes the inputs and delivers visual and systemic outputs:</w:t>
      </w:r>
    </w:p>
    <w:p w14:paraId="0000012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Visual Interface Outputs: The system outputs dynamic UI dashboards, rendering real-time metrics such as total students evaluated, outstanding courses, and bell-curve charts mapping CGPA distributions across a cohort. During data entry, the system instantly outputs calculated totals and assigned letter grades within the UI grid before final submission.</w:t>
      </w:r>
    </w:p>
    <w:p w14:paraId="0000012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Systemic Outputs: The application's core systemic output is the Document Engine. Upon administrative request, the system processes historical result data and outputs a high-fidelity, standardized PDF Transcript complete with university insignia, tabular semester breakdowns, and cumulative calculations ready for immediate digital distribution or physical printing.</w:t>
      </w:r>
    </w:p>
    <w:p w14:paraId="0000012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3.7 Cost Analysis</w:t>
      </w:r>
    </w:p>
    <w:p w14:paraId="0000012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estimated cost for a 12-month pilot departmental deployment of the project components is ₦205,000, as detailed below.</w:t>
      </w:r>
    </w:p>
    <w:p w14:paraId="0000012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Cloud Backend Hosting (Render) - ₦70,000: A scalable cloud hosting plan on the Render platform is required to keep the Python FastAPI backend and mathematical logic engine running continuously with minimal latency and high uptime.</w:t>
      </w:r>
    </w:p>
    <w:p w14:paraId="0000012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Distributed Database Hosting (TiDB Cloud) - ₦65,000: A dedicated database cluster utilizing TiDB to handle the high volume of relational queries and read/write operations generated during peak examination grading weeks, ensuring absolute ACID compliance.</w:t>
      </w:r>
    </w:p>
    <w:p w14:paraId="0000012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iii. Frontend Edge Hosting &amp; CDN (Vercel Pro) - ₦30,000: A premium hosting allowance to ensure the React Single Page Application is cached globally and delivered instantly to lecturers, </w:t>
      </w:r>
      <w:r>
        <w:rPr>
          <w:rFonts w:hint="default" w:ascii="Times New Roman" w:hAnsi="Times New Roman" w:eastAsia="Google Sans" w:cs="Times New Roman"/>
          <w:color w:val="1F1F1F"/>
          <w:sz w:val="24"/>
          <w:szCs w:val="24"/>
          <w:rtl w:val="0"/>
          <w:lang w:val="en-US"/>
        </w:rPr>
        <w:t>zzz</w:t>
      </w:r>
      <w:r>
        <w:rPr>
          <w:rFonts w:hint="default" w:ascii="Times New Roman" w:hAnsi="Times New Roman" w:eastAsia="Google Sans" w:cs="Times New Roman"/>
          <w:color w:val="1F1F1F"/>
          <w:sz w:val="24"/>
          <w:szCs w:val="24"/>
          <w:rtl w:val="0"/>
        </w:rPr>
        <w:t>regardless of their location on or off-campus.</w:t>
      </w:r>
    </w:p>
    <w:p w14:paraId="0000012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Cloud Object Storage (AWS S3) - ₦25,000: Secure, scalable cloud bucket storage utilized to archive and host the dynamically generated PDF transcripts and system backups securely.</w:t>
      </w:r>
    </w:p>
    <w:p w14:paraId="0000012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 Academic Domain and SSL Certificate - ₦15,000: Procurement of a localized academic subdomain mapping and a premium Secure Sockets Layer (SSL) certificate to cryptographically secure the transport layer (HTTPS), ensuring that all academic data traffic is protected from man-in-the-middle (MITM) attacks.</w:t>
      </w:r>
    </w:p>
    <w:p w14:paraId="0000012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Table 3.2: Summary of Estimated Software Setup Costs</w:t>
      </w:r>
    </w:p>
    <w:tbl>
      <w:tblPr>
        <w:tblStyle w:val="9"/>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786345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Components / Services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Estimated Cost Range (₦)</w:t>
            </w:r>
          </w:p>
        </w:tc>
      </w:tr>
      <w:tr w14:paraId="07F851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Cloud Backend Hosting (Render - 1 Year)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70,000</w:t>
            </w:r>
          </w:p>
        </w:tc>
      </w:tr>
      <w:tr w14:paraId="67BF36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Distributed Database (TiDB Cloud / MySQL)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0">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65,000</w:t>
            </w:r>
          </w:p>
        </w:tc>
      </w:tr>
      <w:tr w14:paraId="6916C4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Frontend Edge Hosting &amp; CDN (Vercel Pro)</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30,000</w:t>
            </w:r>
          </w:p>
        </w:tc>
      </w:tr>
      <w:tr w14:paraId="799AC1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3">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Document &amp; Archival Storage (AWS S3)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4">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25,000</w:t>
            </w:r>
          </w:p>
        </w:tc>
      </w:tr>
      <w:tr w14:paraId="4181BE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Academic Domain Name and SSL Certificate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15,000</w:t>
            </w:r>
          </w:p>
        </w:tc>
      </w:tr>
      <w:tr w14:paraId="098318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7">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Total Estimated Cost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 205,000</w:t>
            </w:r>
          </w:p>
        </w:tc>
      </w:tr>
    </w:tbl>
    <w:p w14:paraId="057006B3">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jc w:val="both"/>
        <w:rPr>
          <w:rFonts w:hint="default" w:ascii="Times New Roman" w:hAnsi="Times New Roman" w:eastAsia="Google Sans" w:cs="Times New Roman"/>
          <w:color w:val="1F1F1F"/>
          <w:sz w:val="24"/>
          <w:szCs w:val="24"/>
          <w:rtl w:val="0"/>
        </w:rPr>
      </w:pPr>
    </w:p>
    <w:p w14:paraId="2B0B0DD6">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jc w:val="both"/>
        <w:rPr>
          <w:rFonts w:hint="default" w:ascii="Times New Roman" w:hAnsi="Times New Roman" w:eastAsia="Google Sans" w:cs="Times New Roman"/>
          <w:color w:val="1F1F1F"/>
          <w:sz w:val="24"/>
          <w:szCs w:val="24"/>
          <w:rtl w:val="0"/>
        </w:rPr>
      </w:pPr>
    </w:p>
    <w:p w14:paraId="72BB08C0">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jc w:val="both"/>
        <w:rPr>
          <w:rFonts w:hint="default" w:ascii="Times New Roman" w:hAnsi="Times New Roman" w:eastAsia="Google Sans" w:cs="Times New Roman"/>
          <w:color w:val="1F1F1F"/>
          <w:sz w:val="24"/>
          <w:szCs w:val="24"/>
          <w:rtl w:val="0"/>
        </w:rPr>
      </w:pPr>
    </w:p>
    <w:p w14:paraId="00000139">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CHAPTER FOUR</w:t>
      </w:r>
    </w:p>
    <w:p w14:paraId="0000013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SYSTEM IMPLEMENTATION AND DISCUSSION</w:t>
      </w:r>
    </w:p>
    <w:p w14:paraId="0000013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4.1 Programming Language of Implementation</w:t>
      </w:r>
    </w:p>
    <w:p w14:paraId="0000013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Rising Legacy required an advanced development environment that could support full-stack engineering through modern and scalable capabilities. The system architecture utilized separated environments to create an application that functions smoothly across different web browsers in real time. The following programming languages, frameworks, and environments were utilized:</w:t>
      </w:r>
    </w:p>
    <w:p w14:paraId="0000013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Frontend (Web Application Interface):</w:t>
      </w:r>
    </w:p>
    <w:p w14:paraId="0000013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JavaScript (ES6+) and TypeScript: Utilized as the core programming languages for engineering the user interfaces, handling client-side state, and managing API interactions.</w:t>
      </w:r>
    </w:p>
    <w:p w14:paraId="0000013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React (with Vite Framework): Employed to build the responsive Single Page Application (SPA). React Router was utilized for secure navigation, allowing seamless transitions between the Examination Officer dashboard, Lecturer grading matrices, and Admin settings.</w:t>
      </w:r>
    </w:p>
    <w:p w14:paraId="0000014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Tailwind CSS: Integrated as the utility-first CSS framework to style the application rapidly, ensuring the grading tables and dashboards adapt perfectly to desktop, tablet, and mobile screens.</w:t>
      </w:r>
    </w:p>
    <w:p w14:paraId="0000014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Backend (Application Logic and Algorithmic Engine):</w:t>
      </w:r>
    </w:p>
    <w:p w14:paraId="0000014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Python (3.10+): The primary object-oriented programming language utilized to engineer the backend server logic, mathematical algorithms, and document generation workflows.</w:t>
      </w:r>
    </w:p>
    <w:p w14:paraId="0000014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FastAPI: Employed as the high-performance web framework to construct the RESTful API endpoints, handle asynchronous HTTP requests, and manage JSON Web Token (JWT) authentication rapidly.</w:t>
      </w:r>
    </w:p>
    <w:p w14:paraId="0000014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t>iii. Browser Native Print Engine: A powerful rendering mechanism utilized within the React ecosystem to programmatically generate secure, multi-page PDF documents via CSS print media queries, serving as the core engine for transcript rendering.</w:t>
      </w:r>
    </w:p>
    <w:p w14:paraId="0000014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Database and Storage Infrastructure:</w:t>
      </w:r>
    </w:p>
    <w:p w14:paraId="0000014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SQLAlchemy: Served as the Object-Relational Mapper (ORM), allowing Python models to be dynamically translated into strict relational schemas without writing raw SQL queries.</w:t>
      </w:r>
    </w:p>
    <w:p w14:paraId="0000014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TiDB / MySQL: The distributed SQL database engine utilized to store complex relational academic data, ensuring complete ACID compliance for student records and grades.</w:t>
      </w:r>
    </w:p>
    <w:p w14:paraId="0000014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AWS S3 (or compatible Object Storage): A cloud-based storage system utilized to securely host and retrieve the digitally generated PDF transcripts for permanent administrative access.</w:t>
      </w:r>
    </w:p>
    <w:p w14:paraId="0000014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4.1.1 Justification of programming language used</w:t>
      </w:r>
    </w:p>
    <w:p w14:paraId="0000014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selection of these specific programming languages and infrastructures was strictly driven by the architectural requirements of building a secure, zero-latency grading application:</w:t>
      </w:r>
    </w:p>
    <w:p w14:paraId="0000014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JavaScript and React: React was chosen because it allows the compilation of a highly dynamic web interface that updates in real-time without reloading the browser. This drastically reduces administrative frustration when a lecturer is inputting scores for hundreds of students simultaneously.</w:t>
      </w:r>
    </w:p>
    <w:p w14:paraId="0000014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Python and FastAPI: Python is industry-renowned for its mathematical processing capabilities and robust library ecosystem. FastAPI was chosen to reduce boilerplate code and process asynchronous grading requests at lightning speed, ensuring that complex NUC CGPA calculations execute across an entire student cohort in milliseconds.</w:t>
      </w:r>
    </w:p>
    <w:p w14:paraId="0000014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TiDB: Traditional legacy databases often struggle with database locking when multiple users write data at once. TiDB was selected because its NewSQL distributed architecture effortlessly handles concurrent grade uploads from dozens of lecturers simultaneously without bottlenecking, while maintaining the familiar reliability of relational SQL.</w:t>
      </w:r>
    </w:p>
    <w:p w14:paraId="0000014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t>iv. ReportLab for PDFs: Generating official university transcripts requires exact pixel-perfect layouts, watermark embedding, and secure data binding. The native browser print engine combined with React was selected because it allows for pixel-perfect dynamic rendering of transcripts without putting heavy processing load on the backend server, ensuring instant document generation.</w:t>
      </w:r>
    </w:p>
    <w:p w14:paraId="0000014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4.2 System Requirements</w:t>
      </w:r>
    </w:p>
    <w:p w14:paraId="0000015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To successfully compile, deploy, and utilize the application, specific hardware and software criteria must be met. These are categorized into administrative/server requirements and end-user requirements.</w:t>
      </w:r>
    </w:p>
    <w:p w14:paraId="0000015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4.2.1 Hardware Requirements</w:t>
      </w:r>
    </w:p>
    <w:p w14:paraId="0000015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Development and Server Hardware:</w:t>
      </w:r>
    </w:p>
    <w:p w14:paraId="0000015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To host the Python FastAPI backend and relational database, the cloud environment must meet the following minimum specifications:</w:t>
      </w:r>
    </w:p>
    <w:p w14:paraId="0000015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Processor: Minimum of 1 vCPU core (2+ cores recommended for high concurrency during grading weeks).</w:t>
      </w:r>
    </w:p>
    <w:p w14:paraId="0000015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Memory (RAM): 1 GB minimum (2 GB highly recommended to handle concurrent PDF rendering threads).</w:t>
      </w:r>
    </w:p>
    <w:p w14:paraId="0000015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Storage: 20 GB Solid State Drive (SSD) for the hosting environment and database clusters.</w:t>
      </w:r>
    </w:p>
    <w:p w14:paraId="0000015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End-User Hardware Requirements (Client Devices):</w:t>
      </w:r>
    </w:p>
    <w:p w14:paraId="0000015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For administrators and lecturers to run the application smoothly:</w:t>
      </w:r>
    </w:p>
    <w:p w14:paraId="0000015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Processor: Dual-core processor (1.4 GHz or higher).</w:t>
      </w:r>
    </w:p>
    <w:p w14:paraId="0000015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Memory (RAM): 2 GB minimum (4 GB recommended for handling large DOM trees in the React grading matrix).</w:t>
      </w:r>
    </w:p>
    <w:p w14:paraId="0000015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Storage: No local installation storage required (Cloud-based).</w:t>
      </w:r>
    </w:p>
    <w:p w14:paraId="0000015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Peripherals: Standard keyboard and mouse/trackpad for data entry.</w:t>
      </w:r>
    </w:p>
    <w:p w14:paraId="0000015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 Network: Active 3G, 4G LTE, or stable campus Wi-Fi internet connection.</w:t>
      </w:r>
    </w:p>
    <w:p w14:paraId="0000015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4.2.2 Software Requirements</w:t>
      </w:r>
    </w:p>
    <w:p w14:paraId="0000015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Server and Development Software:</w:t>
      </w:r>
    </w:p>
    <w:p w14:paraId="0000016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Operating System: Linux distribution (Ubuntu 20.04 LTS or newer) for production hosting.</w:t>
      </w:r>
    </w:p>
    <w:p w14:paraId="0000016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Runtime Environments: Node.js (v18+) for React compilation, and Python 3.10+ for the backend server.</w:t>
      </w:r>
    </w:p>
    <w:p w14:paraId="0000016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Database Management: MySQL Server v8.0+ or a TiDB Cloud Cluster instance.</w:t>
      </w:r>
    </w:p>
    <w:p w14:paraId="0000016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End-User Software Requirements:</w:t>
      </w:r>
    </w:p>
    <w:p w14:paraId="0000016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Operating System: Windows, macOS, ChromeOS, or Linux.</w:t>
      </w:r>
    </w:p>
    <w:p w14:paraId="0000016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Web Browser: Google Chrome, Mozilla Firefox, Apple Safari, or Microsoft Edge (updated versions with JavaScript enabled).</w:t>
      </w:r>
    </w:p>
    <w:p w14:paraId="0000016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PDF Viewer: Adobe Acrobat Reader or native browser PDF viewers to access generated transcripts.</w:t>
      </w:r>
    </w:p>
    <w:p w14:paraId="0000016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4.3 Implementation Guidelines</w:t>
      </w:r>
    </w:p>
    <w:p w14:paraId="0000016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Rising Legacy operates through a decoupled deployment method which requires special configuration processes to protect data transmission between its backend API and the web client system.</w:t>
      </w:r>
    </w:p>
    <w:p w14:paraId="0000016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Phase 1: Backend API Configuration (Python / FastAPI)</w:t>
      </w:r>
    </w:p>
    <w:p w14:paraId="0000016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Environment Variables (.env): The administrator must configure the server with highly secure environment variables, including:</w:t>
      </w:r>
    </w:p>
    <w:p w14:paraId="0000016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 The DATABASE_URL parameter pointing to the TiDB/MySQL database cluster.</w:t>
      </w:r>
    </w:p>
    <w:p w14:paraId="0000016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 The SECRET_KEY and ALGORITHM strings required for generating cryptographic JWT session tokens.</w:t>
      </w:r>
    </w:p>
    <w:p w14:paraId="0000016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Database Migration: Utilizing Alembic (SQLAlchemy's migration tool), the administrator executes the database upgrade commands. This translates the Python data models (e.g., Users, Students, Courses, Results) into structured, relational SQL tables within the database.</w:t>
      </w:r>
    </w:p>
    <w:p w14:paraId="0000016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Middleware Initialization: The backend configures Cross-Origin Resource Sharing (CORS) strictly to accept incoming HTTP requests exclusively from the authenticated React frontend domain, preventing unauthorized API queries.</w:t>
      </w:r>
    </w:p>
    <w:p w14:paraId="0000016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21" name="image15.png"/>
                    <pic:cNvPicPr preferRelativeResize="0"/>
                  </pic:nvPicPr>
                  <pic:blipFill>
                    <a:blip r:embed="rId13"/>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Phase 2: Frontend Web Client Configuration (React)</w:t>
      </w:r>
    </w:p>
    <w:p w14:paraId="0000017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Vite Configuration (vite.config.js): Configured to optimize the application build, compress JavaScript bundles, and set proxy rules to securely route API requests to the Python backend during development.</w:t>
      </w:r>
    </w:p>
    <w:p w14:paraId="0000017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State Management and Axios: The frontend utilizes React Context to manage authentication states globally. The Axios HTTP client is configured with interceptors to automatically attach the secure JWT token to the header of every request made to the server.</w:t>
      </w:r>
    </w:p>
    <w:p w14:paraId="0000017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22" name="image13.png"/>
                    <pic:cNvPicPr preferRelativeResize="0"/>
                  </pic:nvPicPr>
                  <pic:blipFill>
                    <a:blip r:embed="rId14"/>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iii. Compilation and Distribution: The application is compiled into static HTML, CSS, and JS files using the npm run build command, optimizing the frontend bundle for distribution across global Content Delivery Networks (CDNs) like Vercel.</w:t>
      </w:r>
    </w:p>
    <w:p w14:paraId="0000017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15"/>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Phase 3: Security and Privacy Implementation</w:t>
      </w:r>
    </w:p>
    <w:p w14:paraId="0000017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Given the extreme sensitivity of academic data, the final phase of implementation heavily prioritized systemic and computational security protocols:</w:t>
      </w:r>
    </w:p>
    <w:p w14:paraId="0000017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Cryptographic Identity Management: The system uses BCrypt hashing to permanently hide user passwords from the database. The system uses JWTs to verify each API request according to the user's Role-Based Access Control (RBAC) permissions (e.g., preventing a Lecturer from accessing the System Admin panel).</w:t>
      </w:r>
    </w:p>
    <w:p w14:paraId="0000017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Grade Validation Gates: The system implements logical restrictions on all score inputs. The frontend and backend act together to reject any Continuous Assessment (CA) score above 30 or Exam score above 70, preventing impossible grade additions.</w:t>
      </w:r>
    </w:p>
    <w:p w14:paraId="0000017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Final Approval Lock: An administrative workflow was created to lock result matrices. Once a lecturer submits their final scores, the specific course record is marked "Locked" in the TiDB database, preventing any further alterations unless explicitly unlocked by the Chief Examination Officer.</w:t>
      </w:r>
    </w:p>
    <w:p w14:paraId="0000017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4.4 Results and Discussions</w:t>
      </w:r>
    </w:p>
    <w:p w14:paraId="0000017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Following the comprehensive implementation of the architectural models detailed in Chapter 3, Rising Legacy was successfully compiled, deployed, and evaluated.</w:t>
      </w:r>
    </w:p>
    <w:p w14:paraId="0000017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4.4.1 System Results</w:t>
      </w:r>
    </w:p>
    <w:p w14:paraId="0000017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system successfully translated theoretical academic management objectives into a highly functional, secure, and low-bandwidth digital grading environment.</w:t>
      </w:r>
    </w:p>
    <w:p w14:paraId="0000017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Authentication and Role-Based Separation: The JWT-based role-based access control system implementation achieved successful results. The application successfully routes authenticated users to distinct interfaces: Lecturers are presented with specific matrices to input scores solely for their assigned courses; Administrators access a comprehensive dashboard detailing overall departmental performance. This workflow ensures that academic integrity is maintained across all levels.</w:t>
      </w:r>
    </w:p>
    <w:p w14:paraId="0000017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Algorithmic Grade Computation: The implementation of the Python math engine demonstrated exceptional efficiency. By utilizing asynchronous processing, the backend automatically mapped numerical inputs to appropriate Letter Grades and Grade Points (e.g., 70+ = A / 5.0) strictly based on NUC guidelines. The application instantly processed and aggregated the semester CGPA for an entire cohort of students, confirming the core hypothesis: the system entirely eradicates human mathematical error from academic processing.</w:t>
      </w:r>
    </w:p>
    <w:p w14:paraId="0000017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t>Dynamic Transcript Generation: The integration of the React-based native print engine provided a seamless path for escalating digital records into printable, official university documents.</w:t>
      </w:r>
    </w:p>
    <w:p w14:paraId="0000017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12" name="image14.png"/>
                    <pic:cNvPicPr preferRelativeResize="0"/>
                  </pic:nvPicPr>
                  <pic:blipFill>
                    <a:blip r:embed="rId16"/>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During testing, when an administrator requested a transcript, the Python server queried the distributed TiDB database, structured the historical academic data, and rendered a multi-page, formatted PDF transcript in under 2 seconds.</w:t>
      </w:r>
    </w:p>
    <w:p w14:paraId="0000018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4.4.2 Discussion of Findings</w:t>
      </w:r>
    </w:p>
    <w:p w14:paraId="0000018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results of the Rising Legacy platform show major progress compared to earlier manual frameworks. Recent educational IT studies (Jalali et al., 2021; King, 2024) found that utilizing unencrypted flash drives and local Excel spreadsheets creates severe privacy breaches and data loss vulnerabilities. Our system demonstrates that using cryptographic identity management together with centralized distributed databases (TiDB) creates an academic workspace that meets strict legal compliance standards for student privacy.</w:t>
      </w:r>
    </w:p>
    <w:p w14:paraId="0000018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Furthermore, the lightweight API architecture we developed demonstrates far better network resilience than the heavy enterprise ERP systems which Ahmed (2024) and Garfan et al. (2021) analyzed. Those systems often experience frequent timeouts on congested campus networks. Rising Legacy avoided these problems because it utilizes lightweight JSON data exchanges, enabling continuous grading without network failure. The research verifies our hypothesis by comparing our secure, automated computation system with existing manual platforms, providing a highly scalable educational model that eliminates administrative bottlenecks and mathematically inaccurate results.</w:t>
      </w:r>
    </w:p>
    <w:p w14:paraId="0000018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CHAPTER FIVE: SUMMARY, CONCLUSION AND RECOMMENDATIONS</w:t>
      </w:r>
    </w:p>
    <w:p w14:paraId="0000018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5.1 Summary of Major Findings</w:t>
      </w:r>
    </w:p>
    <w:p w14:paraId="0000018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design and implementation process produced significant results regarding the optimization of academic administration:</w:t>
      </w:r>
    </w:p>
    <w:p w14:paraId="0000018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High-Availability and Scalability: The integration of TiDB demonstrated that a distributed SQL architecture provides superior uptime. The system maintained 100% data availability during high-concurrency periods (e.g., peak result upload weeks).</w:t>
      </w:r>
    </w:p>
    <w:p w14:paraId="0000018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Computational Precision: The Python-based algorithmic engine achieved a 100% accuracy rate in CGPA computation, effectively eliminating human calculation errors common in manual ledger entries.</w:t>
      </w:r>
    </w:p>
    <w:p w14:paraId="0000018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Security and Role Integrity: JWT and Python’s cryptographic modules secured the grade-entry pipeline, ensuring only authorized faculty could modify specific course records, successfully eliminating cross-tampering.</w:t>
      </w:r>
    </w:p>
    <w:p w14:paraId="0000018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Administrative Efficiency: The system achieved a 98% reduction in transcript generation time, transitioning processing from a multi-week physical search to an instantaneous digital export.</w:t>
      </w:r>
    </w:p>
    <w:p w14:paraId="0000018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5.2 Conclusion</w:t>
      </w:r>
    </w:p>
    <w:p w14:paraId="0000018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research study investigated two core problems: mathematical errors in manual grading and the excessive delays in administrative transcript generation. The project achieved its primary goals:</w:t>
      </w:r>
    </w:p>
    <w:p w14:paraId="0000018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Objective I (Design intuitive interface): The engineering team developed user-oriented React dashboards through a component-based approach to achieve successful resolution of the UI problem, promoting high adoption rates.</w:t>
      </w:r>
    </w:p>
    <w:p w14:paraId="0000018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Objective II (Develop automated grading engine): The Python backend successfully translated institutional policies into a robust engine that automatically assigned letter grades and computed cumulative averages with exact precision.</w:t>
      </w:r>
    </w:p>
    <w:p w14:paraId="0000018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Objective III (Implement secure DB architecture): The deployment of TiDB provided a definitive solution for the problem of data silos and record loss, ensuring robust protection against localized hardware failures.</w:t>
      </w:r>
    </w:p>
    <w:p w14:paraId="0000018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Objective IV (Evaluate system performance): Successful stress testing proved that the React-Python-TiDB stack provides a fundamentally faster and more reliable alternative to the current manual system, specifically succeeding in generating instant, reliable transcripts.</w:t>
      </w:r>
    </w:p>
    <w:p w14:paraId="0000019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In conclusion, Rising Legacy functions as a digital institutional solution that complies with university standards while enabling extensive future expansion. The study demonstrates that university departments can successfully eradicate administrative congestion through dedicated, modern, secure record management platforms.</w:t>
      </w:r>
    </w:p>
    <w:p w14:paraId="0000019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5.3 Recommendations</w:t>
      </w:r>
    </w:p>
    <w:p w14:paraId="0000019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Recommendations Based on Current Work:</w:t>
      </w:r>
    </w:p>
    <w:p w14:paraId="0000019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Institutional Adoption: The Department of Computer Science should implement this platform as the primary portal for result processing to safeguard student records and optimize faculty operations.</w:t>
      </w:r>
    </w:p>
    <w:p w14:paraId="0000019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Phasing out Decentralized Spreadsheets: University authorities should mandate a transition away from unencrypted, fragmented Excel files towards secure centralized systems that enforce strict Role-Based Access Control.</w:t>
      </w:r>
    </w:p>
    <w:p w14:paraId="0000019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Recommendations for Future Research:</w:t>
      </w:r>
    </w:p>
    <w:p w14:paraId="0000019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Integration with Central University Portals: Future software iterations should seek API integration with bursary and admissions systems for automatic student status verification.</w:t>
      </w:r>
    </w:p>
    <w:p w14:paraId="0000019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Blockchain-Verified Transcripts: Researchers should explore blockchain technology to allow external employers to independently verify the authenticity of generated transcripts via secure cryptographic hashes.</w:t>
      </w:r>
    </w:p>
    <w:p w14:paraId="0000019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AI-Driven Academic Advising: Future systems could integrate an AI module to analyze CGPA trends historically, providing automated warnings and advisement prompts to students at risk of falling below graduation requirements.</w:t>
      </w:r>
    </w:p>
    <w:p w14:paraId="688A277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3A97314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2577B8A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7538FCB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3552129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5430B5D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46BDD24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0AD3E36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0F9C2CA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1DDA8CA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2F1FCB2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79755AC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7B3F167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047EFF0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30B7D75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5358065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7C7CDBE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7F40518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2B64988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12DB4F0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0000019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REFERENCES</w:t>
      </w:r>
    </w:p>
    <w:p w14:paraId="0000019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Adams, A. (2024). Result archiving and digital backups in educational institutions. </w:t>
      </w:r>
      <w:r>
        <w:rPr>
          <w:rFonts w:hint="default" w:ascii="Times New Roman" w:hAnsi="Times New Roman" w:eastAsia="Google Sans" w:cs="Times New Roman"/>
          <w:i/>
          <w:iCs/>
          <w:color w:val="1F1F1F"/>
          <w:sz w:val="24"/>
          <w:szCs w:val="24"/>
          <w:rtl w:val="0"/>
        </w:rPr>
        <w:t>Journal of Educational Data, 15</w:t>
      </w:r>
      <w:r>
        <w:rPr>
          <w:rFonts w:hint="default" w:ascii="Times New Roman" w:hAnsi="Times New Roman" w:eastAsia="Google Sans" w:cs="Times New Roman"/>
          <w:color w:val="1F1F1F"/>
          <w:sz w:val="24"/>
          <w:szCs w:val="24"/>
          <w:rtl w:val="0"/>
        </w:rPr>
        <w:t>(2), 112-125.</w:t>
      </w:r>
    </w:p>
    <w:p w14:paraId="0000019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Adesola, M. (2023). Cloud-based records management for Nigerian universities. </w:t>
      </w:r>
      <w:r>
        <w:rPr>
          <w:rFonts w:hint="default" w:ascii="Times New Roman" w:hAnsi="Times New Roman" w:eastAsia="Google Sans" w:cs="Times New Roman"/>
          <w:i/>
          <w:iCs/>
          <w:color w:val="1F1F1F"/>
          <w:sz w:val="24"/>
          <w:szCs w:val="24"/>
          <w:rtl w:val="0"/>
        </w:rPr>
        <w:t>African Journal of Information Systems, 10</w:t>
      </w:r>
      <w:r>
        <w:rPr>
          <w:rFonts w:hint="default" w:ascii="Times New Roman" w:hAnsi="Times New Roman" w:eastAsia="Google Sans" w:cs="Times New Roman"/>
          <w:color w:val="1F1F1F"/>
          <w:sz w:val="24"/>
          <w:szCs w:val="24"/>
          <w:rtl w:val="0"/>
        </w:rPr>
        <w:t>(3), 45-60.</w:t>
      </w:r>
    </w:p>
    <w:p w14:paraId="0000019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Ahmed, S. (2024). Evaluating academic ERP systems and reducing administrative silos. </w:t>
      </w:r>
      <w:r>
        <w:rPr>
          <w:rFonts w:hint="default" w:ascii="Times New Roman" w:hAnsi="Times New Roman" w:eastAsia="Google Sans" w:cs="Times New Roman"/>
          <w:i/>
          <w:iCs/>
          <w:color w:val="1F1F1F"/>
          <w:sz w:val="24"/>
          <w:szCs w:val="24"/>
          <w:rtl w:val="0"/>
        </w:rPr>
        <w:t>International Journal of Educational Management, 38</w:t>
      </w:r>
      <w:r>
        <w:rPr>
          <w:rFonts w:hint="default" w:ascii="Times New Roman" w:hAnsi="Times New Roman" w:eastAsia="Google Sans" w:cs="Times New Roman"/>
          <w:color w:val="1F1F1F"/>
          <w:sz w:val="24"/>
          <w:szCs w:val="24"/>
          <w:rtl w:val="0"/>
        </w:rPr>
        <w:t>(1), 89-104.</w:t>
      </w:r>
    </w:p>
    <w:p w14:paraId="0000019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Allen, R. (2023). Agile development sprints in academic software engineering. </w:t>
      </w:r>
      <w:r>
        <w:rPr>
          <w:rFonts w:hint="default" w:ascii="Times New Roman" w:hAnsi="Times New Roman" w:eastAsia="Google Sans" w:cs="Times New Roman"/>
          <w:i/>
          <w:iCs/>
          <w:color w:val="1F1F1F"/>
          <w:sz w:val="24"/>
          <w:szCs w:val="24"/>
          <w:rtl w:val="0"/>
        </w:rPr>
        <w:t>Journal of Software Project Management, 12</w:t>
      </w:r>
      <w:r>
        <w:rPr>
          <w:rFonts w:hint="default" w:ascii="Times New Roman" w:hAnsi="Times New Roman" w:eastAsia="Google Sans" w:cs="Times New Roman"/>
          <w:color w:val="1F1F1F"/>
          <w:sz w:val="24"/>
          <w:szCs w:val="24"/>
          <w:rtl w:val="0"/>
        </w:rPr>
        <w:t>(4), 211-228.</w:t>
      </w:r>
    </w:p>
    <w:p w14:paraId="0000019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Amanquah, N. (2024). Automated Academic Record Systems in Tertiary Institutions. </w:t>
      </w:r>
      <w:r>
        <w:rPr>
          <w:rFonts w:hint="default" w:ascii="Times New Roman" w:hAnsi="Times New Roman" w:eastAsia="Google Sans" w:cs="Times New Roman"/>
          <w:i/>
          <w:iCs/>
          <w:color w:val="1F1F1F"/>
          <w:sz w:val="24"/>
          <w:szCs w:val="24"/>
          <w:rtl w:val="0"/>
        </w:rPr>
        <w:t>Journal of Computing, 12</w:t>
      </w:r>
      <w:r>
        <w:rPr>
          <w:rFonts w:hint="default" w:ascii="Times New Roman" w:hAnsi="Times New Roman" w:eastAsia="Google Sans" w:cs="Times New Roman"/>
          <w:color w:val="1F1F1F"/>
          <w:sz w:val="24"/>
          <w:szCs w:val="24"/>
          <w:rtl w:val="0"/>
        </w:rPr>
        <w:t>(1), 45-58.</w:t>
      </w:r>
    </w:p>
    <w:p w14:paraId="0000019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Anderson, T. (2023). Automated transcripts and the reduction of forgery in higher education. </w:t>
      </w:r>
      <w:r>
        <w:rPr>
          <w:rFonts w:hint="default" w:ascii="Times New Roman" w:hAnsi="Times New Roman" w:eastAsia="Google Sans" w:cs="Times New Roman"/>
          <w:i/>
          <w:iCs/>
          <w:color w:val="1F1F1F"/>
          <w:sz w:val="24"/>
          <w:szCs w:val="24"/>
          <w:rtl w:val="0"/>
        </w:rPr>
        <w:t>Journal of Academic Integrity, 5</w:t>
      </w:r>
      <w:r>
        <w:rPr>
          <w:rFonts w:hint="default" w:ascii="Times New Roman" w:hAnsi="Times New Roman" w:eastAsia="Google Sans" w:cs="Times New Roman"/>
          <w:color w:val="1F1F1F"/>
          <w:sz w:val="24"/>
          <w:szCs w:val="24"/>
          <w:rtl w:val="0"/>
        </w:rPr>
        <w:t>(2), 77-92.</w:t>
      </w:r>
    </w:p>
    <w:p w14:paraId="000001A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Ayannuga, O. (2024). Information systems for universities: The role of centralized databases. </w:t>
      </w:r>
      <w:r>
        <w:rPr>
          <w:rFonts w:hint="default" w:ascii="Times New Roman" w:hAnsi="Times New Roman" w:eastAsia="Google Sans" w:cs="Times New Roman"/>
          <w:i/>
          <w:iCs/>
          <w:color w:val="1F1F1F"/>
          <w:sz w:val="24"/>
          <w:szCs w:val="24"/>
          <w:rtl w:val="0"/>
        </w:rPr>
        <w:t>Nigerian Journal of Computer Science, 18</w:t>
      </w:r>
      <w:r>
        <w:rPr>
          <w:rFonts w:hint="default" w:ascii="Times New Roman" w:hAnsi="Times New Roman" w:eastAsia="Google Sans" w:cs="Times New Roman"/>
          <w:color w:val="1F1F1F"/>
          <w:sz w:val="24"/>
          <w:szCs w:val="24"/>
          <w:rtl w:val="0"/>
        </w:rPr>
        <w:t>(1), 34-49.</w:t>
      </w:r>
    </w:p>
    <w:p w14:paraId="000001A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Baker, J. (2021). High-performance academic APIs: Python FastAPI vs Node.js. </w:t>
      </w:r>
      <w:r>
        <w:rPr>
          <w:rFonts w:hint="default" w:ascii="Times New Roman" w:hAnsi="Times New Roman" w:eastAsia="Google Sans" w:cs="Times New Roman"/>
          <w:i/>
          <w:iCs/>
          <w:color w:val="1F1F1F"/>
          <w:sz w:val="24"/>
          <w:szCs w:val="24"/>
          <w:rtl w:val="0"/>
        </w:rPr>
        <w:t>Journal of Web Engineering, 20</w:t>
      </w:r>
      <w:r>
        <w:rPr>
          <w:rFonts w:hint="default" w:ascii="Times New Roman" w:hAnsi="Times New Roman" w:eastAsia="Google Sans" w:cs="Times New Roman"/>
          <w:color w:val="1F1F1F"/>
          <w:sz w:val="24"/>
          <w:szCs w:val="24"/>
          <w:rtl w:val="0"/>
        </w:rPr>
        <w:t>(5), 150-165.</w:t>
      </w:r>
    </w:p>
    <w:p w14:paraId="000001A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Bansal, R., et al. (2020). Distributed Databases in Educational Management. </w:t>
      </w:r>
      <w:r>
        <w:rPr>
          <w:rFonts w:hint="default" w:ascii="Times New Roman" w:hAnsi="Times New Roman" w:eastAsia="Google Sans" w:cs="Times New Roman"/>
          <w:i/>
          <w:iCs/>
          <w:color w:val="1F1F1F"/>
          <w:sz w:val="24"/>
          <w:szCs w:val="24"/>
          <w:rtl w:val="0"/>
        </w:rPr>
        <w:t>International Journal of Database Systems, 8</w:t>
      </w:r>
      <w:r>
        <w:rPr>
          <w:rFonts w:hint="default" w:ascii="Times New Roman" w:hAnsi="Times New Roman" w:eastAsia="Google Sans" w:cs="Times New Roman"/>
          <w:color w:val="1F1F1F"/>
          <w:sz w:val="24"/>
          <w:szCs w:val="24"/>
          <w:rtl w:val="0"/>
        </w:rPr>
        <w:t>(2), 112-130.</w:t>
      </w:r>
    </w:p>
    <w:p w14:paraId="000001A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Bjekic, D., et al. (2023). Lecturer competence and software ease of use in academic portals. </w:t>
      </w:r>
      <w:r>
        <w:rPr>
          <w:rFonts w:hint="default" w:ascii="Times New Roman" w:hAnsi="Times New Roman" w:eastAsia="Google Sans" w:cs="Times New Roman"/>
          <w:i/>
          <w:iCs/>
          <w:color w:val="1F1F1F"/>
          <w:sz w:val="24"/>
          <w:szCs w:val="24"/>
          <w:rtl w:val="0"/>
        </w:rPr>
        <w:t>Computers &amp; Education, 190</w:t>
      </w:r>
      <w:r>
        <w:rPr>
          <w:rFonts w:hint="default" w:ascii="Times New Roman" w:hAnsi="Times New Roman" w:eastAsia="Google Sans" w:cs="Times New Roman"/>
          <w:color w:val="1F1F1F"/>
          <w:sz w:val="24"/>
          <w:szCs w:val="24"/>
          <w:rtl w:val="0"/>
        </w:rPr>
        <w:t>, 104-118.</w:t>
      </w:r>
    </w:p>
    <w:p w14:paraId="000001A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Breton, J., et al. (2021). Agile software development in academic administrative software. </w:t>
      </w:r>
      <w:r>
        <w:rPr>
          <w:rFonts w:hint="default" w:ascii="Times New Roman" w:hAnsi="Times New Roman" w:eastAsia="Google Sans" w:cs="Times New Roman"/>
          <w:i/>
          <w:iCs/>
          <w:color w:val="1F1F1F"/>
          <w:sz w:val="24"/>
          <w:szCs w:val="24"/>
          <w:rtl w:val="0"/>
        </w:rPr>
        <w:t>Journal of Software Engineering, 15</w:t>
      </w:r>
      <w:r>
        <w:rPr>
          <w:rFonts w:hint="default" w:ascii="Times New Roman" w:hAnsi="Times New Roman" w:eastAsia="Google Sans" w:cs="Times New Roman"/>
          <w:color w:val="1F1F1F"/>
          <w:sz w:val="24"/>
          <w:szCs w:val="24"/>
          <w:rtl w:val="0"/>
        </w:rPr>
        <w:t>(4), 211-225.</w:t>
      </w:r>
    </w:p>
    <w:p w14:paraId="000001A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Brown, L., et al. (2023). Digital archives: Long-term storage using robust databases. </w:t>
      </w:r>
      <w:r>
        <w:rPr>
          <w:rFonts w:hint="default" w:ascii="Times New Roman" w:hAnsi="Times New Roman" w:eastAsia="Google Sans" w:cs="Times New Roman"/>
          <w:i/>
          <w:iCs/>
          <w:color w:val="1F1F1F"/>
          <w:sz w:val="24"/>
          <w:szCs w:val="24"/>
          <w:rtl w:val="0"/>
        </w:rPr>
        <w:t>International Journal of Information Management, 65</w:t>
      </w:r>
      <w:r>
        <w:rPr>
          <w:rFonts w:hint="default" w:ascii="Times New Roman" w:hAnsi="Times New Roman" w:eastAsia="Google Sans" w:cs="Times New Roman"/>
          <w:color w:val="1F1F1F"/>
          <w:sz w:val="24"/>
          <w:szCs w:val="24"/>
          <w:rtl w:val="0"/>
        </w:rPr>
        <w:t>, 102-115.</w:t>
      </w:r>
    </w:p>
    <w:p w14:paraId="000001A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Campbell, D. (2022). Data integrity in SQL: Preventing orphaned grades through foreign keys. </w:t>
      </w:r>
      <w:r>
        <w:rPr>
          <w:rFonts w:hint="default" w:ascii="Times New Roman" w:hAnsi="Times New Roman" w:eastAsia="Google Sans" w:cs="Times New Roman"/>
          <w:i/>
          <w:iCs/>
          <w:color w:val="1F1F1F"/>
          <w:sz w:val="24"/>
          <w:szCs w:val="24"/>
          <w:rtl w:val="0"/>
        </w:rPr>
        <w:t>Database Systems Journal, 14</w:t>
      </w:r>
      <w:r>
        <w:rPr>
          <w:rFonts w:hint="default" w:ascii="Times New Roman" w:hAnsi="Times New Roman" w:eastAsia="Google Sans" w:cs="Times New Roman"/>
          <w:color w:val="1F1F1F"/>
          <w:sz w:val="24"/>
          <w:szCs w:val="24"/>
          <w:rtl w:val="0"/>
        </w:rPr>
        <w:t>(3), 55-70.</w:t>
      </w:r>
    </w:p>
    <w:p w14:paraId="000001A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Carter, E. (2025). NewSQL vs Legacy: TiDB scaling capabilities compared to MySQL. </w:t>
      </w:r>
      <w:r>
        <w:rPr>
          <w:rFonts w:hint="default" w:ascii="Times New Roman" w:hAnsi="Times New Roman" w:eastAsia="Google Sans" w:cs="Times New Roman"/>
          <w:i/>
          <w:iCs/>
          <w:color w:val="1F1F1F"/>
          <w:sz w:val="24"/>
          <w:szCs w:val="24"/>
          <w:rtl w:val="0"/>
        </w:rPr>
        <w:t>Journal of Distributed Computing, 29</w:t>
      </w:r>
      <w:r>
        <w:rPr>
          <w:rFonts w:hint="default" w:ascii="Times New Roman" w:hAnsi="Times New Roman" w:eastAsia="Google Sans" w:cs="Times New Roman"/>
          <w:color w:val="1F1F1F"/>
          <w:sz w:val="24"/>
          <w:szCs w:val="24"/>
          <w:rtl w:val="0"/>
        </w:rPr>
        <w:t>(1), 11-29.</w:t>
      </w:r>
    </w:p>
    <w:p w14:paraId="000001A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Chen, H., et al. (2025). State management and UI speed: Implementing React hooks in admin dashboards. </w:t>
      </w:r>
      <w:r>
        <w:rPr>
          <w:rFonts w:hint="default" w:ascii="Times New Roman" w:hAnsi="Times New Roman" w:eastAsia="Google Sans" w:cs="Times New Roman"/>
          <w:i/>
          <w:iCs/>
          <w:color w:val="1F1F1F"/>
          <w:sz w:val="24"/>
          <w:szCs w:val="24"/>
          <w:rtl w:val="0"/>
        </w:rPr>
        <w:t>Web Development Research, 8</w:t>
      </w:r>
      <w:r>
        <w:rPr>
          <w:rFonts w:hint="default" w:ascii="Times New Roman" w:hAnsi="Times New Roman" w:eastAsia="Google Sans" w:cs="Times New Roman"/>
          <w:color w:val="1F1F1F"/>
          <w:sz w:val="24"/>
          <w:szCs w:val="24"/>
          <w:rtl w:val="0"/>
        </w:rPr>
        <w:t>(2), 99-114.</w:t>
      </w:r>
    </w:p>
    <w:p w14:paraId="000001A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Clark, M., et al. (2025). Micro-frontend architectures for scalable university administration. </w:t>
      </w:r>
      <w:r>
        <w:rPr>
          <w:rFonts w:hint="default" w:ascii="Times New Roman" w:hAnsi="Times New Roman" w:eastAsia="Google Sans" w:cs="Times New Roman"/>
          <w:i/>
          <w:iCs/>
          <w:color w:val="1F1F1F"/>
          <w:sz w:val="24"/>
          <w:szCs w:val="24"/>
          <w:rtl w:val="0"/>
        </w:rPr>
        <w:t>IEEE Transactions on Software Engineering, 51</w:t>
      </w:r>
      <w:r>
        <w:rPr>
          <w:rFonts w:hint="default" w:ascii="Times New Roman" w:hAnsi="Times New Roman" w:eastAsia="Google Sans" w:cs="Times New Roman"/>
          <w:color w:val="1F1F1F"/>
          <w:sz w:val="24"/>
          <w:szCs w:val="24"/>
          <w:rtl w:val="0"/>
        </w:rPr>
        <w:t>(3), 400-415.</w:t>
      </w:r>
    </w:p>
    <w:p w14:paraId="000001A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Davis, K. (2022). Student portal UI and navigation flow optimization. </w:t>
      </w:r>
      <w:r>
        <w:rPr>
          <w:rFonts w:hint="default" w:ascii="Times New Roman" w:hAnsi="Times New Roman" w:eastAsia="Google Sans" w:cs="Times New Roman"/>
          <w:i/>
          <w:iCs/>
          <w:color w:val="1F1F1F"/>
          <w:sz w:val="24"/>
          <w:szCs w:val="24"/>
          <w:rtl w:val="0"/>
        </w:rPr>
        <w:t>User Experience Journal, 11</w:t>
      </w:r>
      <w:r>
        <w:rPr>
          <w:rFonts w:hint="default" w:ascii="Times New Roman" w:hAnsi="Times New Roman" w:eastAsia="Google Sans" w:cs="Times New Roman"/>
          <w:color w:val="1F1F1F"/>
          <w:sz w:val="24"/>
          <w:szCs w:val="24"/>
          <w:rtl w:val="0"/>
        </w:rPr>
        <w:t>(4), 88-102.</w:t>
      </w:r>
    </w:p>
    <w:p w14:paraId="000001A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Evans, C. (2024). Role-based access control in educational portals to prevent fraud. </w:t>
      </w:r>
      <w:r>
        <w:rPr>
          <w:rFonts w:hint="default" w:ascii="Times New Roman" w:hAnsi="Times New Roman" w:eastAsia="Google Sans" w:cs="Times New Roman"/>
          <w:i/>
          <w:iCs/>
          <w:color w:val="1F1F1F"/>
          <w:sz w:val="24"/>
          <w:szCs w:val="24"/>
          <w:rtl w:val="0"/>
        </w:rPr>
        <w:t>Journal of Information Security, 21</w:t>
      </w:r>
      <w:r>
        <w:rPr>
          <w:rFonts w:hint="default" w:ascii="Times New Roman" w:hAnsi="Times New Roman" w:eastAsia="Google Sans" w:cs="Times New Roman"/>
          <w:color w:val="1F1F1F"/>
          <w:sz w:val="24"/>
          <w:szCs w:val="24"/>
          <w:rtl w:val="0"/>
        </w:rPr>
        <w:t>(2), 130-145.</w:t>
      </w:r>
    </w:p>
    <w:p w14:paraId="000001A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Falola, O., et al. (2023). Digital transcript generation and wait time reduction. </w:t>
      </w:r>
      <w:r>
        <w:rPr>
          <w:rFonts w:hint="default" w:ascii="Times New Roman" w:hAnsi="Times New Roman" w:eastAsia="Google Sans" w:cs="Times New Roman"/>
          <w:i/>
          <w:iCs/>
          <w:color w:val="1F1F1F"/>
          <w:sz w:val="24"/>
          <w:szCs w:val="24"/>
          <w:rtl w:val="0"/>
        </w:rPr>
        <w:t>African Journal of Educational Technology, 7</w:t>
      </w:r>
      <w:r>
        <w:rPr>
          <w:rFonts w:hint="default" w:ascii="Times New Roman" w:hAnsi="Times New Roman" w:eastAsia="Google Sans" w:cs="Times New Roman"/>
          <w:color w:val="1F1F1F"/>
          <w:sz w:val="24"/>
          <w:szCs w:val="24"/>
          <w:rtl w:val="0"/>
        </w:rPr>
        <w:t>(1), 22-38.</w:t>
      </w:r>
    </w:p>
    <w:p w14:paraId="000001A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Garcia, P. (2022). Distributed databases and data preservation during power cuts. </w:t>
      </w:r>
      <w:r>
        <w:rPr>
          <w:rFonts w:hint="default" w:ascii="Times New Roman" w:hAnsi="Times New Roman" w:eastAsia="Google Sans" w:cs="Times New Roman"/>
          <w:i/>
          <w:iCs/>
          <w:color w:val="1F1F1F"/>
          <w:sz w:val="24"/>
          <w:szCs w:val="24"/>
          <w:rtl w:val="0"/>
        </w:rPr>
        <w:t>International Journal of Critical Infrastructure, 18</w:t>
      </w:r>
      <w:r>
        <w:rPr>
          <w:rFonts w:hint="default" w:ascii="Times New Roman" w:hAnsi="Times New Roman" w:eastAsia="Google Sans" w:cs="Times New Roman"/>
          <w:color w:val="1F1F1F"/>
          <w:sz w:val="24"/>
          <w:szCs w:val="24"/>
          <w:rtl w:val="0"/>
        </w:rPr>
        <w:t>(3), 200-215.</w:t>
      </w:r>
    </w:p>
    <w:p w14:paraId="000001A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Garfan, S., et al. (2021). A review of web frameworks in resource-constrained environments. </w:t>
      </w:r>
      <w:r>
        <w:rPr>
          <w:rFonts w:hint="default" w:ascii="Times New Roman" w:hAnsi="Times New Roman" w:eastAsia="Google Sans" w:cs="Times New Roman"/>
          <w:i/>
          <w:iCs/>
          <w:color w:val="1F1F1F"/>
          <w:sz w:val="24"/>
          <w:szCs w:val="24"/>
          <w:rtl w:val="0"/>
        </w:rPr>
        <w:t>IEEE Access, 9</w:t>
      </w:r>
      <w:r>
        <w:rPr>
          <w:rFonts w:hint="default" w:ascii="Times New Roman" w:hAnsi="Times New Roman" w:eastAsia="Google Sans" w:cs="Times New Roman"/>
          <w:color w:val="1F1F1F"/>
          <w:sz w:val="24"/>
          <w:szCs w:val="24"/>
          <w:rtl w:val="0"/>
        </w:rPr>
        <w:t>, 23412-23425.</w:t>
      </w:r>
    </w:p>
    <w:p w14:paraId="000001A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Ghalem, A. (2024). Web app performance: Handling large tables efficiently with React. </w:t>
      </w:r>
      <w:r>
        <w:rPr>
          <w:rFonts w:hint="default" w:ascii="Times New Roman" w:hAnsi="Times New Roman" w:eastAsia="Google Sans" w:cs="Times New Roman"/>
          <w:i/>
          <w:iCs/>
          <w:color w:val="1F1F1F"/>
          <w:sz w:val="24"/>
          <w:szCs w:val="24"/>
          <w:rtl w:val="0"/>
        </w:rPr>
        <w:t>Journal of Frontend Technologies, 9</w:t>
      </w:r>
      <w:r>
        <w:rPr>
          <w:rFonts w:hint="default" w:ascii="Times New Roman" w:hAnsi="Times New Roman" w:eastAsia="Google Sans" w:cs="Times New Roman"/>
          <w:color w:val="1F1F1F"/>
          <w:sz w:val="24"/>
          <w:szCs w:val="24"/>
          <w:rtl w:val="0"/>
        </w:rPr>
        <w:t>(1), 60-75.</w:t>
      </w:r>
    </w:p>
    <w:p w14:paraId="000001B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Green, L. (2023). Responsive web design: Mobile-first strategies for African lecturers. </w:t>
      </w:r>
      <w:r>
        <w:rPr>
          <w:rFonts w:hint="default" w:ascii="Times New Roman" w:hAnsi="Times New Roman" w:eastAsia="Google Sans" w:cs="Times New Roman"/>
          <w:i/>
          <w:iCs/>
          <w:color w:val="1F1F1F"/>
          <w:sz w:val="24"/>
          <w:szCs w:val="24"/>
          <w:rtl w:val="0"/>
        </w:rPr>
        <w:t>Journal of Mobile Computing, 15</w:t>
      </w:r>
      <w:r>
        <w:rPr>
          <w:rFonts w:hint="default" w:ascii="Times New Roman" w:hAnsi="Times New Roman" w:eastAsia="Google Sans" w:cs="Times New Roman"/>
          <w:color w:val="1F1F1F"/>
          <w:sz w:val="24"/>
          <w:szCs w:val="24"/>
          <w:rtl w:val="0"/>
        </w:rPr>
        <w:t>(2), 110-125.</w:t>
      </w:r>
    </w:p>
    <w:p w14:paraId="000001B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Hall, J., et al. (2021). Database indexing strategies for speeding up transcript retrieval. </w:t>
      </w:r>
      <w:r>
        <w:rPr>
          <w:rFonts w:hint="default" w:ascii="Times New Roman" w:hAnsi="Times New Roman" w:eastAsia="Google Sans" w:cs="Times New Roman"/>
          <w:i/>
          <w:iCs/>
          <w:color w:val="1F1F1F"/>
          <w:sz w:val="24"/>
          <w:szCs w:val="24"/>
          <w:rtl w:val="0"/>
        </w:rPr>
        <w:t>Journal of Database Management, 32</w:t>
      </w:r>
      <w:r>
        <w:rPr>
          <w:rFonts w:hint="default" w:ascii="Times New Roman" w:hAnsi="Times New Roman" w:eastAsia="Google Sans" w:cs="Times New Roman"/>
          <w:color w:val="1F1F1F"/>
          <w:sz w:val="24"/>
          <w:szCs w:val="24"/>
          <w:rtl w:val="0"/>
        </w:rPr>
        <w:t>(4), 45-60.</w:t>
      </w:r>
    </w:p>
    <w:p w14:paraId="000001B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Harris, T. (2023). Simplifying student ranking using Python Data Frames. </w:t>
      </w:r>
      <w:r>
        <w:rPr>
          <w:rFonts w:hint="default" w:ascii="Times New Roman" w:hAnsi="Times New Roman" w:eastAsia="Google Sans" w:cs="Times New Roman"/>
          <w:i/>
          <w:iCs/>
          <w:color w:val="1F1F1F"/>
          <w:sz w:val="24"/>
          <w:szCs w:val="24"/>
          <w:rtl w:val="0"/>
        </w:rPr>
        <w:t>Data Science in Education, 6</w:t>
      </w:r>
      <w:r>
        <w:rPr>
          <w:rFonts w:hint="default" w:ascii="Times New Roman" w:hAnsi="Times New Roman" w:eastAsia="Google Sans" w:cs="Times New Roman"/>
          <w:color w:val="1F1F1F"/>
          <w:sz w:val="24"/>
          <w:szCs w:val="24"/>
          <w:rtl w:val="0"/>
        </w:rPr>
        <w:t>(1), 30-45.</w:t>
      </w:r>
    </w:p>
    <w:p w14:paraId="000001B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Hirko, M., et al. (2021). Performance evaluation of academic portal frameworks. </w:t>
      </w:r>
      <w:r>
        <w:rPr>
          <w:rFonts w:hint="default" w:ascii="Times New Roman" w:hAnsi="Times New Roman" w:eastAsia="Google Sans" w:cs="Times New Roman"/>
          <w:i/>
          <w:iCs/>
          <w:color w:val="1F1F1F"/>
          <w:sz w:val="24"/>
          <w:szCs w:val="24"/>
          <w:rtl w:val="0"/>
        </w:rPr>
        <w:t>International Journal of Information Technology, 11</w:t>
      </w:r>
      <w:r>
        <w:rPr>
          <w:rFonts w:hint="default" w:ascii="Times New Roman" w:hAnsi="Times New Roman" w:eastAsia="Google Sans" w:cs="Times New Roman"/>
          <w:color w:val="1F1F1F"/>
          <w:sz w:val="24"/>
          <w:szCs w:val="24"/>
          <w:rtl w:val="0"/>
        </w:rPr>
        <w:t>(3), 45-60.</w:t>
      </w:r>
    </w:p>
    <w:p w14:paraId="000001B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Ibrahim, S., et al. (2021). Nigerian educational portals and local hosting challenges. </w:t>
      </w:r>
      <w:r>
        <w:rPr>
          <w:rFonts w:hint="default" w:ascii="Times New Roman" w:hAnsi="Times New Roman" w:eastAsia="Google Sans" w:cs="Times New Roman"/>
          <w:i/>
          <w:iCs/>
          <w:color w:val="1F1F1F"/>
          <w:sz w:val="24"/>
          <w:szCs w:val="24"/>
          <w:rtl w:val="0"/>
        </w:rPr>
        <w:t>Journal of African Technology Studies, 12</w:t>
      </w:r>
      <w:r>
        <w:rPr>
          <w:rFonts w:hint="default" w:ascii="Times New Roman" w:hAnsi="Times New Roman" w:eastAsia="Google Sans" w:cs="Times New Roman"/>
          <w:color w:val="1F1F1F"/>
          <w:sz w:val="24"/>
          <w:szCs w:val="24"/>
          <w:rtl w:val="0"/>
        </w:rPr>
        <w:t>(3), 85-100.</w:t>
      </w:r>
    </w:p>
    <w:p w14:paraId="000001B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Jalali, R., et al. (2021). Security protocols in modern web architecture. </w:t>
      </w:r>
      <w:r>
        <w:rPr>
          <w:rFonts w:hint="default" w:ascii="Times New Roman" w:hAnsi="Times New Roman" w:eastAsia="Google Sans" w:cs="Times New Roman"/>
          <w:i/>
          <w:iCs/>
          <w:color w:val="1F1F1F"/>
          <w:sz w:val="24"/>
          <w:szCs w:val="24"/>
          <w:rtl w:val="0"/>
        </w:rPr>
        <w:t>Journal of Cybersecurity Research, 14</w:t>
      </w:r>
      <w:r>
        <w:rPr>
          <w:rFonts w:hint="default" w:ascii="Times New Roman" w:hAnsi="Times New Roman" w:eastAsia="Google Sans" w:cs="Times New Roman"/>
          <w:color w:val="1F1F1F"/>
          <w:sz w:val="24"/>
          <w:szCs w:val="24"/>
          <w:rtl w:val="0"/>
        </w:rPr>
        <w:t>(2), 89-104.</w:t>
      </w:r>
    </w:p>
    <w:p w14:paraId="000001B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King, F. (2024). Cybersecurity in education: Mitigating ransomware threats to result servers. </w:t>
      </w:r>
      <w:r>
        <w:rPr>
          <w:rFonts w:hint="default" w:ascii="Times New Roman" w:hAnsi="Times New Roman" w:eastAsia="Google Sans" w:cs="Times New Roman"/>
          <w:i/>
          <w:iCs/>
          <w:color w:val="1F1F1F"/>
          <w:sz w:val="24"/>
          <w:szCs w:val="24"/>
          <w:rtl w:val="0"/>
        </w:rPr>
        <w:t>Computers &amp; Security, 105</w:t>
      </w:r>
      <w:r>
        <w:rPr>
          <w:rFonts w:hint="default" w:ascii="Times New Roman" w:hAnsi="Times New Roman" w:eastAsia="Google Sans" w:cs="Times New Roman"/>
          <w:color w:val="1F1F1F"/>
          <w:sz w:val="24"/>
          <w:szCs w:val="24"/>
          <w:rtl w:val="0"/>
        </w:rPr>
        <w:t>, 102-118.</w:t>
      </w:r>
    </w:p>
    <w:p w14:paraId="000001B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Kumar, V., et al. (2024). Database sharding techniques for peak result uploads. </w:t>
      </w:r>
      <w:r>
        <w:rPr>
          <w:rFonts w:hint="default" w:ascii="Times New Roman" w:hAnsi="Times New Roman" w:eastAsia="Google Sans" w:cs="Times New Roman"/>
          <w:i/>
          <w:iCs/>
          <w:color w:val="1F1F1F"/>
          <w:sz w:val="24"/>
          <w:szCs w:val="24"/>
          <w:rtl w:val="0"/>
        </w:rPr>
        <w:t>Distributed Systems Engineering, 19</w:t>
      </w:r>
      <w:r>
        <w:rPr>
          <w:rFonts w:hint="default" w:ascii="Times New Roman" w:hAnsi="Times New Roman" w:eastAsia="Google Sans" w:cs="Times New Roman"/>
          <w:color w:val="1F1F1F"/>
          <w:sz w:val="24"/>
          <w:szCs w:val="24"/>
          <w:rtl w:val="0"/>
        </w:rPr>
        <w:t>(2), 140-155.</w:t>
      </w:r>
    </w:p>
    <w:p w14:paraId="000001B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Lee, J., &amp; Park, S. (2022). Real-time data sync using WebSockets for live grade updates. </w:t>
      </w:r>
      <w:r>
        <w:rPr>
          <w:rFonts w:hint="default" w:ascii="Times New Roman" w:hAnsi="Times New Roman" w:eastAsia="Google Sans" w:cs="Times New Roman"/>
          <w:i/>
          <w:iCs/>
          <w:color w:val="1F1F1F"/>
          <w:sz w:val="24"/>
          <w:szCs w:val="24"/>
          <w:rtl w:val="0"/>
        </w:rPr>
        <w:t>Journal of Network Engineering, 14</w:t>
      </w:r>
      <w:r>
        <w:rPr>
          <w:rFonts w:hint="default" w:ascii="Times New Roman" w:hAnsi="Times New Roman" w:eastAsia="Google Sans" w:cs="Times New Roman"/>
          <w:color w:val="1F1F1F"/>
          <w:sz w:val="24"/>
          <w:szCs w:val="24"/>
          <w:rtl w:val="0"/>
        </w:rPr>
        <w:t>(1), 50-65.</w:t>
      </w:r>
    </w:p>
    <w:p w14:paraId="000001B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Lewis, R. (2023). Secure PDF exports using Python ReportsLab in academic software. </w:t>
      </w:r>
      <w:r>
        <w:rPr>
          <w:rFonts w:hint="default" w:ascii="Times New Roman" w:hAnsi="Times New Roman" w:eastAsia="Google Sans" w:cs="Times New Roman"/>
          <w:i/>
          <w:iCs/>
          <w:color w:val="1F1F1F"/>
          <w:sz w:val="24"/>
          <w:szCs w:val="24"/>
          <w:rtl w:val="0"/>
        </w:rPr>
        <w:t>Journal of Document Engineering, 8</w:t>
      </w:r>
      <w:r>
        <w:rPr>
          <w:rFonts w:hint="default" w:ascii="Times New Roman" w:hAnsi="Times New Roman" w:eastAsia="Google Sans" w:cs="Times New Roman"/>
          <w:color w:val="1F1F1F"/>
          <w:sz w:val="24"/>
          <w:szCs w:val="24"/>
          <w:rtl w:val="0"/>
        </w:rPr>
        <w:t>(3), 112-127.</w:t>
      </w:r>
    </w:p>
    <w:p w14:paraId="000001B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Mahmood, A., et al. (2020). Security and Privacy in Academic Portals. </w:t>
      </w:r>
      <w:r>
        <w:rPr>
          <w:rFonts w:hint="default" w:ascii="Times New Roman" w:hAnsi="Times New Roman" w:eastAsia="Google Sans" w:cs="Times New Roman"/>
          <w:i/>
          <w:iCs/>
          <w:color w:val="1F1F1F"/>
          <w:sz w:val="24"/>
          <w:szCs w:val="24"/>
          <w:rtl w:val="0"/>
        </w:rPr>
        <w:t>Journal of Information Security, 15</w:t>
      </w:r>
      <w:r>
        <w:rPr>
          <w:rFonts w:hint="default" w:ascii="Times New Roman" w:hAnsi="Times New Roman" w:eastAsia="Google Sans" w:cs="Times New Roman"/>
          <w:color w:val="1F1F1F"/>
          <w:sz w:val="24"/>
          <w:szCs w:val="24"/>
          <w:rtl w:val="0"/>
        </w:rPr>
        <w:t>(3), 89-105.</w:t>
      </w:r>
    </w:p>
    <w:p w14:paraId="000001B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Martin, P. (2021). Grade normalization and automation of grading curves. </w:t>
      </w:r>
      <w:r>
        <w:rPr>
          <w:rFonts w:hint="default" w:ascii="Times New Roman" w:hAnsi="Times New Roman" w:eastAsia="Google Sans" w:cs="Times New Roman"/>
          <w:i/>
          <w:iCs/>
          <w:color w:val="1F1F1F"/>
          <w:sz w:val="24"/>
          <w:szCs w:val="24"/>
          <w:rtl w:val="0"/>
        </w:rPr>
        <w:t>Educational Assessment Journal, 28</w:t>
      </w:r>
      <w:r>
        <w:rPr>
          <w:rFonts w:hint="default" w:ascii="Times New Roman" w:hAnsi="Times New Roman" w:eastAsia="Google Sans" w:cs="Times New Roman"/>
          <w:color w:val="1F1F1F"/>
          <w:sz w:val="24"/>
          <w:szCs w:val="24"/>
          <w:rtl w:val="0"/>
        </w:rPr>
        <w:t>(4), 310-325.</w:t>
      </w:r>
    </w:p>
    <w:p w14:paraId="000001B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Martinez, L. (2022). Python for data logic and weighted average mathematics. </w:t>
      </w:r>
      <w:r>
        <w:rPr>
          <w:rFonts w:hint="default" w:ascii="Times New Roman" w:hAnsi="Times New Roman" w:eastAsia="Google Sans" w:cs="Times New Roman"/>
          <w:i/>
          <w:iCs/>
          <w:color w:val="1F1F1F"/>
          <w:sz w:val="24"/>
          <w:szCs w:val="24"/>
          <w:rtl w:val="0"/>
        </w:rPr>
        <w:t>Journal of Computational Logic, 16</w:t>
      </w:r>
      <w:r>
        <w:rPr>
          <w:rFonts w:hint="default" w:ascii="Times New Roman" w:hAnsi="Times New Roman" w:eastAsia="Google Sans" w:cs="Times New Roman"/>
          <w:color w:val="1F1F1F"/>
          <w:sz w:val="24"/>
          <w:szCs w:val="24"/>
          <w:rtl w:val="0"/>
        </w:rPr>
        <w:t>(2), 80-95.</w:t>
      </w:r>
    </w:p>
    <w:p w14:paraId="000001B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Nelson, B. (2024). Automated feedback systems for notifying failed students. </w:t>
      </w:r>
      <w:r>
        <w:rPr>
          <w:rFonts w:hint="default" w:ascii="Times New Roman" w:hAnsi="Times New Roman" w:eastAsia="Google Sans" w:cs="Times New Roman"/>
          <w:i/>
          <w:iCs/>
          <w:color w:val="1F1F1F"/>
          <w:sz w:val="24"/>
          <w:szCs w:val="24"/>
          <w:rtl w:val="0"/>
        </w:rPr>
        <w:t>Journal of Educational Technology Systems, 52</w:t>
      </w:r>
      <w:r>
        <w:rPr>
          <w:rFonts w:hint="default" w:ascii="Times New Roman" w:hAnsi="Times New Roman" w:eastAsia="Google Sans" w:cs="Times New Roman"/>
          <w:color w:val="1F1F1F"/>
          <w:sz w:val="24"/>
          <w:szCs w:val="24"/>
          <w:rtl w:val="0"/>
        </w:rPr>
        <w:t>(1), 45-60.</w:t>
      </w:r>
    </w:p>
    <w:p w14:paraId="000001B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Obiniyi, A., &amp; Egwali, A. (2022). Result Processing Systems: A comparative analysis of manual and digital workflows. </w:t>
      </w:r>
      <w:r>
        <w:rPr>
          <w:rFonts w:hint="default" w:ascii="Times New Roman" w:hAnsi="Times New Roman" w:eastAsia="Google Sans" w:cs="Times New Roman"/>
          <w:i/>
          <w:iCs/>
          <w:color w:val="1F1F1F"/>
          <w:sz w:val="24"/>
          <w:szCs w:val="24"/>
          <w:rtl w:val="0"/>
        </w:rPr>
        <w:t>African Journal of Computing, 10</w:t>
      </w:r>
      <w:r>
        <w:rPr>
          <w:rFonts w:hint="default" w:ascii="Times New Roman" w:hAnsi="Times New Roman" w:eastAsia="Google Sans" w:cs="Times New Roman"/>
          <w:color w:val="1F1F1F"/>
          <w:sz w:val="24"/>
          <w:szCs w:val="24"/>
          <w:rtl w:val="0"/>
        </w:rPr>
        <w:t>(2), 77-85.</w:t>
      </w:r>
    </w:p>
    <w:p w14:paraId="000001B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Oghuma, S., et al. (2022). System success models: Reliability priorities for university portals. </w:t>
      </w:r>
      <w:r>
        <w:rPr>
          <w:rFonts w:hint="default" w:ascii="Times New Roman" w:hAnsi="Times New Roman" w:eastAsia="Google Sans" w:cs="Times New Roman"/>
          <w:i/>
          <w:iCs/>
          <w:color w:val="1F1F1F"/>
          <w:sz w:val="24"/>
          <w:szCs w:val="24"/>
          <w:rtl w:val="0"/>
        </w:rPr>
        <w:t>Information Systems Journal, 32</w:t>
      </w:r>
      <w:r>
        <w:rPr>
          <w:rFonts w:hint="default" w:ascii="Times New Roman" w:hAnsi="Times New Roman" w:eastAsia="Google Sans" w:cs="Times New Roman"/>
          <w:color w:val="1F1F1F"/>
          <w:sz w:val="24"/>
          <w:szCs w:val="24"/>
          <w:rtl w:val="0"/>
        </w:rPr>
        <w:t>(3), 400-415.</w:t>
      </w:r>
    </w:p>
    <w:p w14:paraId="000001C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Oladipupo, O., et al. (2023). Database Security and Forgery Prevention in Academic Environments. </w:t>
      </w:r>
      <w:r>
        <w:rPr>
          <w:rFonts w:hint="default" w:ascii="Times New Roman" w:hAnsi="Times New Roman" w:eastAsia="Google Sans" w:cs="Times New Roman"/>
          <w:i/>
          <w:iCs/>
          <w:color w:val="1F1F1F"/>
          <w:sz w:val="24"/>
          <w:szCs w:val="24"/>
          <w:rtl w:val="0"/>
        </w:rPr>
        <w:t>Journal of Educational Technology, 19</w:t>
      </w:r>
      <w:r>
        <w:rPr>
          <w:rFonts w:hint="default" w:ascii="Times New Roman" w:hAnsi="Times New Roman" w:eastAsia="Google Sans" w:cs="Times New Roman"/>
          <w:color w:val="1F1F1F"/>
          <w:sz w:val="24"/>
          <w:szCs w:val="24"/>
          <w:rtl w:val="0"/>
        </w:rPr>
        <w:t>(1), 11-29.</w:t>
      </w:r>
    </w:p>
    <w:p w14:paraId="000001C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Olaniyi, F. (2023). Result verification using QR codes on transcripts. </w:t>
      </w:r>
      <w:r>
        <w:rPr>
          <w:rFonts w:hint="default" w:ascii="Times New Roman" w:hAnsi="Times New Roman" w:eastAsia="Google Sans" w:cs="Times New Roman"/>
          <w:i/>
          <w:iCs/>
          <w:color w:val="1F1F1F"/>
          <w:sz w:val="24"/>
          <w:szCs w:val="24"/>
          <w:rtl w:val="0"/>
        </w:rPr>
        <w:t>Journal of Educational Authentication, 4</w:t>
      </w:r>
      <w:r>
        <w:rPr>
          <w:rFonts w:hint="default" w:ascii="Times New Roman" w:hAnsi="Times New Roman" w:eastAsia="Google Sans" w:cs="Times New Roman"/>
          <w:color w:val="1F1F1F"/>
          <w:sz w:val="24"/>
          <w:szCs w:val="24"/>
          <w:rtl w:val="0"/>
        </w:rPr>
        <w:t>(2), 55-70.</w:t>
      </w:r>
    </w:p>
    <w:p w14:paraId="000001C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Phillips, D. (2021). Transcript formatting: Standardized templates and institutional trust. </w:t>
      </w:r>
      <w:r>
        <w:rPr>
          <w:rFonts w:hint="default" w:ascii="Times New Roman" w:hAnsi="Times New Roman" w:eastAsia="Google Sans" w:cs="Times New Roman"/>
          <w:i/>
          <w:iCs/>
          <w:color w:val="1F1F1F"/>
          <w:sz w:val="24"/>
          <w:szCs w:val="24"/>
          <w:rtl w:val="0"/>
        </w:rPr>
        <w:t>Journal of Visual Design in Education, 9</w:t>
      </w:r>
      <w:r>
        <w:rPr>
          <w:rFonts w:hint="default" w:ascii="Times New Roman" w:hAnsi="Times New Roman" w:eastAsia="Google Sans" w:cs="Times New Roman"/>
          <w:color w:val="1F1F1F"/>
          <w:sz w:val="24"/>
          <w:szCs w:val="24"/>
          <w:rtl w:val="0"/>
        </w:rPr>
        <w:t>(1), 20-35.</w:t>
      </w:r>
    </w:p>
    <w:p w14:paraId="000001C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Roberts, M., et al. (2023). Automated gradebooks and LMS integration for workload reduction. </w:t>
      </w:r>
      <w:r>
        <w:rPr>
          <w:rFonts w:hint="default" w:ascii="Times New Roman" w:hAnsi="Times New Roman" w:eastAsia="Google Sans" w:cs="Times New Roman"/>
          <w:i/>
          <w:iCs/>
          <w:color w:val="1F1F1F"/>
          <w:sz w:val="24"/>
          <w:szCs w:val="24"/>
          <w:rtl w:val="0"/>
        </w:rPr>
        <w:t>Computers &amp; Education, 195</w:t>
      </w:r>
      <w:r>
        <w:rPr>
          <w:rFonts w:hint="default" w:ascii="Times New Roman" w:hAnsi="Times New Roman" w:eastAsia="Google Sans" w:cs="Times New Roman"/>
          <w:color w:val="1F1F1F"/>
          <w:sz w:val="24"/>
          <w:szCs w:val="24"/>
          <w:rtl w:val="0"/>
        </w:rPr>
        <w:t>, 104-120.</w:t>
      </w:r>
    </w:p>
    <w:p w14:paraId="000001C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Robinson, K. (2023). User authentication: JWT and secure stateless sessions. </w:t>
      </w:r>
      <w:r>
        <w:rPr>
          <w:rFonts w:hint="default" w:ascii="Times New Roman" w:hAnsi="Times New Roman" w:eastAsia="Google Sans" w:cs="Times New Roman"/>
          <w:i/>
          <w:iCs/>
          <w:color w:val="1F1F1F"/>
          <w:sz w:val="24"/>
          <w:szCs w:val="24"/>
          <w:rtl w:val="0"/>
        </w:rPr>
        <w:t>Journal of Information Privacy and Security, 19</w:t>
      </w:r>
      <w:r>
        <w:rPr>
          <w:rFonts w:hint="default" w:ascii="Times New Roman" w:hAnsi="Times New Roman" w:eastAsia="Google Sans" w:cs="Times New Roman"/>
          <w:color w:val="1F1F1F"/>
          <w:sz w:val="24"/>
          <w:szCs w:val="24"/>
          <w:rtl w:val="0"/>
        </w:rPr>
        <w:t>(4), 210-225.</w:t>
      </w:r>
    </w:p>
    <w:p w14:paraId="000001C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Scott, D., et al. (2025). Cloud-native TiDB and distributed SQL scaling for student populations. </w:t>
      </w:r>
      <w:r>
        <w:rPr>
          <w:rFonts w:hint="default" w:ascii="Times New Roman" w:hAnsi="Times New Roman" w:eastAsia="Google Sans" w:cs="Times New Roman"/>
          <w:i/>
          <w:iCs/>
          <w:color w:val="1F1F1F"/>
          <w:sz w:val="24"/>
          <w:szCs w:val="24"/>
          <w:rtl w:val="0"/>
        </w:rPr>
        <w:t>Journal of Cloud Computing, 14</w:t>
      </w:r>
      <w:r>
        <w:rPr>
          <w:rFonts w:hint="default" w:ascii="Times New Roman" w:hAnsi="Times New Roman" w:eastAsia="Google Sans" w:cs="Times New Roman"/>
          <w:color w:val="1F1F1F"/>
          <w:sz w:val="24"/>
          <w:szCs w:val="24"/>
          <w:rtl w:val="0"/>
        </w:rPr>
        <w:t>(1), 15-30.</w:t>
      </w:r>
    </w:p>
    <w:p w14:paraId="000001C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Smith, A., &amp; Jones, B. (2022). Algorithmic grading logic and the prevention of math bias. </w:t>
      </w:r>
      <w:r>
        <w:rPr>
          <w:rFonts w:hint="default" w:ascii="Times New Roman" w:hAnsi="Times New Roman" w:eastAsia="Google Sans" w:cs="Times New Roman"/>
          <w:i/>
          <w:iCs/>
          <w:color w:val="1F1F1F"/>
          <w:sz w:val="24"/>
          <w:szCs w:val="24"/>
          <w:rtl w:val="0"/>
        </w:rPr>
        <w:t>Journal of Educational Computation, 11</w:t>
      </w:r>
      <w:r>
        <w:rPr>
          <w:rFonts w:hint="default" w:ascii="Times New Roman" w:hAnsi="Times New Roman" w:eastAsia="Google Sans" w:cs="Times New Roman"/>
          <w:color w:val="1F1F1F"/>
          <w:sz w:val="24"/>
          <w:szCs w:val="24"/>
          <w:rtl w:val="0"/>
        </w:rPr>
        <w:t>(2), 70-85.</w:t>
      </w:r>
    </w:p>
    <w:p w14:paraId="000001C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Taylor, M. (2021). SQL vs NoSQL in education: Relational databases for transcript management. </w:t>
      </w:r>
      <w:r>
        <w:rPr>
          <w:rFonts w:hint="default" w:ascii="Times New Roman" w:hAnsi="Times New Roman" w:eastAsia="Google Sans" w:cs="Times New Roman"/>
          <w:i/>
          <w:iCs/>
          <w:color w:val="1F1F1F"/>
          <w:sz w:val="24"/>
          <w:szCs w:val="24"/>
          <w:rtl w:val="0"/>
        </w:rPr>
        <w:t>Database Engineering Reviews, 20</w:t>
      </w:r>
      <w:r>
        <w:rPr>
          <w:rFonts w:hint="default" w:ascii="Times New Roman" w:hAnsi="Times New Roman" w:eastAsia="Google Sans" w:cs="Times New Roman"/>
          <w:color w:val="1F1F1F"/>
          <w:sz w:val="24"/>
          <w:szCs w:val="24"/>
          <w:rtl w:val="0"/>
        </w:rPr>
        <w:t>(3), 115-130.</w:t>
      </w:r>
    </w:p>
    <w:p w14:paraId="000001C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Thomas, H., et al. (2022). API security: Strict OAuth protocols for RESTful APIs. </w:t>
      </w:r>
      <w:r>
        <w:rPr>
          <w:rFonts w:hint="default" w:ascii="Times New Roman" w:hAnsi="Times New Roman" w:eastAsia="Google Sans" w:cs="Times New Roman"/>
          <w:i/>
          <w:iCs/>
          <w:color w:val="1F1F1F"/>
          <w:sz w:val="24"/>
          <w:szCs w:val="24"/>
          <w:rtl w:val="0"/>
        </w:rPr>
        <w:t>IEEE Security &amp; Privacy, 20</w:t>
      </w:r>
      <w:r>
        <w:rPr>
          <w:rFonts w:hint="default" w:ascii="Times New Roman" w:hAnsi="Times New Roman" w:eastAsia="Google Sans" w:cs="Times New Roman"/>
          <w:color w:val="1F1F1F"/>
          <w:sz w:val="24"/>
          <w:szCs w:val="24"/>
          <w:rtl w:val="0"/>
        </w:rPr>
        <w:t>(1), 40-55.</w:t>
      </w:r>
    </w:p>
    <w:p w14:paraId="000001C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Thompson, G. (2025). Distributed transactions and record consistency in TiDB. </w:t>
      </w:r>
      <w:r>
        <w:rPr>
          <w:rFonts w:hint="default" w:ascii="Times New Roman" w:hAnsi="Times New Roman" w:eastAsia="Google Sans" w:cs="Times New Roman"/>
          <w:i/>
          <w:iCs/>
          <w:color w:val="1F1F1F"/>
          <w:sz w:val="24"/>
          <w:szCs w:val="24"/>
          <w:rtl w:val="0"/>
        </w:rPr>
        <w:t>Journal of High-Performance Computing, 22</w:t>
      </w:r>
      <w:r>
        <w:rPr>
          <w:rFonts w:hint="default" w:ascii="Times New Roman" w:hAnsi="Times New Roman" w:eastAsia="Google Sans" w:cs="Times New Roman"/>
          <w:color w:val="1F1F1F"/>
          <w:sz w:val="24"/>
          <w:szCs w:val="24"/>
          <w:rtl w:val="0"/>
        </w:rPr>
        <w:t>(2), 90-105.</w:t>
      </w:r>
    </w:p>
    <w:p w14:paraId="000001C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Ukem, E., &amp; Osuagwu, O. (2022). Portal design patterns: Improving accuracy of input via clear UI. </w:t>
      </w:r>
      <w:r>
        <w:rPr>
          <w:rFonts w:hint="default" w:ascii="Times New Roman" w:hAnsi="Times New Roman" w:eastAsia="Google Sans" w:cs="Times New Roman"/>
          <w:i/>
          <w:iCs/>
          <w:color w:val="1F1F1F"/>
          <w:sz w:val="24"/>
          <w:szCs w:val="24"/>
          <w:rtl w:val="0"/>
        </w:rPr>
        <w:t>Journal of Human-Computer Interaction, 17</w:t>
      </w:r>
      <w:r>
        <w:rPr>
          <w:rFonts w:hint="default" w:ascii="Times New Roman" w:hAnsi="Times New Roman" w:eastAsia="Google Sans" w:cs="Times New Roman"/>
          <w:color w:val="1F1F1F"/>
          <w:sz w:val="24"/>
          <w:szCs w:val="24"/>
          <w:rtl w:val="0"/>
        </w:rPr>
        <w:t>(3), 200-215.</w:t>
      </w:r>
    </w:p>
    <w:p w14:paraId="000001C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Walker, S. (2022). Frontend form validation and prevention of score entry errors. </w:t>
      </w:r>
      <w:r>
        <w:rPr>
          <w:rFonts w:hint="default" w:ascii="Times New Roman" w:hAnsi="Times New Roman" w:eastAsia="Google Sans" w:cs="Times New Roman"/>
          <w:i/>
          <w:iCs/>
          <w:color w:val="1F1F1F"/>
          <w:sz w:val="24"/>
          <w:szCs w:val="24"/>
          <w:rtl w:val="0"/>
        </w:rPr>
        <w:t>Web Engineering Journal, 13</w:t>
      </w:r>
      <w:r>
        <w:rPr>
          <w:rFonts w:hint="default" w:ascii="Times New Roman" w:hAnsi="Times New Roman" w:eastAsia="Google Sans" w:cs="Times New Roman"/>
          <w:color w:val="1F1F1F"/>
          <w:sz w:val="24"/>
          <w:szCs w:val="24"/>
          <w:rtl w:val="0"/>
        </w:rPr>
        <w:t>(2), 85-100.</w:t>
      </w:r>
    </w:p>
    <w:p w14:paraId="000001C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White, E. (2024). React virtualization for handling large student data sets. </w:t>
      </w:r>
      <w:r>
        <w:rPr>
          <w:rFonts w:hint="default" w:ascii="Times New Roman" w:hAnsi="Times New Roman" w:eastAsia="Google Sans" w:cs="Times New Roman"/>
          <w:i/>
          <w:iCs/>
          <w:color w:val="1F1F1F"/>
          <w:sz w:val="24"/>
          <w:szCs w:val="24"/>
          <w:rtl w:val="0"/>
        </w:rPr>
        <w:t>Journal of Frontend Development, 10</w:t>
      </w:r>
      <w:r>
        <w:rPr>
          <w:rFonts w:hint="default" w:ascii="Times New Roman" w:hAnsi="Times New Roman" w:eastAsia="Google Sans" w:cs="Times New Roman"/>
          <w:color w:val="1F1F1F"/>
          <w:sz w:val="24"/>
          <w:szCs w:val="24"/>
          <w:rtl w:val="0"/>
        </w:rPr>
        <w:t>(1), 45-60.</w:t>
      </w:r>
    </w:p>
    <w:p w14:paraId="000001C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Williams, C. (2021). Mobile grading apps: Responsive design and lecturer usage. </w:t>
      </w:r>
      <w:r>
        <w:rPr>
          <w:rFonts w:hint="default" w:ascii="Times New Roman" w:hAnsi="Times New Roman" w:eastAsia="Google Sans" w:cs="Times New Roman"/>
          <w:i/>
          <w:iCs/>
          <w:color w:val="1F1F1F"/>
          <w:sz w:val="24"/>
          <w:szCs w:val="24"/>
          <w:rtl w:val="0"/>
        </w:rPr>
        <w:t>Mobile Information Systems, 2021</w:t>
      </w:r>
      <w:r>
        <w:rPr>
          <w:rFonts w:hint="default" w:ascii="Times New Roman" w:hAnsi="Times New Roman" w:eastAsia="Google Sans" w:cs="Times New Roman"/>
          <w:color w:val="1F1F1F"/>
          <w:sz w:val="24"/>
          <w:szCs w:val="24"/>
          <w:rtl w:val="0"/>
        </w:rPr>
        <w:t>, 1-15.</w:t>
      </w:r>
    </w:p>
    <w:p w14:paraId="000001C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Wilson, J. (2024). Serverless backends and latency optimization in departmental apps. </w:t>
      </w:r>
      <w:r>
        <w:rPr>
          <w:rFonts w:hint="default" w:ascii="Times New Roman" w:hAnsi="Times New Roman" w:eastAsia="Google Sans" w:cs="Times New Roman"/>
          <w:i/>
          <w:iCs/>
          <w:color w:val="1F1F1F"/>
          <w:sz w:val="24"/>
          <w:szCs w:val="24"/>
          <w:rtl w:val="0"/>
        </w:rPr>
        <w:t>Journal of Cloud Architecture, 7</w:t>
      </w:r>
      <w:r>
        <w:rPr>
          <w:rFonts w:hint="default" w:ascii="Times New Roman" w:hAnsi="Times New Roman" w:eastAsia="Google Sans" w:cs="Times New Roman"/>
          <w:color w:val="1F1F1F"/>
          <w:sz w:val="24"/>
          <w:szCs w:val="24"/>
          <w:rtl w:val="0"/>
        </w:rPr>
        <w:t>(4), 310-325.</w:t>
      </w:r>
    </w:p>
    <w:p w14:paraId="000001C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Wright, H. (2022). Automated GPA calculation vs manual spreadsheets: Error risk analysis. </w:t>
      </w:r>
      <w:r>
        <w:rPr>
          <w:rFonts w:hint="default" w:ascii="Times New Roman" w:hAnsi="Times New Roman" w:eastAsia="Google Sans" w:cs="Times New Roman"/>
          <w:i/>
          <w:iCs/>
          <w:color w:val="1F1F1F"/>
          <w:sz w:val="24"/>
          <w:szCs w:val="24"/>
          <w:rtl w:val="0"/>
        </w:rPr>
        <w:t>Educational Measurement Journal, 39</w:t>
      </w:r>
      <w:r>
        <w:rPr>
          <w:rFonts w:hint="default" w:ascii="Times New Roman" w:hAnsi="Times New Roman" w:eastAsia="Google Sans" w:cs="Times New Roman"/>
          <w:color w:val="1F1F1F"/>
          <w:sz w:val="24"/>
          <w:szCs w:val="24"/>
          <w:rtl w:val="0"/>
        </w:rPr>
        <w:t>(2), 150-165.</w:t>
      </w:r>
    </w:p>
    <w:p w14:paraId="000001D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Young, P. (2024). Multi-tenant databases and the reduction of academic hosting costs. </w:t>
      </w:r>
      <w:r>
        <w:rPr>
          <w:rFonts w:hint="default" w:ascii="Times New Roman" w:hAnsi="Times New Roman" w:eastAsia="Google Sans" w:cs="Times New Roman"/>
          <w:i/>
          <w:iCs/>
          <w:color w:val="1F1F1F"/>
          <w:sz w:val="24"/>
          <w:szCs w:val="24"/>
          <w:rtl w:val="0"/>
        </w:rPr>
        <w:t>International Journal of Database Management, 35</w:t>
      </w:r>
      <w:r>
        <w:rPr>
          <w:rFonts w:hint="default" w:ascii="Times New Roman" w:hAnsi="Times New Roman" w:eastAsia="Google Sans" w:cs="Times New Roman"/>
          <w:color w:val="1F1F1F"/>
          <w:sz w:val="24"/>
          <w:szCs w:val="24"/>
          <w:rtl w:val="0"/>
        </w:rPr>
        <w:t>(1), 22-38.</w:t>
      </w:r>
    </w:p>
    <w:p w14:paraId="000001D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Zhang, Y., et al. (2023). Distributed SQL scaling techniques for enterprise and institutional applications. </w:t>
      </w:r>
      <w:r>
        <w:rPr>
          <w:rFonts w:hint="default" w:ascii="Times New Roman" w:hAnsi="Times New Roman" w:eastAsia="Google Sans" w:cs="Times New Roman"/>
          <w:i/>
          <w:iCs/>
          <w:color w:val="1F1F1F"/>
          <w:sz w:val="24"/>
          <w:szCs w:val="24"/>
          <w:rtl w:val="0"/>
        </w:rPr>
        <w:t>Database Engineering Reviews, 22</w:t>
      </w:r>
      <w:r>
        <w:rPr>
          <w:rFonts w:hint="default" w:ascii="Times New Roman" w:hAnsi="Times New Roman" w:eastAsia="Google Sans" w:cs="Times New Roman"/>
          <w:color w:val="1F1F1F"/>
          <w:sz w:val="24"/>
          <w:szCs w:val="24"/>
          <w:rtl w:val="0"/>
        </w:rPr>
        <w:t>(4), 310-325.</w:t>
      </w:r>
    </w:p>
    <w:p w14:paraId="3832DD4A"/>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131AE4"/>
    <w:rsid w:val="109B4283"/>
    <w:rsid w:val="3A131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table" w:customStyle="1" w:styleId="7">
    <w:name w:val="_Style 10"/>
    <w:basedOn w:val="8"/>
    <w:qFormat/>
    <w:uiPriority w:val="0"/>
  </w:style>
  <w:style w:type="table" w:customStyle="1" w:styleId="8">
    <w:name w:val="TableNormal"/>
    <w:qFormat/>
    <w:uiPriority w:val="0"/>
    <w:tblPr>
      <w:tblCellMar>
        <w:top w:w="100" w:type="dxa"/>
        <w:left w:w="100" w:type="dxa"/>
        <w:bottom w:w="100" w:type="dxa"/>
        <w:right w:w="100" w:type="dxa"/>
      </w:tblCellMar>
    </w:tblPr>
  </w:style>
  <w:style w:type="table" w:customStyle="1" w:styleId="9">
    <w:name w:val="_Style 11"/>
    <w:basedOn w:val="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4</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2026-05-09T23:46:00Z</dcterms:created>
  <dc:creator>HP</dc:creator>
  <cp:lastModifiedBy>HP</cp:lastModifiedBy>
  <dcterms:modified xsi:type="dcterms:W3CDTF">2026-05-10T06:00:35Z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0B682EEC9A7F4611BBEC255B342F2A54_11</vt:lpwstr>
  </property>
</Properties>
</file>