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成员 A：编码与纠错测试报告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 w:val="0"/>
          <w:color w:val="595959"/>
          <w:sz w:val="19"/>
        </w:rPr>
        <w:t>被测项目：python-qrcode v8.2    基线：7daa4ff    测试域：编码与纠错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E79"/>
          <w:sz w:val="28"/>
        </w:rPr>
        <w:t>1. 测试范围与边界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范围</w:t>
            </w:r>
          </w:p>
        </w:tc>
        <w:tc>
          <w:tcPr>
            <w:tcW w:type="dxa" w:w="6066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覆盖源码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qrcode/util.py、qrcode/base.py、qrcode/LUT.py、qrcode/constants.py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覆盖功能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编码模式、分段、QRData/BitBuffer 位流、版本与容量、RS 纠错、BCH、掩码和惩罚评分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不覆盖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QRCode 生命周期、最终矩阵布局、图像/文本输出及发布流程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测试方法</w:t>
            </w:r>
          </w:p>
        </w:tc>
        <w:tc>
          <w:tcPr>
            <w:tcW w:type="dxa" w:w="6066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等价类、边界值、场景法</w:t>
            </w:r>
          </w:p>
        </w:tc>
      </w:tr>
    </w:tbl>
    <w:p/>
    <w:p>
      <w:pPr>
        <w:spacing w:before="200" w:after="100"/>
      </w:pPr>
      <w:r>
        <w:rPr>
          <w:rFonts w:ascii="Microsoft YaHei" w:hAnsi="Microsoft YaHei" w:eastAsia="Microsoft YaHei"/>
          <w:b/>
          <w:color w:val="1F4E79"/>
          <w:sz w:val="28"/>
        </w:rPr>
        <w:t>2. 执行环境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28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项目</w:t>
            </w:r>
          </w:p>
        </w:tc>
        <w:tc>
          <w:tcPr>
            <w:tcW w:type="dxa" w:w="5953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实际版本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Python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3.12.14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pytest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8.4.2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pytest-cov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7.1.0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Pillow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12.3.0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PyPNG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0.20220715.0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被测源码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python-qrcode v8.2（上游 commit 3704f57a）</w:t>
            </w:r>
          </w:p>
        </w:tc>
      </w:tr>
    </w:tbl>
    <w:p/>
    <w:p>
      <w:pPr>
        <w:spacing w:after="100"/>
      </w:pPr>
      <w:r>
        <w:rPr>
          <w:rFonts w:ascii="Microsoft YaHei" w:hAnsi="Microsoft YaHei" w:eastAsia="Microsoft YaHei"/>
          <w:b w:val="0"/>
          <w:sz w:val="21"/>
        </w:rPr>
        <w:t>统一命令：python -m pytest；覆盖率命令：python -m pytest --cov=qrcode --cov-branch --cov-report=term-missing --cov-report=xml。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E79"/>
          <w:sz w:val="28"/>
        </w:rPr>
        <w:t>3. 用例与执行结果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编号</w:t>
            </w:r>
          </w:p>
        </w:tc>
        <w:tc>
          <w:tcPr>
            <w:tcW w:type="dxa" w:w="4082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测试点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方法</w:t>
            </w:r>
          </w:p>
        </w:tc>
        <w:tc>
          <w:tcPr>
            <w:tcW w:type="dxa" w:w="1247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结果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TC-A-01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编码模式识别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等价类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TC-A-02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字母数字与字节数据分段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场景法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TC-A-03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minimum 分段阈值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边界值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TC-A-04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数字 QRData 位流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边界值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TC-A-05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字母数字 QRData 位流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等价类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TC-A-06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BitBuffer 跨字节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边界值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TC-A-07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字符计数位版本组边界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边界值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TC-A-08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v1-M 容量边界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边界值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TC-A-09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非法版本校验（A-01 回归）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等价类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TC-A-10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RS 分组与生成多项式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场景法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TC-A-11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BCH 已知编码向量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等价类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  <w:tr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TC-A-12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掩码公式与惩罚评分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场景法</w:t>
            </w:r>
          </w:p>
        </w:tc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通过</w:t>
            </w:r>
          </w:p>
        </w:tc>
      </w:tr>
    </w:tbl>
    <w:p/>
    <w:p>
      <w:pPr>
        <w:spacing w:after="100"/>
      </w:pPr>
      <w:r>
        <w:rPr>
          <w:rFonts w:ascii="Microsoft YaHei" w:hAnsi="Microsoft YaHei" w:eastAsia="Microsoft YaHei"/>
          <w:b w:val="0"/>
          <w:color w:val="595959"/>
          <w:sz w:val="19"/>
        </w:rPr>
        <w:t>pytest 计数说明：TC-A-09 参数化版本 0、41，因此 A 域执行显示为 13 个 pytest 项；业务用例编号仍为 12 条。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E79"/>
          <w:sz w:val="28"/>
        </w:rPr>
        <w:t>4. 回归与覆盖率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01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执行集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通过/失败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总覆盖率</w:t>
            </w:r>
          </w:p>
        </w:tc>
        <w:tc>
          <w:tcPr>
            <w:tcW w:type="dxa" w:w="10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base.py</w:t>
            </w:r>
          </w:p>
        </w:tc>
        <w:tc>
          <w:tcPr>
            <w:tcW w:type="dxa" w:w="1020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util.py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 基线人工测试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15 / 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48%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86%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88%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 合入前对照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 编码与纠错测试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13 / 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33%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99%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84%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 域单独运行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模块一人工测试合并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28 / 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51%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99%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96%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相对 B 基线总覆盖率 +3 个百分点</w:t>
            </w:r>
          </w:p>
        </w:tc>
      </w:tr>
    </w:tbl>
    <w:p/>
    <w:p>
      <w:pPr>
        <w:spacing w:after="100"/>
      </w:pPr>
      <w:r>
        <w:rPr>
          <w:rFonts w:ascii="Microsoft YaHei" w:hAnsi="Microsoft YaHei" w:eastAsia="Microsoft YaHei"/>
          <w:b w:val="0"/>
          <w:sz w:val="21"/>
        </w:rPr>
        <w:t>上述结果执行于修复 A-01 后；coverage.xml 为可再生输出，按 .gitignore 不提交。</w:t>
      </w:r>
    </w:p>
    <w:p>
      <w:pPr>
        <w:spacing w:before="200" w:after="100"/>
      </w:pPr>
      <w:r>
        <w:rPr>
          <w:rFonts w:ascii="Microsoft YaHei" w:hAnsi="Microsoft YaHei" w:eastAsia="Microsoft YaHei"/>
          <w:b/>
          <w:color w:val="1F4E79"/>
          <w:sz w:val="28"/>
        </w:rPr>
        <w:t>5. 缺陷结论与待办</w:t>
      </w:r>
    </w:p>
    <w:p>
      <w:pPr>
        <w:spacing w:after="100"/>
      </w:pPr>
      <w:r>
        <w:rPr>
          <w:rFonts w:ascii="Microsoft YaHei" w:hAnsi="Microsoft YaHei" w:eastAsia="Microsoft YaHei"/>
          <w:b w:val="0"/>
          <w:sz w:val="21"/>
        </w:rPr>
        <w:t>A-01 已完成“失败测试 → 独立修复 → A 域回归 → 全部模块一回归”闭环。缺陷详情见《成员 A：编码与纠错缺陷清单》。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948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事项</w:t>
            </w:r>
          </w:p>
        </w:tc>
        <w:tc>
          <w:tcPr>
            <w:tcW w:type="dxa" w:w="2381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当前状态</w:t>
            </w:r>
          </w:p>
        </w:tc>
        <w:tc>
          <w:tcPr>
            <w:tcW w:type="dxa" w:w="2211"/>
            <w:shd w:fill="D9EAF7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1F4E79"/>
                <w:sz w:val="18"/>
              </w:rPr>
              <w:t>后续责任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成员 C 交叉复现 A-01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待实际复现</w:t>
            </w:r>
          </w:p>
        </w:tc>
        <w:tc>
          <w:tcPr>
            <w:tcW w:type="dxa" w:w="221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成员 C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 审核 B 的模块一测试和缺陷证据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待成员 A 独立审核</w:t>
            </w:r>
          </w:p>
        </w:tc>
        <w:tc>
          <w:tcPr>
            <w:tcW w:type="dxa" w:w="221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成员 A</w:t>
            </w:r>
          </w:p>
        </w:tc>
      </w:tr>
      <w:tr>
        <w:tc>
          <w:tcPr>
            <w:tcW w:type="dxa" w:w="2948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课程提交前的人工署名与复核</w:t>
            </w:r>
          </w:p>
        </w:tc>
        <w:tc>
          <w:tcPr>
            <w:tcW w:type="dxa" w:w="238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待完成</w:t>
            </w:r>
          </w:p>
        </w:tc>
        <w:tc>
          <w:tcPr>
            <w:tcW w:type="dxa" w:w="2211"/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成员 A / 小组</w:t>
            </w:r>
          </w:p>
        </w:tc>
      </w:tr>
    </w:tbl>
    <w:p/>
    <w:p>
      <w:pPr>
        <w:spacing w:after="100"/>
      </w:pPr>
      <w:r>
        <w:rPr>
          <w:rFonts w:ascii="Microsoft YaHei" w:hAnsi="Microsoft YaHei" w:eastAsia="Microsoft YaHei"/>
          <w:b w:val="0"/>
          <w:color w:val="C0504D"/>
          <w:sz w:val="19"/>
        </w:rPr>
        <w:t>材料属性：技术草稿。不得在未完成独立人工审阅的情况下，将其表述为模块一人工测试成果。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6464"/>
        <w:sz w:val="16"/>
      </w:rPr>
      <w:t>课程作业材料 · 请在提交前完成成员 A 的独立审阅与签署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46464"/>
        <w:sz w:val="17"/>
      </w:rPr>
      <w:t>STandQA · 模块一 · 成员 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