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rFonts w:ascii="Calibri" w:hAnsi="Calibri"/>
          <w:b/>
          <w:i w:val="0"/>
          <w:color w:val="1E3A5F"/>
          <w:sz w:val="72"/>
        </w:rPr>
        <w:t>Causal Inference</w:t>
      </w:r>
    </w:p>
    <w:p>
      <w:pPr>
        <w:spacing w:after="480"/>
        <w:jc w:val="center"/>
      </w:pPr>
      <w:r>
        <w:rPr>
          <w:rFonts w:ascii="Calibri" w:hAnsi="Calibri"/>
          <w:b/>
          <w:i w:val="0"/>
          <w:color w:val="1E3A5F"/>
          <w:sz w:val="48"/>
        </w:rPr>
        <w:t>A Foundational Study Guide</w:t>
      </w:r>
    </w:p>
    <w:p>
      <w:pPr>
        <w:jc w:val="center"/>
      </w:pPr>
      <w:r>
        <w:rPr>
          <w:color w:val="0D9488"/>
          <w:sz w:val="28"/>
        </w:rPr>
        <w:t>━━━━━━━━━━━━━━━━━━━━━━━━━━━━━━━━━━━━━━━━━━━━━━━━━━</w:t>
      </w:r>
    </w:p>
    <w:p>
      <w:pPr>
        <w:spacing w:after="600"/>
        <w:jc w:val="center"/>
      </w:pPr>
      <w:r>
        <w:rPr>
          <w:rFonts w:ascii="Calibri" w:hAnsi="Calibri"/>
          <w:b w:val="0"/>
          <w:i w:val="0"/>
          <w:color w:val="0D9488"/>
          <w:sz w:val="32"/>
        </w:rPr>
        <w:t>For the DiaCausal Clinical Decision Support System</w:t>
      </w:r>
    </w:p>
    <w:p>
      <w:pPr>
        <w:spacing w:after="120"/>
        <w:jc w:val="center"/>
      </w:pPr>
      <w:r>
        <w:rPr>
          <w:rFonts w:ascii="Calibri" w:hAnsi="Calibri"/>
          <w:b w:val="0"/>
          <w:i w:val="0"/>
          <w:color w:val="333333"/>
          <w:sz w:val="26"/>
        </w:rPr>
        <w:t>B.Tech Final Year Major Project</w:t>
      </w:r>
    </w:p>
    <w:p>
      <w:pPr>
        <w:jc w:val="center"/>
      </w:pPr>
      <w:r>
        <w:rPr>
          <w:rFonts w:ascii="Calibri" w:hAnsi="Calibri"/>
          <w:b w:val="0"/>
          <w:i w:val="0"/>
          <w:color w:val="333333"/>
          <w:sz w:val="26"/>
        </w:rPr>
        <w:t>August 2026</w:t>
      </w:r>
    </w:p>
    <w:p>
      <w:r>
        <w:br w:type="page"/>
      </w:r>
    </w:p>
    <w:p>
      <w:pPr>
        <w:pStyle w:val="Heading1"/>
      </w:pPr>
      <w:r>
        <w:t>Table of Contents</w:t>
      </w:r>
    </w:p>
    <w:p>
      <w:r>
        <w:rPr>
          <w:rFonts w:ascii="Calibri" w:hAnsi="Calibri"/>
          <w:b w:val="0"/>
          <w:i w:val="0"/>
          <w:color w:val="1E3A5F"/>
          <w:sz w:val="24"/>
        </w:rPr>
        <w:t>1. Introduction to Causal Inference</w:t>
      </w:r>
    </w:p>
    <w:p>
      <w:r>
        <w:rPr>
          <w:rFonts w:ascii="Calibri" w:hAnsi="Calibri"/>
          <w:b w:val="0"/>
          <w:i w:val="0"/>
          <w:color w:val="1E3A5F"/>
          <w:sz w:val="24"/>
        </w:rPr>
        <w:t>2. The Potential Outcomes Framework (Rubin Causal Model)</w:t>
      </w:r>
    </w:p>
    <w:p>
      <w:r>
        <w:rPr>
          <w:rFonts w:ascii="Calibri" w:hAnsi="Calibri"/>
          <w:b w:val="0"/>
          <w:i w:val="0"/>
          <w:color w:val="1E3A5F"/>
          <w:sz w:val="24"/>
        </w:rPr>
        <w:t>3. Core Assumptions for Causal Identification</w:t>
      </w:r>
    </w:p>
    <w:p>
      <w:r>
        <w:rPr>
          <w:rFonts w:ascii="Calibri" w:hAnsi="Calibri"/>
          <w:b w:val="0"/>
          <w:i w:val="0"/>
          <w:color w:val="1E3A5F"/>
          <w:sz w:val="24"/>
        </w:rPr>
        <w:t>4. Pearl's Structural Causal Model (SCM) &amp; Do-Calculus</w:t>
      </w:r>
    </w:p>
    <w:p>
      <w:r>
        <w:rPr>
          <w:rFonts w:ascii="Calibri" w:hAnsi="Calibri"/>
          <w:b w:val="0"/>
          <w:i w:val="0"/>
          <w:color w:val="1E3A5F"/>
          <w:sz w:val="24"/>
        </w:rPr>
        <w:t>5. Estimation Methods</w:t>
      </w:r>
    </w:p>
    <w:p>
      <w:r>
        <w:rPr>
          <w:rFonts w:ascii="Calibri" w:hAnsi="Calibri"/>
          <w:b w:val="0"/>
          <w:i w:val="0"/>
          <w:color w:val="1E3A5F"/>
          <w:sz w:val="24"/>
        </w:rPr>
        <w:t>6. Refutation &amp; Robustness Checks</w:t>
      </w:r>
    </w:p>
    <w:p>
      <w:r>
        <w:rPr>
          <w:rFonts w:ascii="Calibri" w:hAnsi="Calibri"/>
          <w:b w:val="0"/>
          <w:i w:val="0"/>
          <w:color w:val="1E3A5F"/>
          <w:sz w:val="24"/>
        </w:rPr>
        <w:t>7. Directed Acyclic Graphs (DAGs) for Diabetes</w:t>
      </w:r>
    </w:p>
    <w:p>
      <w:r>
        <w:rPr>
          <w:rFonts w:ascii="Calibri" w:hAnsi="Calibri"/>
          <w:b w:val="0"/>
          <w:i w:val="0"/>
          <w:color w:val="1E3A5F"/>
          <w:sz w:val="24"/>
        </w:rPr>
        <w:t>8. Application to DiaCausal CDSS</w:t>
      </w:r>
    </w:p>
    <w:p>
      <w:r>
        <w:rPr>
          <w:rFonts w:ascii="Calibri" w:hAnsi="Calibri"/>
          <w:b w:val="0"/>
          <w:i w:val="0"/>
          <w:color w:val="1E3A5F"/>
          <w:sz w:val="24"/>
        </w:rPr>
        <w:t>9. Glossary of Key Terms</w:t>
      </w:r>
    </w:p>
    <w:p>
      <w:r>
        <w:rPr>
          <w:rFonts w:ascii="Calibri" w:hAnsi="Calibri"/>
          <w:b w:val="0"/>
          <w:i w:val="0"/>
          <w:color w:val="1E3A5F"/>
          <w:sz w:val="24"/>
        </w:rPr>
        <w:t>10. References</w:t>
      </w:r>
    </w:p>
    <w:p>
      <w:r>
        <w:br w:type="page"/>
      </w:r>
    </w:p>
    <w:p>
      <w:pPr>
        <w:pStyle w:val="Heading1"/>
      </w:pPr>
      <w:r>
        <w:t>1. Introduction to Causal Inference</w:t>
      </w:r>
    </w:p>
    <w:p>
      <w:pPr>
        <w:pStyle w:val="Heading2"/>
      </w:pPr>
      <w:r>
        <w:t>1.1 What is Causal Inference?</w:t>
      </w:r>
    </w:p>
    <w:p>
      <w:r>
        <w:rPr>
          <w:rFonts w:ascii="Calibri" w:hAnsi="Calibri"/>
          <w:b w:val="0"/>
          <w:i w:val="0"/>
        </w:rPr>
        <w:t>Causal inference is the science of drawing conclusions about cause-and-effect relationships from data. Unlike traditional statistical analysis, which focuses on identifying patterns and correlations, causal inference seeks to answer a fundamentally different question: Does changing X actually cause a change in Y?</w:t>
      </w:r>
    </w:p>
    <w:p>
      <w:r>
        <w:rPr>
          <w:rFonts w:ascii="Calibri" w:hAnsi="Calibri"/>
          <w:b/>
          <w:i w:val="0"/>
          <w:u w:val="none"/>
        </w:rPr>
        <w:t xml:space="preserve">Correlation: </w:t>
      </w:r>
      <w:r>
        <w:rPr>
          <w:rFonts w:ascii="Calibri" w:hAnsi="Calibri"/>
          <w:b w:val="0"/>
          <w:i w:val="0"/>
          <w:u w:val="none"/>
        </w:rPr>
        <w:t>Two variables move together (e.g., ice cream sales and drowning rates both rise in summer).</w:t>
      </w:r>
    </w:p>
    <w:p>
      <w:r>
        <w:rPr>
          <w:rFonts w:ascii="Calibri" w:hAnsi="Calibri"/>
          <w:b/>
          <w:i w:val="0"/>
          <w:u w:val="none"/>
        </w:rPr>
        <w:t xml:space="preserve">Causation: </w:t>
      </w:r>
      <w:r>
        <w:rPr>
          <w:rFonts w:ascii="Calibri" w:hAnsi="Calibri"/>
          <w:b w:val="0"/>
          <w:i w:val="0"/>
          <w:u w:val="none"/>
        </w:rPr>
        <w:t>One variable directly influences another (e.g., taking insulin directly lowers blood glucose).</w:t>
      </w:r>
    </w:p>
    <w:p>
      <w:r>
        <w:rPr>
          <w:rFonts w:ascii="Calibri" w:hAnsi="Calibri"/>
          <w:b w:val="0"/>
          <w:i w:val="0"/>
        </w:rPr>
        <w:t>The famous dictum "correlation does not imply causation" is central to this field. Causal inference provides the mathematical and statistical tools to move beyond correlation and make rigorous causal claims, even from observational (non-experimental) data.</w:t>
      </w:r>
    </w:p>
    <w:p>
      <w:pPr>
        <w:pStyle w:val="Heading2"/>
      </w:pPr>
      <w:r>
        <w:t>1.2 Why Causal Inference Matters in Healthcare / Diabetes CDSS</w:t>
      </w:r>
    </w:p>
    <w:p>
      <w:r>
        <w:rPr>
          <w:rFonts w:ascii="Calibri" w:hAnsi="Calibri"/>
          <w:b w:val="0"/>
          <w:i w:val="0"/>
        </w:rPr>
        <w:t>In clinical decision-making, physicians do not merely want to know what is associated with better outcomes — they need to know what will cause better outcomes if prescribed. A Clinical Decision Support System (CDSS) that confuses correlation with causation may make harmful recommendations.</w:t>
      </w:r>
    </w:p>
    <w:p>
      <w:pPr>
        <w:pStyle w:val="ListBullet"/>
        <w:ind w:left="720"/>
      </w:pPr>
      <w:r>
        <w:rPr>
          <w:rFonts w:ascii="Calibri" w:hAnsi="Calibri"/>
        </w:rPr>
        <w:t>A purely correlational model might observe that patients on insulin have higher mortality — not because insulin is harmful, but because sicker patients are prescribed insulin (confounding by indication).</w:t>
      </w:r>
    </w:p>
    <w:p>
      <w:pPr>
        <w:pStyle w:val="ListBullet"/>
        <w:ind w:left="720"/>
      </w:pPr>
      <w:r>
        <w:rPr>
          <w:rFonts w:ascii="Calibri" w:hAnsi="Calibri"/>
        </w:rPr>
        <w:t>A causal model identifies and adjusts for these confounders, revealing the true effect of each treatment.</w:t>
      </w:r>
    </w:p>
    <w:p>
      <w:pPr>
        <w:pStyle w:val="ListBullet"/>
        <w:ind w:left="720"/>
      </w:pPr>
      <w:r>
        <w:rPr>
          <w:rFonts w:ascii="Calibri" w:hAnsi="Calibri"/>
        </w:rPr>
        <w:t>For diabetes management, causal inference enables personalized treatment recommendations: which drug will cause the best HbA1c reduction for THIS specific patient?</w:t>
      </w:r>
    </w:p>
    <w:p>
      <w:pPr>
        <w:pStyle w:val="Heading2"/>
      </w:pPr>
      <w:r>
        <w:t>1.3 The Ladder of Causation (Judea Pearl)</w:t>
      </w:r>
    </w:p>
    <w:p>
      <w:r>
        <w:rPr>
          <w:rFonts w:ascii="Calibri" w:hAnsi="Calibri"/>
          <w:b w:val="0"/>
          <w:i w:val="0"/>
        </w:rPr>
        <w:t>Judea Pearl's Ladder of Causation defines three distinct levels of causal reasoning, each requiring increasingly powerful tools:</w:t>
      </w:r>
    </w:p>
    <w:p>
      <w:r>
        <w:rPr>
          <w:rFonts w:ascii="Calibri" w:hAnsi="Calibri"/>
          <w:b/>
          <w:i w:val="0"/>
          <w:color w:val="1E3A5F"/>
          <w:sz w:val="24"/>
          <w:u w:val="none"/>
        </w:rPr>
        <w:t xml:space="preserve">Level 1 — Association (Seeing): </w:t>
      </w:r>
      <w:r>
        <w:rPr>
          <w:rFonts w:ascii="Calibri" w:hAnsi="Calibri"/>
          <w:b/>
          <w:i w:val="0"/>
          <w:sz w:val="24"/>
          <w:u w:val="none"/>
        </w:rPr>
        <w:t>P(Y | X)</w:t>
      </w:r>
    </w:p>
    <w:p>
      <w:r>
        <w:rPr>
          <w:rFonts w:ascii="Calibri" w:hAnsi="Calibri"/>
          <w:b w:val="0"/>
          <w:i w:val="0"/>
        </w:rPr>
        <w:t>Observing patterns in data. Purely statistical. No causal claim.</w:t>
      </w:r>
    </w:p>
    <w:p>
      <w:pPr>
        <w:spacing w:before="80" w:after="160"/>
        <w:ind w:left="576"/>
      </w:pPr>
      <w:r>
        <w:rPr>
          <w:rFonts w:ascii="Calibri" w:hAnsi="Calibri"/>
          <w:b/>
          <w:color w:val="0D9488"/>
          <w:sz w:val="22"/>
        </w:rPr>
        <w:t xml:space="preserve">🩺 Diabetes Example: </w:t>
      </w:r>
      <w:r>
        <w:rPr>
          <w:rFonts w:ascii="Calibri" w:hAnsi="Calibri"/>
          <w:i/>
          <w:color w:val="0D9488"/>
          <w:sz w:val="22"/>
        </w:rPr>
        <w:t>"Patients on Metformin have lower HbA1c." — But is Metformin causing the lower HbA1c, or are healthier patients more likely to be prescribed Metformin?</w:t>
      </w:r>
    </w:p>
    <w:p>
      <w:r>
        <w:rPr>
          <w:rFonts w:ascii="Calibri" w:hAnsi="Calibri"/>
          <w:b/>
          <w:i w:val="0"/>
          <w:color w:val="1E3A5F"/>
          <w:sz w:val="24"/>
          <w:u w:val="none"/>
        </w:rPr>
        <w:t xml:space="preserve">Level 2 — Intervention (Doing): </w:t>
      </w:r>
      <w:r>
        <w:rPr>
          <w:rFonts w:ascii="Calibri" w:hAnsi="Calibri"/>
          <w:b/>
          <w:i w:val="0"/>
          <w:sz w:val="24"/>
          <w:u w:val="none"/>
        </w:rPr>
        <w:t>P(Y | do(X))</w:t>
      </w:r>
    </w:p>
    <w:p>
      <w:r>
        <w:rPr>
          <w:rFonts w:ascii="Calibri" w:hAnsi="Calibri"/>
          <w:b w:val="0"/>
          <w:i w:val="0"/>
        </w:rPr>
        <w:t>What happens if we actively intervene? This requires knowledge of the causal structure.</w:t>
      </w:r>
    </w:p>
    <w:p>
      <w:pPr>
        <w:spacing w:before="80" w:after="160"/>
        <w:ind w:left="576"/>
      </w:pPr>
      <w:r>
        <w:rPr>
          <w:rFonts w:ascii="Calibri" w:hAnsi="Calibri"/>
          <w:b/>
          <w:color w:val="0D9488"/>
          <w:sz w:val="22"/>
        </w:rPr>
        <w:t xml:space="preserve">🩺 Diabetes Example: </w:t>
      </w:r>
      <w:r>
        <w:rPr>
          <w:rFonts w:ascii="Calibri" w:hAnsi="Calibri"/>
          <w:i/>
          <w:color w:val="0D9488"/>
          <w:sz w:val="22"/>
        </w:rPr>
        <w:t>"If we prescribe Metformin to a patient, their HbA1c will drop by an expected 1.2%." — This is a causal claim about the effect of intervention.</w:t>
      </w:r>
    </w:p>
    <w:p>
      <w:r>
        <w:rPr>
          <w:rFonts w:ascii="Calibri" w:hAnsi="Calibri"/>
          <w:b/>
          <w:i w:val="0"/>
          <w:color w:val="1E3A5F"/>
          <w:sz w:val="24"/>
          <w:u w:val="none"/>
        </w:rPr>
        <w:t xml:space="preserve">Level 3 — Counterfactual (Imagining): </w:t>
      </w:r>
      <w:r>
        <w:rPr>
          <w:rFonts w:ascii="Calibri" w:hAnsi="Calibri"/>
          <w:b/>
          <w:i w:val="0"/>
          <w:sz w:val="24"/>
          <w:u w:val="none"/>
        </w:rPr>
        <w:t>P(Y_x | X', Y')</w:t>
      </w:r>
    </w:p>
    <w:p>
      <w:r>
        <w:rPr>
          <w:rFonts w:ascii="Calibri" w:hAnsi="Calibri"/>
          <w:b w:val="0"/>
          <w:i w:val="0"/>
        </w:rPr>
        <w:t>Reasoning about what would have happened in an alternate scenario. The highest level of causal reasoning.</w:t>
      </w:r>
    </w:p>
    <w:p>
      <w:pPr>
        <w:spacing w:before="80" w:after="160"/>
        <w:ind w:left="576"/>
      </w:pPr>
      <w:r>
        <w:rPr>
          <w:rFonts w:ascii="Calibri" w:hAnsi="Calibri"/>
          <w:b/>
          <w:color w:val="0D9488"/>
          <w:sz w:val="22"/>
        </w:rPr>
        <w:t xml:space="preserve">🩺 Diabetes Example: </w:t>
      </w:r>
      <w:r>
        <w:rPr>
          <w:rFonts w:ascii="Calibri" w:hAnsi="Calibri"/>
          <w:i/>
          <w:color w:val="0D9488"/>
          <w:sz w:val="22"/>
        </w:rPr>
        <w:t>"Would this patient's HbA1c have dropped had we prescribed an SGLT2 inhibitor instead of the GLP-1 RA they actually received?" — This is personalized counterfactual reasoning, and it is precisely what your CDSS aims to compute.</w:t>
      </w:r>
    </w:p>
    <w:p>
      <w:r>
        <w:br w:type="page"/>
      </w:r>
    </w:p>
    <w:p>
      <w:pPr>
        <w:pStyle w:val="Heading1"/>
      </w:pPr>
      <w:r>
        <w:t>2. The Potential Outcomes Framework (Rubin Causal Model)</w:t>
      </w:r>
    </w:p>
    <w:p>
      <w:r>
        <w:rPr>
          <w:rFonts w:ascii="Calibri" w:hAnsi="Calibri"/>
          <w:b w:val="0"/>
          <w:i w:val="0"/>
        </w:rPr>
        <w:t>The Potential Outcomes Framework, developed by Donald Rubin, is one of the two major frameworks for causal inference (the other being Pearl's SCM). It defines causality in terms of potential outcomes — what would happen under each possible treatment.</w:t>
      </w:r>
    </w:p>
    <w:p>
      <w:pPr>
        <w:pStyle w:val="Heading2"/>
      </w:pPr>
      <w:r>
        <w:t>2.1 Individual Treatment Effect (ITE)</w:t>
      </w:r>
    </w:p>
    <w:p>
      <w:pPr>
        <w:spacing w:before="120" w:after="80"/>
        <w:ind w:left="720"/>
      </w:pPr>
      <w:r>
        <w:rPr>
          <w:rFonts w:ascii="Consolas" w:hAnsi="Consolas"/>
          <w:b/>
          <w:color w:val="1E3A5F"/>
          <w:sz w:val="24"/>
        </w:rPr>
        <w:t>τᵢ = Yᵢ(1) − Yᵢ(0)</w:t>
      </w:r>
    </w:p>
    <w:p>
      <w:r>
        <w:rPr>
          <w:rFonts w:ascii="Calibri" w:hAnsi="Calibri"/>
          <w:b/>
          <w:i w:val="0"/>
          <w:u w:val="none"/>
        </w:rPr>
        <w:t>Where:</w:t>
      </w:r>
    </w:p>
    <w:p>
      <w:pPr>
        <w:pStyle w:val="ListBullet"/>
        <w:ind w:left="720"/>
      </w:pPr>
      <w:r>
        <w:rPr>
          <w:rFonts w:ascii="Calibri" w:hAnsi="Calibri"/>
          <w:b/>
          <w:i/>
        </w:rPr>
        <w:t>Yᵢ(1)</w:t>
      </w:r>
      <w:r>
        <w:rPr>
          <w:rFonts w:ascii="Calibri" w:hAnsi="Calibri"/>
        </w:rPr>
        <w:t xml:space="preserve"> = Outcome (e.g., HbA1c change) if patient i receives treatment</w:t>
      </w:r>
    </w:p>
    <w:p>
      <w:pPr>
        <w:ind w:left="720"/>
      </w:pPr>
      <w:r>
        <w:rPr>
          <w:rFonts w:ascii="Calibri" w:hAnsi="Calibri"/>
          <w:b/>
          <w:i/>
        </w:rPr>
        <w:t>Yᵢ(0)</w:t>
      </w:r>
      <w:r>
        <w:rPr>
          <w:rFonts w:ascii="Calibri" w:hAnsi="Calibri"/>
        </w:rPr>
        <w:t xml:space="preserve"> = Outcome if patient i does NOT receive treatment</w:t>
      </w:r>
    </w:p>
    <w:p>
      <w:pPr>
        <w:ind w:left="720"/>
      </w:pPr>
      <w:r>
        <w:rPr>
          <w:rFonts w:ascii="Calibri" w:hAnsi="Calibri"/>
          <w:b/>
          <w:i/>
        </w:rPr>
        <w:t>τᵢ</w:t>
      </w:r>
      <w:r>
        <w:rPr>
          <w:rFonts w:ascii="Calibri" w:hAnsi="Calibri"/>
        </w:rPr>
        <w:t xml:space="preserve"> = Individual causal effect of the treatment for patient i</w:t>
      </w:r>
    </w:p>
    <w:p>
      <w:pPr>
        <w:spacing w:before="80" w:after="160"/>
        <w:ind w:left="576"/>
      </w:pPr>
      <w:r>
        <w:rPr>
          <w:rFonts w:ascii="Calibri" w:hAnsi="Calibri"/>
          <w:b/>
          <w:color w:val="0D9488"/>
          <w:sz w:val="22"/>
        </w:rPr>
        <w:t xml:space="preserve">🩺 Diabetes Example: </w:t>
      </w:r>
      <w:r>
        <w:rPr>
          <w:rFonts w:ascii="Calibri" w:hAnsi="Calibri"/>
          <w:i/>
          <w:color w:val="0D9488"/>
          <w:sz w:val="22"/>
        </w:rPr>
        <w:t>If a patient's HbA1c would be 7.2% with SGLT2i and 8.1% without, τᵢ = 7.2 − 8.1 = −0.9% (a 0.9% reduction attributable to the drug).</w:t>
      </w:r>
    </w:p>
    <w:p>
      <w:pPr>
        <w:pStyle w:val="Heading2"/>
      </w:pPr>
      <w:r>
        <w:t>2.2 The Fundamental Problem of Causal Inference</w:t>
      </w:r>
    </w:p>
    <w:p>
      <w:r>
        <w:rPr>
          <w:rFonts w:ascii="Calibri" w:hAnsi="Calibri"/>
          <w:b/>
          <w:i/>
          <w:sz w:val="24"/>
          <w:u w:val="none"/>
        </w:rPr>
        <w:t>"We can never observe BOTH Yᵢ(1) and Yᵢ(0) for the same patient simultaneously."</w:t>
      </w:r>
    </w:p>
    <w:p>
      <w:r>
        <w:rPr>
          <w:rFonts w:ascii="Calibri" w:hAnsi="Calibri"/>
          <w:b w:val="0"/>
          <w:i w:val="0"/>
        </w:rPr>
        <w:t>For any given patient, we observe only ONE of the two potential outcomes — the one corresponding to the treatment they actually received. The other outcome is forever counterfactual (unobserved). This is why causal inference is fundamentally a missing data problem.</w:t>
      </w:r>
    </w:p>
    <w:p>
      <w:pPr>
        <w:pStyle w:val="Heading2"/>
      </w:pPr>
      <w:r>
        <w:t>2.3 Average Treatment Effect (ATE)</w:t>
      </w:r>
    </w:p>
    <w:p>
      <w:pPr>
        <w:spacing w:before="120" w:after="80"/>
        <w:ind w:left="720"/>
      </w:pPr>
      <w:r>
        <w:rPr>
          <w:rFonts w:ascii="Consolas" w:hAnsi="Consolas"/>
          <w:b/>
          <w:color w:val="1E3A5F"/>
          <w:sz w:val="24"/>
        </w:rPr>
        <w:t>ATE = E[Y(1) − Y(0)] = E[Y(1)] − E[Y(0)]</w:t>
      </w:r>
    </w:p>
    <w:p>
      <w:r>
        <w:rPr>
          <w:rFonts w:ascii="Calibri" w:hAnsi="Calibri"/>
          <w:b w:val="0"/>
          <w:i w:val="0"/>
        </w:rPr>
        <w:t>The average causal effect of the treatment across the entire patient population. While we cannot compute individual ITEs, we can estimate the ATE under certain assumptions.</w:t>
      </w:r>
    </w:p>
    <w:p>
      <w:pPr>
        <w:spacing w:before="80" w:after="160"/>
        <w:ind w:left="576"/>
      </w:pPr>
      <w:r>
        <w:rPr>
          <w:rFonts w:ascii="Calibri" w:hAnsi="Calibri"/>
          <w:b/>
          <w:color w:val="0D9488"/>
          <w:sz w:val="22"/>
        </w:rPr>
        <w:t xml:space="preserve">🩺 Diabetes Example: </w:t>
      </w:r>
      <w:r>
        <w:rPr>
          <w:rFonts w:ascii="Calibri" w:hAnsi="Calibri"/>
          <w:i/>
          <w:color w:val="0D9488"/>
          <w:sz w:val="22"/>
        </w:rPr>
        <w:t>"On average, prescribing GLP-1 RA reduces HbA1c by 1.5% across all Type 2 diabetic patients."</w:t>
      </w:r>
    </w:p>
    <w:p>
      <w:pPr>
        <w:pStyle w:val="Heading2"/>
      </w:pPr>
      <w:r>
        <w:t>2.4 Average Treatment Effect on the Treated (ATT)</w:t>
      </w:r>
    </w:p>
    <w:p>
      <w:pPr>
        <w:spacing w:before="120" w:after="80"/>
        <w:ind w:left="720"/>
      </w:pPr>
      <w:r>
        <w:rPr>
          <w:rFonts w:ascii="Consolas" w:hAnsi="Consolas"/>
          <w:b/>
          <w:color w:val="1E3A5F"/>
          <w:sz w:val="24"/>
        </w:rPr>
        <w:t>ATT = E[Y(1) − Y(0) | T = 1]</w:t>
      </w:r>
    </w:p>
    <w:p>
      <w:r>
        <w:rPr>
          <w:rFonts w:ascii="Calibri" w:hAnsi="Calibri"/>
          <w:b w:val="0"/>
          <w:i w:val="0"/>
        </w:rPr>
        <w:t>The average effect ONLY among patients who actually received the treatment. This is useful when we care specifically about the population that was treated, not the entire population.</w:t>
      </w:r>
    </w:p>
    <w:p>
      <w:pPr>
        <w:spacing w:before="80" w:after="160"/>
        <w:ind w:left="576"/>
      </w:pPr>
      <w:r>
        <w:rPr>
          <w:rFonts w:ascii="Calibri" w:hAnsi="Calibri"/>
          <w:b/>
          <w:color w:val="0D9488"/>
          <w:sz w:val="22"/>
        </w:rPr>
        <w:t xml:space="preserve">🩺 Diabetes Example: </w:t>
      </w:r>
      <w:r>
        <w:rPr>
          <w:rFonts w:ascii="Calibri" w:hAnsi="Calibri"/>
          <w:i/>
          <w:color w:val="0D9488"/>
          <w:sz w:val="22"/>
        </w:rPr>
        <w:t>"Among patients who were actually prescribed SGLT2i, the average HbA1c reduction was 1.3%."</w:t>
      </w:r>
    </w:p>
    <w:p>
      <w:pPr>
        <w:pStyle w:val="Heading2"/>
      </w:pPr>
      <w:r>
        <w:t>2.5 Conditional Average Treatment Effect (CATE)</w:t>
      </w:r>
    </w:p>
    <w:p>
      <w:pPr>
        <w:spacing w:before="120" w:after="80"/>
        <w:ind w:left="720"/>
      </w:pPr>
      <w:r>
        <w:rPr>
          <w:rFonts w:ascii="Consolas" w:hAnsi="Consolas"/>
          <w:b/>
          <w:color w:val="1E3A5F"/>
          <w:sz w:val="24"/>
        </w:rPr>
        <w:t>CATE(x) = E[Y(1) − Y(0) | X = x]</w:t>
      </w:r>
    </w:p>
    <w:p>
      <w:r>
        <w:rPr>
          <w:rFonts w:ascii="Calibri" w:hAnsi="Calibri"/>
          <w:b w:val="0"/>
          <w:i w:val="0"/>
          <w:u w:val="none"/>
        </w:rPr>
        <w:t xml:space="preserve">Where </w:t>
      </w:r>
      <w:r>
        <w:rPr>
          <w:rFonts w:ascii="Calibri" w:hAnsi="Calibri"/>
          <w:b/>
          <w:i/>
          <w:u w:val="none"/>
        </w:rPr>
        <w:t>X</w:t>
      </w:r>
      <w:r>
        <w:rPr>
          <w:rFonts w:ascii="Calibri" w:hAnsi="Calibri"/>
          <w:b w:val="0"/>
          <w:i/>
          <w:u w:val="none"/>
        </w:rPr>
        <w:t xml:space="preserve"> = patient covariates (Age, BMI, eGFR, comorbidities, baseline HbA1c, etc.)</w:t>
      </w:r>
    </w:p>
    <w:p>
      <w:r>
        <w:rPr>
          <w:rFonts w:ascii="Calibri" w:hAnsi="Calibri"/>
          <w:b w:val="0"/>
          <w:i w:val="0"/>
        </w:rPr>
        <w:t>The CATE is the expected treatment effect for a subgroup of patients defined by covariates X = x. This is the PRIMARY estimand your CDSS will compute for personalized treatment recommendations. It enables heterogeneous treatment effect (HTE) estimation — recognizing that not all patients respond the same way to a given drug.</w:t>
      </w:r>
    </w:p>
    <w:p>
      <w:pPr>
        <w:spacing w:before="80" w:after="160"/>
        <w:ind w:left="576"/>
      </w:pPr>
      <w:r>
        <w:rPr>
          <w:rFonts w:ascii="Calibri" w:hAnsi="Calibri"/>
          <w:b/>
          <w:color w:val="0D9488"/>
          <w:sz w:val="22"/>
        </w:rPr>
        <w:t xml:space="preserve">🩺 Diabetes Example: </w:t>
      </w:r>
      <w:r>
        <w:rPr>
          <w:rFonts w:ascii="Calibri" w:hAnsi="Calibri"/>
          <w:i/>
          <w:color w:val="0D9488"/>
          <w:sz w:val="22"/>
        </w:rPr>
        <w:t>"For patients with BMI &gt; 35, eGFR &gt; 60, and no cardiovascular history, SGLT2 inhibitors reduce HbA1c by an estimated 1.8% — significantly higher than the population ATE of 1.2%. This suggests SGLT2i are particularly effective for this subgroup."</w:t>
      </w:r>
    </w:p>
    <w:p>
      <w:r>
        <w:rPr>
          <w:rFonts w:ascii="Calibri" w:hAnsi="Calibri"/>
          <w:b/>
          <w:i w:val="0"/>
          <w:color w:val="0D9488"/>
          <w:sz w:val="22"/>
          <w:u w:val="none"/>
        </w:rPr>
        <w:t>→ This is the key quantity the DiaCausal CDSS computes to generate personalized recommendations.</w:t>
      </w:r>
    </w:p>
    <w:p>
      <w:r>
        <w:br w:type="page"/>
      </w:r>
    </w:p>
    <w:p>
      <w:pPr>
        <w:pStyle w:val="Heading1"/>
      </w:pPr>
      <w:r>
        <w:t>3. Core Assumptions for Causal Identification</w:t>
      </w:r>
    </w:p>
    <w:p>
      <w:r>
        <w:rPr>
          <w:rFonts w:ascii="Calibri" w:hAnsi="Calibri"/>
          <w:b w:val="0"/>
          <w:i w:val="0"/>
        </w:rPr>
        <w:t>Causal inference from observational data is only valid when certain assumptions hold. These assumptions cannot be tested from the data alone — they must be justified by domain knowledge.</w:t>
      </w:r>
    </w:p>
    <w:p>
      <w:pPr>
        <w:pStyle w:val="Heading2"/>
      </w:pPr>
      <w:r>
        <w:t>3.1 SUTVA (Stable Unit Treatment Value Assumption)</w:t>
      </w:r>
    </w:p>
    <w:p>
      <w:pPr>
        <w:spacing w:before="120" w:after="80"/>
        <w:ind w:left="720"/>
      </w:pPr>
      <w:r>
        <w:rPr>
          <w:rFonts w:ascii="Consolas" w:hAnsi="Consolas"/>
          <w:b/>
          <w:color w:val="1E3A5F"/>
          <w:sz w:val="24"/>
        </w:rPr>
        <w:t>Yᵢ = Yᵢ(Tᵢ)</w:t>
      </w:r>
    </w:p>
    <w:p>
      <w:r>
        <w:rPr>
          <w:rFonts w:ascii="Calibri" w:hAnsi="Calibri"/>
          <w:b w:val="0"/>
          <w:i w:val="0"/>
        </w:rPr>
        <w:t>Patient i's outcome depends ONLY on their own treatment assignment, not on what treatment other patients receive. Additionally, there is only one version of each treatment level (no hidden variations).</w:t>
      </w:r>
    </w:p>
    <w:p>
      <w:pPr>
        <w:spacing w:before="80" w:after="160"/>
        <w:ind w:left="576"/>
      </w:pPr>
      <w:r>
        <w:rPr>
          <w:rFonts w:ascii="Calibri" w:hAnsi="Calibri"/>
          <w:b/>
          <w:color w:val="0D9488"/>
          <w:sz w:val="22"/>
        </w:rPr>
        <w:t xml:space="preserve">🩺 Diabetes Example: </w:t>
      </w:r>
      <w:r>
        <w:rPr>
          <w:rFonts w:ascii="Calibri" w:hAnsi="Calibri"/>
          <w:i/>
          <w:color w:val="0D9488"/>
          <w:sz w:val="22"/>
        </w:rPr>
        <w:t>Valid: Prescribing insulin to Patient A does not affect Patient B's blood sugar. Each patient's diabetes outcome is independent of other patients' treatments.</w:t>
      </w:r>
    </w:p>
    <w:p>
      <w:pPr>
        <w:pStyle w:val="Heading2"/>
      </w:pPr>
      <w:r>
        <w:t>3.2 Ignorability / Unconfoundedness (No Hidden Confounders)</w:t>
      </w:r>
    </w:p>
    <w:p>
      <w:pPr>
        <w:spacing w:before="120" w:after="80"/>
        <w:ind w:left="720"/>
      </w:pPr>
      <w:r>
        <w:rPr>
          <w:rFonts w:ascii="Consolas" w:hAnsi="Consolas"/>
          <w:b/>
          <w:color w:val="1E3A5F"/>
          <w:sz w:val="24"/>
        </w:rPr>
        <w:t>{Y(0), Y(1)} ⊥⊥ T | X</w:t>
      </w:r>
    </w:p>
    <w:p>
      <w:r>
        <w:rPr>
          <w:rFonts w:ascii="Calibri" w:hAnsi="Calibri"/>
          <w:b w:val="0"/>
          <w:i w:val="0"/>
        </w:rPr>
        <w:t>Given observed covariates X, treatment assignment T is independent of potential outcomes. In other words, after conditioning on X, there are no remaining unmeasured factors that simultaneously influence both the treatment decision and the outcome.</w:t>
      </w:r>
    </w:p>
    <w:p>
      <w:pPr>
        <w:spacing w:before="80" w:after="160"/>
        <w:ind w:left="576"/>
      </w:pPr>
      <w:r>
        <w:rPr>
          <w:rFonts w:ascii="Calibri" w:hAnsi="Calibri"/>
          <w:b/>
          <w:color w:val="0D9488"/>
          <w:sz w:val="22"/>
        </w:rPr>
        <w:t xml:space="preserve">🩺 Diabetes Example: </w:t>
      </w:r>
      <w:r>
        <w:rPr>
          <w:rFonts w:ascii="Calibri" w:hAnsi="Calibri"/>
          <w:i/>
          <w:color w:val="0D9488"/>
          <w:sz w:val="22"/>
        </w:rPr>
        <w:t>If we control for age, BMI, baseline HbA1c, eGFR, and comorbidities, then the doctor's drug choice is effectively random (conditional on these factors). The treatment assignment carries no additional information about the potential outcomes.</w:t>
      </w:r>
    </w:p>
    <w:p>
      <w:pPr>
        <w:spacing w:before="80" w:after="160"/>
        <w:ind w:left="576"/>
      </w:pPr>
      <w:r>
        <w:rPr>
          <w:rFonts w:ascii="Calibri" w:hAnsi="Calibri"/>
          <w:b/>
          <w:color w:val="DC2626"/>
        </w:rPr>
        <w:t xml:space="preserve">⚠ WARNING: </w:t>
      </w:r>
      <w:r>
        <w:rPr>
          <w:rFonts w:ascii="Calibri" w:hAnsi="Calibri"/>
          <w:color w:val="DC2626"/>
        </w:rPr>
        <w:t>This is the hardest assumption to satisfy. If an unrecorded variable (e.g., patient adherence, socioeconomic status, or physician preference) affects both drug choice and outcome, causal estimates will be BIASED. Always perform sensitivity analysis to assess robustness.</w:t>
      </w:r>
    </w:p>
    <w:p>
      <w:pPr>
        <w:pStyle w:val="Heading2"/>
      </w:pPr>
      <w:r>
        <w:t>3.3 Positivity / Overlap</w:t>
      </w:r>
    </w:p>
    <w:p>
      <w:pPr>
        <w:spacing w:before="120" w:after="80"/>
        <w:ind w:left="720"/>
      </w:pPr>
      <w:r>
        <w:rPr>
          <w:rFonts w:ascii="Consolas" w:hAnsi="Consolas"/>
          <w:b/>
          <w:color w:val="1E3A5F"/>
          <w:sz w:val="24"/>
        </w:rPr>
        <w:t>0 &lt; P(T = 1 | X = x) &lt; 1    for all x with P(X = x) &gt; 0</w:t>
      </w:r>
    </w:p>
    <w:p>
      <w:r>
        <w:rPr>
          <w:rFonts w:ascii="Calibri" w:hAnsi="Calibri"/>
          <w:b w:val="0"/>
          <w:i w:val="0"/>
        </w:rPr>
        <w:t>Every patient sub-group (defined by covariates X) must have a non-zero probability of receiving either treatment. Without overlap, causal effects are unidentifiable for certain subgroups.</w:t>
      </w:r>
    </w:p>
    <w:p>
      <w:pPr>
        <w:spacing w:before="80" w:after="160"/>
        <w:ind w:left="576"/>
      </w:pPr>
      <w:r>
        <w:rPr>
          <w:rFonts w:ascii="Calibri" w:hAnsi="Calibri"/>
          <w:b/>
          <w:color w:val="0D9488"/>
          <w:sz w:val="22"/>
        </w:rPr>
        <w:t xml:space="preserve">🩺 Diabetes Example: </w:t>
      </w:r>
      <w:r>
        <w:rPr>
          <w:rFonts w:ascii="Calibri" w:hAnsi="Calibri"/>
          <w:i/>
          <w:color w:val="0D9488"/>
          <w:sz w:val="22"/>
        </w:rPr>
        <w:t>Violation: If patients with eGFR &lt; 30 are NEVER prescribed Metformin (it is contraindicated due to lactic acidosis risk), we cannot estimate Metformin's causal effect for that subgroup. The CDSS must recognize such clinical constraints and avoid extrapolation.</w:t>
      </w:r>
    </w:p>
    <w:p>
      <w:r>
        <w:br w:type="page"/>
      </w:r>
    </w:p>
    <w:p>
      <w:pPr>
        <w:pStyle w:val="Heading1"/>
      </w:pPr>
      <w:r>
        <w:t>4. Pearl's Structural Causal Model (SCM) &amp; Do-Calculus</w:t>
      </w:r>
    </w:p>
    <w:p>
      <w:pPr>
        <w:pStyle w:val="Heading2"/>
      </w:pPr>
      <w:r>
        <w:t>4.1 Structural Causal Model</w:t>
      </w:r>
    </w:p>
    <w:p>
      <w:r>
        <w:rPr>
          <w:rFonts w:ascii="Calibri" w:hAnsi="Calibri"/>
          <w:b w:val="0"/>
          <w:i w:val="0"/>
        </w:rPr>
        <w:t>Pearl's Structural Causal Model (SCM) provides an alternative, complementary framework to Rubin's potential outcomes. An SCM encodes causal relationships using structural equations and a directed acyclic graph (DAG).</w:t>
      </w:r>
    </w:p>
    <w:p>
      <w:r>
        <w:rPr>
          <w:rFonts w:ascii="Calibri" w:hAnsi="Calibri"/>
          <w:b w:val="0"/>
          <w:i w:val="0"/>
          <w:u w:val="none"/>
        </w:rPr>
        <w:t xml:space="preserve">An SCM </w:t>
      </w:r>
      <w:r>
        <w:rPr>
          <w:rFonts w:ascii="Calibri" w:hAnsi="Calibri"/>
          <w:b/>
          <w:i w:val="0"/>
          <w:sz w:val="24"/>
          <w:u w:val="none"/>
        </w:rPr>
        <w:t>M = (U, V, F, P(U))</w:t>
      </w:r>
      <w:r>
        <w:rPr>
          <w:rFonts w:ascii="Calibri" w:hAnsi="Calibri"/>
          <w:b w:val="0"/>
          <w:i w:val="0"/>
          <w:u w:val="none"/>
        </w:rPr>
        <w:t xml:space="preserve"> consists of:</w:t>
      </w:r>
    </w:p>
    <w:p>
      <w:pPr>
        <w:pStyle w:val="ListBullet"/>
        <w:ind w:left="720"/>
      </w:pPr>
      <w:r>
        <w:rPr>
          <w:rFonts w:ascii="Calibri" w:hAnsi="Calibri"/>
          <w:b/>
        </w:rPr>
        <w:t xml:space="preserve">U: </w:t>
      </w:r>
      <w:r>
        <w:rPr>
          <w:rFonts w:ascii="Calibri" w:hAnsi="Calibri"/>
        </w:rPr>
        <w:t xml:space="preserve"> Exogenous (unobserved) variables — background factors outside the model.</w:t>
      </w:r>
    </w:p>
    <w:p>
      <w:pPr>
        <w:pStyle w:val="ListBullet"/>
        <w:ind w:left="720"/>
      </w:pPr>
      <w:r>
        <w:rPr>
          <w:rFonts w:ascii="Calibri" w:hAnsi="Calibri"/>
          <w:b/>
        </w:rPr>
        <w:t xml:space="preserve">V: </w:t>
      </w:r>
      <w:r>
        <w:rPr>
          <w:rFonts w:ascii="Calibri" w:hAnsi="Calibri"/>
        </w:rPr>
        <w:t xml:space="preserve"> Endogenous (observed) variables — variables whose values are determined within the model.</w:t>
      </w:r>
    </w:p>
    <w:p>
      <w:pPr>
        <w:pStyle w:val="ListBullet"/>
        <w:ind w:left="720"/>
      </w:pPr>
      <w:r>
        <w:rPr>
          <w:rFonts w:ascii="Calibri" w:hAnsi="Calibri"/>
          <w:b/>
        </w:rPr>
        <w:t xml:space="preserve">F: </w:t>
      </w:r>
      <w:r>
        <w:rPr>
          <w:rFonts w:ascii="Calibri" w:hAnsi="Calibri"/>
        </w:rPr>
        <w:t xml:space="preserve"> Structural equations — causal mechanisms; each equation defines how a variable is generated from its direct causes.</w:t>
      </w:r>
    </w:p>
    <w:p>
      <w:pPr>
        <w:pStyle w:val="ListBullet"/>
        <w:ind w:left="720"/>
      </w:pPr>
      <w:r>
        <w:rPr>
          <w:rFonts w:ascii="Calibri" w:hAnsi="Calibri"/>
          <w:b/>
        </w:rPr>
        <w:t xml:space="preserve">P(U): </w:t>
      </w:r>
      <w:r>
        <w:rPr>
          <w:rFonts w:ascii="Calibri" w:hAnsi="Calibri"/>
        </w:rPr>
        <w:t xml:space="preserve"> Distribution over exogenous variables.</w:t>
      </w:r>
    </w:p>
    <w:p>
      <w:pPr>
        <w:pStyle w:val="Heading2"/>
      </w:pPr>
      <w:r>
        <w:t>4.2 The do-operator</w:t>
      </w:r>
    </w:p>
    <w:p>
      <w:pPr>
        <w:spacing w:before="120" w:after="80"/>
        <w:ind w:left="720"/>
      </w:pPr>
      <w:r>
        <w:rPr>
          <w:rFonts w:ascii="Consolas" w:hAnsi="Consolas"/>
          <w:b/>
          <w:color w:val="1E3A5F"/>
          <w:sz w:val="24"/>
        </w:rPr>
        <w:t>P(Y | do(T = t)) ≠ P(Y | T = t)</w:t>
      </w:r>
    </w:p>
    <w:p>
      <w:r>
        <w:rPr>
          <w:rFonts w:ascii="Calibri" w:hAnsi="Calibri"/>
          <w:b w:val="0"/>
          <w:i w:val="0"/>
        </w:rPr>
        <w:t>The do-operator is Pearl's formalization of intervention. Intervening on T (forcing a treatment) is fundamentally different from merely observing T.</w:t>
      </w:r>
    </w:p>
    <w:p>
      <w:pPr>
        <w:pStyle w:val="ListBullet"/>
        <w:ind w:left="720"/>
      </w:pPr>
      <w:r>
        <w:rPr>
          <w:rFonts w:ascii="Calibri" w:hAnsi="Calibri"/>
        </w:rPr>
        <w:t>P(Y | T = 1) might be high because healthier patients self-select into treatment (selection bias).</w:t>
      </w:r>
    </w:p>
    <w:p>
      <w:pPr>
        <w:pStyle w:val="ListBullet"/>
        <w:ind w:left="720"/>
      </w:pPr>
      <w:r>
        <w:rPr>
          <w:rFonts w:ascii="Calibri" w:hAnsi="Calibri"/>
        </w:rPr>
        <w:t>P(Y | do(T = 1)) removes this selection bias by simulating a randomized experiment — it computes the outcome distribution as if treatment were randomly assigned.</w:t>
      </w:r>
    </w:p>
    <w:p>
      <w:pPr>
        <w:pStyle w:val="Heading2"/>
      </w:pPr>
      <w:r>
        <w:t>4.3 Backdoor Adjustment Formula</w:t>
      </w:r>
    </w:p>
    <w:p>
      <w:pPr>
        <w:spacing w:before="120" w:after="80"/>
        <w:ind w:left="720"/>
      </w:pPr>
      <w:r>
        <w:rPr>
          <w:rFonts w:ascii="Consolas" w:hAnsi="Consolas"/>
          <w:b/>
          <w:color w:val="1E3A5F"/>
          <w:sz w:val="24"/>
        </w:rPr>
        <w:t>P(Y | do(T = t)) = Σₓ P(Y | T = t, X = x) · P(X = x)</w:t>
      </w:r>
    </w:p>
    <w:p>
      <w:r>
        <w:rPr>
          <w:rFonts w:ascii="Calibri" w:hAnsi="Calibri"/>
          <w:b w:val="0"/>
          <w:i w:val="0"/>
        </w:rPr>
        <w:t>If a set of covariates X satisfies the backdoor criterion (blocks all non-causal paths from T to Y through common causes), we can compute the causal effect from purely observational data using the above formula.</w:t>
      </w:r>
    </w:p>
    <w:p>
      <w:pPr>
        <w:spacing w:before="80" w:after="160"/>
        <w:ind w:left="576"/>
      </w:pPr>
      <w:r>
        <w:rPr>
          <w:rFonts w:ascii="Calibri" w:hAnsi="Calibri"/>
          <w:b/>
          <w:color w:val="0D9488"/>
          <w:sz w:val="22"/>
        </w:rPr>
        <w:t xml:space="preserve">🩺 Diabetes Example: </w:t>
      </w:r>
      <w:r>
        <w:rPr>
          <w:rFonts w:ascii="Calibri" w:hAnsi="Calibri"/>
          <w:i/>
          <w:color w:val="0D9488"/>
          <w:sz w:val="22"/>
        </w:rPr>
        <w:t>By adjusting for Age, BMI, and baseline HbA1c (which satisfy the backdoor criterion on your DAG), you can estimate the true causal effect of SGLT2i vs. Metformin from your EHR records — no RCT needed.</w:t>
      </w:r>
    </w:p>
    <w:p>
      <w:pPr>
        <w:pStyle w:val="Heading2"/>
      </w:pPr>
      <w:r>
        <w:t>4.4 Frontdoor Adjustment (When Backdoor Fails)</w:t>
      </w:r>
    </w:p>
    <w:p>
      <w:pPr>
        <w:spacing w:before="120" w:after="80"/>
        <w:ind w:left="720"/>
      </w:pPr>
      <w:r>
        <w:rPr>
          <w:rFonts w:ascii="Consolas" w:hAnsi="Consolas"/>
          <w:b/>
          <w:color w:val="1E3A5F"/>
          <w:sz w:val="24"/>
        </w:rPr>
        <w:t>P(Y | do(T)) = Σₘ P(M = m | T) · Σₜ' P(Y | M = m, T = t') · P(T = t')</w:t>
      </w:r>
    </w:p>
    <w:p>
      <w:r>
        <w:rPr>
          <w:rFonts w:ascii="Calibri" w:hAnsi="Calibri"/>
          <w:b w:val="0"/>
          <w:i w:val="0"/>
        </w:rPr>
        <w:t>Used when there are unmeasured confounders between T and Y, but a mediator M is observed such that: (1) T fully causes M, (2) T and Y are conditionally independent given M (on non-causal paths), and (3) there are no unmeasured confounders between M and Y.</w:t>
      </w:r>
    </w:p>
    <w:p>
      <w:r>
        <w:br w:type="page"/>
      </w:r>
    </w:p>
    <w:p>
      <w:pPr>
        <w:pStyle w:val="Heading1"/>
      </w:pPr>
      <w:r>
        <w:t>5. Estimation Methods</w:t>
      </w:r>
    </w:p>
    <w:p>
      <w:r>
        <w:rPr>
          <w:rFonts w:ascii="Calibri" w:hAnsi="Calibri"/>
          <w:b w:val="0"/>
          <w:i w:val="0"/>
        </w:rPr>
        <w:t>Once causal identification is established (via backdoor, frontdoor, or other criteria), we need statistical/ML methods to estimate the causal effect from data. Below are the key methods.</w:t>
      </w:r>
    </w:p>
    <w:p>
      <w:pPr>
        <w:pStyle w:val="Heading2"/>
      </w:pPr>
      <w:r>
        <w:t>5.1 Inverse Propensity Weighting (IPW)</w:t>
      </w:r>
    </w:p>
    <w:p>
      <w:r>
        <w:rPr>
          <w:rFonts w:ascii="Calibri" w:hAnsi="Calibri"/>
          <w:b/>
          <w:i w:val="0"/>
          <w:u w:val="none"/>
        </w:rPr>
        <w:t xml:space="preserve">Propensity Score: </w:t>
      </w:r>
      <w:r>
        <w:rPr>
          <w:rFonts w:ascii="Calibri" w:hAnsi="Calibri"/>
          <w:b/>
          <w:i w:val="0"/>
          <w:sz w:val="24"/>
          <w:u w:val="none"/>
        </w:rPr>
        <w:t>e(X) = P(T = 1 | X)</w:t>
      </w:r>
    </w:p>
    <w:p>
      <w:r>
        <w:rPr>
          <w:rFonts w:ascii="Calibri" w:hAnsi="Calibri"/>
          <w:b w:val="0"/>
          <w:i w:val="0"/>
        </w:rPr>
        <w:t>The propensity score is the probability of receiving treatment given covariates X. It is typically estimated using logistic regression or gradient boosting.</w:t>
      </w:r>
    </w:p>
    <w:p>
      <w:pPr>
        <w:spacing w:before="120" w:after="80"/>
        <w:ind w:left="720"/>
      </w:pPr>
      <w:r>
        <w:rPr>
          <w:rFonts w:ascii="Consolas" w:hAnsi="Consolas"/>
          <w:b/>
          <w:color w:val="1E3A5F"/>
          <w:sz w:val="24"/>
        </w:rPr>
        <w:t>ATE_IPW = (1/N) · Σᵢ [ Tᵢ·Yᵢ / e(Xᵢ)  −  (1−Tᵢ)·Yᵢ / (1−e(Xᵢ)) ]</w:t>
      </w:r>
    </w:p>
    <w:p>
      <w:r>
        <w:rPr>
          <w:rFonts w:ascii="Calibri" w:hAnsi="Calibri"/>
          <w:b w:val="0"/>
          <w:i w:val="0"/>
        </w:rPr>
        <w:t>IPW re-weights observations to create a pseudo-randomized dataset. Patients who received an unlikely treatment (given their covariates) get higher weight, simulating random assignment.</w:t>
      </w:r>
    </w:p>
    <w:p>
      <w:pPr>
        <w:pStyle w:val="Heading2"/>
      </w:pPr>
      <w:r>
        <w:t>5.2 Doubly Robust Estimation (AIPW)</w:t>
      </w:r>
    </w:p>
    <w:p>
      <w:r>
        <w:rPr>
          <w:rFonts w:ascii="Calibri" w:hAnsi="Calibri"/>
          <w:b w:val="0"/>
          <w:i w:val="0"/>
        </w:rPr>
        <w:t>Augmented Inverse Propensity Weighting (AIPW) combines outcome regression and propensity weighting. It is doubly robust: consistent if EITHER the outcome model OR the propensity model is correctly specified.</w:t>
      </w:r>
    </w:p>
    <w:p>
      <w:pPr>
        <w:spacing w:before="120" w:after="80"/>
        <w:ind w:left="720"/>
      </w:pPr>
      <w:r>
        <w:rPr>
          <w:rFonts w:ascii="Consolas" w:hAnsi="Consolas"/>
          <w:b/>
          <w:color w:val="1E3A5F"/>
          <w:sz w:val="24"/>
        </w:rPr>
        <w:t>τ_DR = (1/N) · Σᵢ [ μ₁(Xᵢ) − μ₀(Xᵢ)</w:t>
        <w:br/>
        <w:t xml:space="preserve">        + Tᵢ(Yᵢ − μ₁(Xᵢ)) / e(Xᵢ)</w:t>
        <w:br/>
        <w:t xml:space="preserve">        − (1−Tᵢ)(Yᵢ − μ₀(Xᵢ)) / (1−e(Xᵢ)) ]</w:t>
      </w:r>
    </w:p>
    <w:p>
      <w:r>
        <w:rPr>
          <w:rFonts w:ascii="Calibri" w:hAnsi="Calibri"/>
          <w:b w:val="0"/>
          <w:i w:val="0"/>
        </w:rPr>
        <w:t>This is generally considered the gold standard for ATE estimation due to its robustness properties.</w:t>
      </w:r>
    </w:p>
    <w:p>
      <w:pPr>
        <w:pStyle w:val="Heading2"/>
      </w:pPr>
      <w:r>
        <w:t>5.3 T-Learner (Two-Model Approach)</w:t>
      </w:r>
    </w:p>
    <w:p>
      <w:r>
        <w:rPr>
          <w:rFonts w:ascii="Calibri" w:hAnsi="Calibri"/>
          <w:b w:val="0"/>
          <w:i w:val="0"/>
        </w:rPr>
        <w:t>Fit separate outcome models for the treated and control groups:</w:t>
      </w:r>
    </w:p>
    <w:p>
      <w:pPr>
        <w:spacing w:before="120" w:after="80"/>
        <w:ind w:left="720"/>
      </w:pPr>
      <w:r>
        <w:rPr>
          <w:rFonts w:ascii="Consolas" w:hAnsi="Consolas"/>
          <w:b/>
          <w:color w:val="1E3A5F"/>
          <w:sz w:val="24"/>
        </w:rPr>
        <w:t>μ₀(x): E[Y | X, T=0]    (trained on control group only)</w:t>
      </w:r>
    </w:p>
    <w:p>
      <w:pPr>
        <w:spacing w:before="120" w:after="80"/>
        <w:ind w:left="720"/>
      </w:pPr>
      <w:r>
        <w:rPr>
          <w:rFonts w:ascii="Consolas" w:hAnsi="Consolas"/>
          <w:b/>
          <w:color w:val="1E3A5F"/>
          <w:sz w:val="24"/>
        </w:rPr>
        <w:t>μ₁(x): E[Y | X, T=1]    (trained on treated group only)</w:t>
      </w:r>
    </w:p>
    <w:p>
      <w:pPr>
        <w:spacing w:before="120" w:after="80"/>
        <w:ind w:left="720"/>
      </w:pPr>
      <w:r>
        <w:rPr>
          <w:rFonts w:ascii="Consolas" w:hAnsi="Consolas"/>
          <w:b/>
          <w:color w:val="1E3A5F"/>
          <w:sz w:val="24"/>
        </w:rPr>
        <w:t>CATE(x) = μ₁(x) − μ₀(x)</w:t>
      </w:r>
    </w:p>
    <w:p>
      <w:r>
        <w:rPr>
          <w:rFonts w:ascii="Calibri" w:hAnsi="Calibri"/>
          <w:b w:val="0"/>
          <w:i w:val="0"/>
        </w:rPr>
        <w:t>Simple and intuitive, but can suffer from regularization bias when treatment groups differ in size.</w:t>
      </w:r>
    </w:p>
    <w:p>
      <w:pPr>
        <w:pStyle w:val="Heading2"/>
      </w:pPr>
      <w:r>
        <w:t>5.4 S-Learner (Single-Model Approach)</w:t>
      </w:r>
    </w:p>
    <w:p>
      <w:r>
        <w:rPr>
          <w:rFonts w:ascii="Calibri" w:hAnsi="Calibri"/>
          <w:b w:val="0"/>
          <w:i w:val="0"/>
        </w:rPr>
        <w:t>Fit a single outcome model using treatment as a feature:</w:t>
      </w:r>
    </w:p>
    <w:p>
      <w:pPr>
        <w:spacing w:before="120" w:after="80"/>
        <w:ind w:left="720"/>
      </w:pPr>
      <w:r>
        <w:rPr>
          <w:rFonts w:ascii="Consolas" w:hAnsi="Consolas"/>
          <w:b/>
          <w:color w:val="1E3A5F"/>
          <w:sz w:val="24"/>
        </w:rPr>
        <w:t>μ(x, t): E[Y | X, T]    (trained on all data)</w:t>
      </w:r>
    </w:p>
    <w:p>
      <w:pPr>
        <w:spacing w:before="120" w:after="80"/>
        <w:ind w:left="720"/>
      </w:pPr>
      <w:r>
        <w:rPr>
          <w:rFonts w:ascii="Consolas" w:hAnsi="Consolas"/>
          <w:b/>
          <w:color w:val="1E3A5F"/>
          <w:sz w:val="24"/>
        </w:rPr>
        <w:t>CATE(x) = μ(x, 1) − μ(x, 0)</w:t>
      </w:r>
    </w:p>
    <w:p>
      <w:r>
        <w:rPr>
          <w:rFonts w:ascii="Calibri" w:hAnsi="Calibri"/>
          <w:b w:val="0"/>
          <w:i w:val="0"/>
        </w:rPr>
        <w:t>Simpler than T-Learner but may underestimate treatment effect heterogeneity if the base model does not adequately capture the interaction between X and T.</w:t>
      </w:r>
    </w:p>
    <w:p>
      <w:pPr>
        <w:pStyle w:val="Heading2"/>
      </w:pPr>
      <w:r>
        <w:t>5.5 X-Learner (Cross-Learner)</w:t>
      </w:r>
    </w:p>
    <w:p>
      <w:r>
        <w:rPr>
          <w:rFonts w:ascii="Calibri" w:hAnsi="Calibri"/>
          <w:b/>
          <w:i/>
          <w:color w:val="0D9488"/>
          <w:u w:val="none"/>
        </w:rPr>
        <w:t>Best for imbalanced treatment groups.</w:t>
      </w:r>
    </w:p>
    <w:p>
      <w:r>
        <w:rPr>
          <w:rFonts w:ascii="Calibri" w:hAnsi="Calibri"/>
          <w:b/>
          <w:i w:val="0"/>
          <w:u w:val="none"/>
        </w:rPr>
        <w:t xml:space="preserve">Step 1: </w:t>
      </w:r>
      <w:r>
        <w:rPr>
          <w:rFonts w:ascii="Calibri" w:hAnsi="Calibri"/>
          <w:b w:val="0"/>
          <w:i w:val="0"/>
          <w:u w:val="none"/>
        </w:rPr>
        <w:t>Train μ₀ and μ₁ (like T-Learner).</w:t>
      </w:r>
    </w:p>
    <w:p>
      <w:r>
        <w:rPr>
          <w:rFonts w:ascii="Calibri" w:hAnsi="Calibri"/>
          <w:b/>
          <w:i w:val="0"/>
          <w:u w:val="none"/>
        </w:rPr>
        <w:t xml:space="preserve">Step 2: </w:t>
      </w:r>
      <w:r>
        <w:rPr>
          <w:rFonts w:ascii="Calibri" w:hAnsi="Calibri"/>
          <w:b w:val="0"/>
          <w:i w:val="0"/>
          <w:u w:val="none"/>
        </w:rPr>
        <w:t>Impute individual treatment effects:</w:t>
      </w:r>
    </w:p>
    <w:p>
      <w:pPr>
        <w:spacing w:before="120" w:after="80"/>
        <w:ind w:left="720"/>
      </w:pPr>
      <w:r>
        <w:rPr>
          <w:rFonts w:ascii="Consolas" w:hAnsi="Consolas"/>
          <w:b/>
          <w:color w:val="1E3A5F"/>
          <w:sz w:val="24"/>
        </w:rPr>
        <w:t>D¹ᵢ = Yᵢ(1) − μ₀(Xᵢ)    for treated patients</w:t>
      </w:r>
    </w:p>
    <w:p>
      <w:pPr>
        <w:spacing w:before="120" w:after="80"/>
        <w:ind w:left="720"/>
      </w:pPr>
      <w:r>
        <w:rPr>
          <w:rFonts w:ascii="Consolas" w:hAnsi="Consolas"/>
          <w:b/>
          <w:color w:val="1E3A5F"/>
          <w:sz w:val="24"/>
        </w:rPr>
        <w:t>D⁰ᵢ = μ₁(Xᵢ) − Yᵢ(0)    for control patients</w:t>
      </w:r>
    </w:p>
    <w:p>
      <w:r>
        <w:rPr>
          <w:rFonts w:ascii="Calibri" w:hAnsi="Calibri"/>
          <w:b/>
          <w:i w:val="0"/>
          <w:u w:val="none"/>
        </w:rPr>
        <w:t xml:space="preserve">Step 3: </w:t>
      </w:r>
      <w:r>
        <w:rPr>
          <w:rFonts w:ascii="Calibri" w:hAnsi="Calibri"/>
          <w:b w:val="0"/>
          <w:i w:val="0"/>
          <w:u w:val="none"/>
        </w:rPr>
        <w:t>Fit τ₁(x) on D¹, τ₀(x) on D⁰.</w:t>
      </w:r>
    </w:p>
    <w:p>
      <w:r>
        <w:rPr>
          <w:rFonts w:ascii="Calibri" w:hAnsi="Calibri"/>
          <w:b/>
          <w:i w:val="0"/>
          <w:u w:val="none"/>
        </w:rPr>
        <w:t xml:space="preserve">Step 4: </w:t>
      </w:r>
      <w:r>
        <w:rPr>
          <w:rFonts w:ascii="Calibri" w:hAnsi="Calibri"/>
          <w:b w:val="0"/>
          <w:i w:val="0"/>
          <w:u w:val="none"/>
        </w:rPr>
        <w:t>Combine:</w:t>
      </w:r>
    </w:p>
    <w:p>
      <w:pPr>
        <w:spacing w:before="120" w:after="80"/>
        <w:ind w:left="720"/>
      </w:pPr>
      <w:r>
        <w:rPr>
          <w:rFonts w:ascii="Consolas" w:hAnsi="Consolas"/>
          <w:b/>
          <w:color w:val="1E3A5F"/>
          <w:sz w:val="24"/>
        </w:rPr>
        <w:t>CATE(x) = e(x)·τ₀(x) + (1 − e(x))·τ₁(x)</w:t>
      </w:r>
    </w:p>
    <w:p>
      <w:r>
        <w:rPr>
          <w:rFonts w:ascii="Calibri" w:hAnsi="Calibri"/>
          <w:b w:val="0"/>
          <w:i w:val="0"/>
        </w:rPr>
        <w:t>The X-Learner excels when one treatment group is much larger than the other (e.g., most patients receive Metformin, few receive a newer drug). It leverages cross-imputation to borrow strength from the larger group.</w:t>
      </w:r>
    </w:p>
    <w:p>
      <w:pPr>
        <w:pStyle w:val="Heading2"/>
      </w:pPr>
      <w:r>
        <w:t>5.6 DML (Double/Debiased Machine Learning)</w:t>
      </w:r>
    </w:p>
    <w:p>
      <w:r>
        <w:rPr>
          <w:rFonts w:ascii="Calibri" w:hAnsi="Calibri"/>
          <w:b w:val="0"/>
          <w:i w:val="0"/>
        </w:rPr>
        <w:t>DML is a principled approach that uses flexible ML models to partial out the effect of confounders from both the treatment and the outcome, then estimates the causal effect on the residuals.</w:t>
      </w:r>
    </w:p>
    <w:p>
      <w:pPr>
        <w:pStyle w:val="ListBullet"/>
        <w:ind w:left="720"/>
      </w:pPr>
      <w:r>
        <w:rPr>
          <w:rFonts w:ascii="Calibri" w:hAnsi="Calibri"/>
          <w:b/>
        </w:rPr>
        <w:t xml:space="preserve">Step 1: </w:t>
      </w:r>
      <w:r>
        <w:rPr>
          <w:rFonts w:ascii="Calibri" w:hAnsi="Calibri"/>
        </w:rPr>
        <w:t>Residualize the outcome: Ỹ = Y − E[Y | X]</w:t>
      </w:r>
    </w:p>
    <w:p>
      <w:pPr>
        <w:pStyle w:val="ListBullet"/>
        <w:ind w:left="720"/>
      </w:pPr>
      <w:r>
        <w:rPr>
          <w:rFonts w:ascii="Calibri" w:hAnsi="Calibri"/>
          <w:b/>
        </w:rPr>
        <w:t xml:space="preserve">Step 2: </w:t>
      </w:r>
      <w:r>
        <w:rPr>
          <w:rFonts w:ascii="Calibri" w:hAnsi="Calibri"/>
        </w:rPr>
        <w:t>Residualize the treatment: T̃ = T − E[T | X]</w:t>
      </w:r>
    </w:p>
    <w:p>
      <w:pPr>
        <w:pStyle w:val="ListBullet"/>
        <w:ind w:left="720"/>
      </w:pPr>
      <w:r>
        <w:rPr>
          <w:rFonts w:ascii="Calibri" w:hAnsi="Calibri"/>
          <w:b/>
        </w:rPr>
        <w:t xml:space="preserve">Step 3: </w:t>
      </w:r>
      <w:r>
        <w:rPr>
          <w:rFonts w:ascii="Calibri" w:hAnsi="Calibri"/>
        </w:rPr>
        <w:t>Regress Ỹ on T̃ to estimate the causal effect.</w:t>
      </w:r>
    </w:p>
    <w:p>
      <w:pPr>
        <w:spacing w:before="120" w:after="80"/>
        <w:ind w:left="720"/>
      </w:pPr>
      <w:r>
        <w:rPr>
          <w:rFonts w:ascii="Consolas" w:hAnsi="Consolas"/>
          <w:b/>
          <w:color w:val="1E3A5F"/>
          <w:sz w:val="24"/>
        </w:rPr>
        <w:t>CATE(x) = E[Ỹ | X = x, T̃]</w:t>
      </w:r>
    </w:p>
    <w:p>
      <w:r>
        <w:rPr>
          <w:rFonts w:ascii="Calibri" w:hAnsi="Calibri"/>
          <w:b w:val="0"/>
          <w:i w:val="0"/>
        </w:rPr>
        <w:t>DML provides valid causal estimates even when using complex, potentially misspecified ML models for the nuisance parameters (outcome and propensity models), thanks to Neyman orthogonality.</w:t>
      </w:r>
    </w:p>
    <w:p>
      <w:r>
        <w:br w:type="page"/>
      </w:r>
    </w:p>
    <w:p>
      <w:pPr>
        <w:pStyle w:val="Heading1"/>
      </w:pPr>
      <w:r>
        <w:t>6. Refutation &amp; Robustness Checks</w:t>
      </w:r>
    </w:p>
    <w:p>
      <w:r>
        <w:rPr>
          <w:rFonts w:ascii="Calibri" w:hAnsi="Calibri"/>
          <w:b w:val="0"/>
          <w:i w:val="0"/>
        </w:rPr>
        <w:t>Causal estimates are only as trustworthy as their underlying assumptions. Refutation tests stress-test the causal model to check whether the estimated effect is genuine or an artifact.</w:t>
      </w:r>
    </w:p>
    <w:p>
      <w:pPr>
        <w:pStyle w:val="Heading2"/>
      </w:pPr>
      <w:r>
        <w:t>6.1 Placebo Treatment Test</w:t>
      </w:r>
    </w:p>
    <w:p>
      <w:r>
        <w:rPr>
          <w:rFonts w:ascii="Calibri" w:hAnsi="Calibri"/>
          <w:b w:val="0"/>
          <w:i w:val="0"/>
        </w:rPr>
        <w:t>Replace the real treatment variable with a randomly generated variable. If the estimated causal effect remains non-zero, the model is capturing spurious correlation rather than a true causal effect.</w:t>
      </w:r>
    </w:p>
    <w:p>
      <w:r>
        <w:rPr>
          <w:rFonts w:ascii="Calibri" w:hAnsi="Calibri"/>
          <w:b/>
          <w:i w:val="0"/>
          <w:u w:val="none"/>
        </w:rPr>
        <w:t xml:space="preserve">Expected result: </w:t>
      </w:r>
      <w:r>
        <w:rPr>
          <w:rFonts w:ascii="Calibri" w:hAnsi="Calibri"/>
          <w:b w:val="0"/>
          <w:i w:val="0"/>
          <w:u w:val="none"/>
        </w:rPr>
        <w:t>The estimated effect should be approximately zero with the placebo treatment.</w:t>
      </w:r>
    </w:p>
    <w:p>
      <w:pPr>
        <w:pStyle w:val="Heading2"/>
      </w:pPr>
      <w:r>
        <w:t>6.2 Random Common Cause Test</w:t>
      </w:r>
    </w:p>
    <w:p>
      <w:r>
        <w:rPr>
          <w:rFonts w:ascii="Calibri" w:hAnsi="Calibri"/>
          <w:b w:val="0"/>
          <w:i w:val="0"/>
        </w:rPr>
        <w:t>Add a randomly generated dummy confounder to the causal model. If the estimated effect changes significantly, the model is sensitive to unobserved confounders and the original estimate may be unreliable.</w:t>
      </w:r>
    </w:p>
    <w:p>
      <w:r>
        <w:rPr>
          <w:rFonts w:ascii="Calibri" w:hAnsi="Calibri"/>
          <w:b/>
          <w:i w:val="0"/>
          <w:u w:val="none"/>
        </w:rPr>
        <w:t xml:space="preserve">Expected result: </w:t>
      </w:r>
      <w:r>
        <w:rPr>
          <w:rFonts w:ascii="Calibri" w:hAnsi="Calibri"/>
          <w:b w:val="0"/>
          <w:i w:val="0"/>
          <w:u w:val="none"/>
        </w:rPr>
        <w:t>The estimated effect should remain stable after adding the random confounder.</w:t>
      </w:r>
    </w:p>
    <w:p>
      <w:pPr>
        <w:pStyle w:val="Heading2"/>
      </w:pPr>
      <w:r>
        <w:t>6.3 Data Subset Test</w:t>
      </w:r>
    </w:p>
    <w:p>
      <w:r>
        <w:rPr>
          <w:rFonts w:ascii="Calibri" w:hAnsi="Calibri"/>
          <w:b w:val="0"/>
          <w:i w:val="0"/>
        </w:rPr>
        <w:t>Re-estimate the causal effect on random subsets of the data. Stable estimates across subsets indicate that the finding is robust and not driven by a particular subset of observations.</w:t>
      </w:r>
    </w:p>
    <w:p>
      <w:r>
        <w:rPr>
          <w:rFonts w:ascii="Calibri" w:hAnsi="Calibri"/>
          <w:b/>
          <w:i w:val="0"/>
          <w:u w:val="none"/>
        </w:rPr>
        <w:t xml:space="preserve">Expected result: </w:t>
      </w:r>
      <w:r>
        <w:rPr>
          <w:rFonts w:ascii="Calibri" w:hAnsi="Calibri"/>
          <w:b w:val="0"/>
          <w:i w:val="0"/>
          <w:u w:val="none"/>
        </w:rPr>
        <w:t>The estimated effect should not vary wildly across subsets.</w:t>
      </w:r>
    </w:p>
    <w:p>
      <w:pPr>
        <w:pStyle w:val="Heading2"/>
      </w:pPr>
      <w:r>
        <w:t>6.4 Sensitivity Analysis (E-value)</w:t>
      </w:r>
    </w:p>
    <w:p>
      <w:r>
        <w:rPr>
          <w:rFonts w:ascii="Calibri" w:hAnsi="Calibri"/>
          <w:b w:val="0"/>
          <w:i w:val="0"/>
        </w:rPr>
        <w:t>The E-value quantifies the minimum strength of association an unmeasured confounder would need to have with both treatment and outcome to fully explain away the observed causal effect.</w:t>
      </w:r>
    </w:p>
    <w:p>
      <w:r>
        <w:rPr>
          <w:rFonts w:ascii="Calibri" w:hAnsi="Calibri"/>
          <w:b/>
          <w:i w:val="0"/>
          <w:u w:val="none"/>
        </w:rPr>
        <w:t xml:space="preserve">Interpretation: </w:t>
      </w:r>
      <w:r>
        <w:rPr>
          <w:rFonts w:ascii="Calibri" w:hAnsi="Calibri"/>
          <w:b w:val="0"/>
          <w:i w:val="0"/>
          <w:u w:val="none"/>
        </w:rPr>
        <w:t>A large E-value indicates that only a very strong unmeasured confounder could invalidate the result, lending credibility to the causal claim.</w:t>
      </w:r>
    </w:p>
    <w:p>
      <w:r>
        <w:br w:type="page"/>
      </w:r>
    </w:p>
    <w:p>
      <w:pPr>
        <w:pStyle w:val="Heading1"/>
      </w:pPr>
      <w:r>
        <w:t>7. Directed Acyclic Graphs (DAGs) for Diabetes</w:t>
      </w:r>
    </w:p>
    <w:p>
      <w:r>
        <w:rPr>
          <w:rFonts w:ascii="Calibri" w:hAnsi="Calibri"/>
          <w:b w:val="0"/>
          <w:i w:val="0"/>
        </w:rPr>
        <w:t>A Directed Acyclic Graph (DAG) is a visual and mathematical representation of the assumed causal structure among variables. Each node is a variable, and each directed edge (arrow) represents a direct causal effect.</w:t>
      </w:r>
    </w:p>
    <w:p>
      <w:pPr>
        <w:pStyle w:val="Heading2"/>
      </w:pPr>
      <w:r>
        <w:t>7.1 Nodes in the Diabetes DAG</w:t>
      </w:r>
    </w:p>
    <w:p>
      <w:pPr>
        <w:pStyle w:val="ListBullet"/>
        <w:ind w:left="720"/>
      </w:pPr>
      <w:r>
        <w:rPr>
          <w:rFonts w:ascii="Calibri" w:hAnsi="Calibri"/>
          <w:b/>
        </w:rPr>
        <w:t xml:space="preserve">Age: </w:t>
      </w:r>
      <w:r>
        <w:rPr>
          <w:rFonts w:ascii="Calibri" w:hAnsi="Calibri"/>
        </w:rPr>
        <w:t>Demographic variable affecting multiple downstream factors</w:t>
      </w:r>
    </w:p>
    <w:p>
      <w:pPr>
        <w:pStyle w:val="ListBullet"/>
        <w:ind w:left="720"/>
      </w:pPr>
      <w:r>
        <w:rPr>
          <w:rFonts w:ascii="Calibri" w:hAnsi="Calibri"/>
          <w:b/>
        </w:rPr>
        <w:t xml:space="preserve">BMI: </w:t>
      </w:r>
      <w:r>
        <w:rPr>
          <w:rFonts w:ascii="Calibri" w:hAnsi="Calibri"/>
        </w:rPr>
        <w:t>Influences treatment choice, HbA1c, and comorbidity risk</w:t>
      </w:r>
    </w:p>
    <w:p>
      <w:pPr>
        <w:pStyle w:val="ListBullet"/>
        <w:ind w:left="720"/>
      </w:pPr>
      <w:r>
        <w:rPr>
          <w:rFonts w:ascii="Calibri" w:hAnsi="Calibri"/>
          <w:b/>
        </w:rPr>
        <w:t xml:space="preserve">Baseline HbA1c: </w:t>
      </w:r>
      <w:r>
        <w:rPr>
          <w:rFonts w:ascii="Calibri" w:hAnsi="Calibri"/>
        </w:rPr>
        <w:t>Pre-treatment glycemic status; a key confounder</w:t>
      </w:r>
    </w:p>
    <w:p>
      <w:pPr>
        <w:pStyle w:val="ListBullet"/>
        <w:ind w:left="720"/>
      </w:pPr>
      <w:r>
        <w:rPr>
          <w:rFonts w:ascii="Calibri" w:hAnsi="Calibri"/>
          <w:b/>
        </w:rPr>
        <w:t xml:space="preserve">eGFR: </w:t>
      </w:r>
      <w:r>
        <w:rPr>
          <w:rFonts w:ascii="Calibri" w:hAnsi="Calibri"/>
        </w:rPr>
        <w:t>Kidney function; determines drug eligibility (e.g., Metformin contraindication)</w:t>
      </w:r>
    </w:p>
    <w:p>
      <w:pPr>
        <w:pStyle w:val="ListBullet"/>
        <w:ind w:left="720"/>
      </w:pPr>
      <w:r>
        <w:rPr>
          <w:rFonts w:ascii="Calibri" w:hAnsi="Calibri"/>
          <w:b/>
        </w:rPr>
        <w:t xml:space="preserve">Comorbidities (CVD, CKD): </w:t>
      </w:r>
      <w:r>
        <w:rPr>
          <w:rFonts w:ascii="Calibri" w:hAnsi="Calibri"/>
        </w:rPr>
        <w:t>Presence of cardiovascular or chronic kidney disease</w:t>
      </w:r>
    </w:p>
    <w:p>
      <w:pPr>
        <w:pStyle w:val="ListBullet"/>
        <w:ind w:left="720"/>
      </w:pPr>
      <w:r>
        <w:rPr>
          <w:rFonts w:ascii="Calibri" w:hAnsi="Calibri"/>
          <w:b/>
        </w:rPr>
        <w:t xml:space="preserve">Treatment Choice: </w:t>
      </w:r>
      <w:r>
        <w:rPr>
          <w:rFonts w:ascii="Calibri" w:hAnsi="Calibri"/>
        </w:rPr>
        <w:t>The drug prescribed (Metformin, SGLT2i, GLP-1 RA, Insulin, etc.)</w:t>
      </w:r>
    </w:p>
    <w:p>
      <w:pPr>
        <w:pStyle w:val="ListBullet"/>
        <w:ind w:left="720"/>
      </w:pPr>
      <w:r>
        <w:rPr>
          <w:rFonts w:ascii="Calibri" w:hAnsi="Calibri"/>
          <w:b/>
        </w:rPr>
        <w:t xml:space="preserve">HbA1c Outcome: </w:t>
      </w:r>
      <w:r>
        <w:rPr>
          <w:rFonts w:ascii="Calibri" w:hAnsi="Calibri"/>
        </w:rPr>
        <w:t>Post-treatment glycemic outcome — the primary endpoint</w:t>
      </w:r>
    </w:p>
    <w:p>
      <w:pPr>
        <w:pStyle w:val="ListBullet"/>
        <w:ind w:left="720"/>
      </w:pPr>
      <w:r>
        <w:rPr>
          <w:rFonts w:ascii="Calibri" w:hAnsi="Calibri"/>
          <w:b/>
        </w:rPr>
        <w:t xml:space="preserve">Adverse Events: </w:t>
      </w:r>
      <w:r>
        <w:rPr>
          <w:rFonts w:ascii="Calibri" w:hAnsi="Calibri"/>
        </w:rPr>
        <w:t>Side effects (hypoglycemia, DKA, weight gain, GI issues)</w:t>
      </w:r>
    </w:p>
    <w:p>
      <w:pPr>
        <w:pStyle w:val="Heading2"/>
      </w:pPr>
      <w:r>
        <w:t>7.2 Key Structural Relationships</w:t>
      </w:r>
    </w:p>
    <w:p>
      <w:r>
        <w:rPr>
          <w:rFonts w:ascii="Calibri" w:hAnsi="Calibri"/>
          <w:b/>
          <w:i w:val="0"/>
          <w:color w:val="1E3A5F"/>
          <w:sz w:val="24"/>
          <w:u w:val="none"/>
        </w:rPr>
        <w:t>Confounders:</w:t>
      </w:r>
    </w:p>
    <w:p>
      <w:r>
        <w:rPr>
          <w:rFonts w:ascii="Calibri" w:hAnsi="Calibri"/>
          <w:b w:val="0"/>
          <w:i w:val="0"/>
        </w:rPr>
        <w:t>Age, BMI, Baseline HbA1c, eGFR, and Comorbidities are confounders: they influence BOTH the treatment choice (doctors consider these factors when prescribing) AND the HbA1c outcome. These must be adjusted for to obtain unbiased causal estimates.</w:t>
      </w:r>
    </w:p>
    <w:p>
      <w:r>
        <w:rPr>
          <w:rFonts w:ascii="Calibri" w:hAnsi="Calibri"/>
          <w:b/>
          <w:i w:val="0"/>
          <w:color w:val="1E3A5F"/>
          <w:sz w:val="24"/>
          <w:u w:val="none"/>
        </w:rPr>
        <w:t>Mediators:</w:t>
      </w:r>
    </w:p>
    <w:p>
      <w:r>
        <w:rPr>
          <w:rFonts w:ascii="Calibri" w:hAnsi="Calibri"/>
          <w:b w:val="0"/>
          <w:i w:val="0"/>
        </w:rPr>
        <w:t>Drug Adherence mediates the effect of Treatment on Outcome: Treatment → Adherence → HbA1c Outcome. If we condition on adherence, we may block part of the causal pathway (over-adjustment).</w:t>
      </w:r>
    </w:p>
    <w:p>
      <w:r>
        <w:rPr>
          <w:rFonts w:ascii="Calibri" w:hAnsi="Calibri"/>
          <w:b/>
          <w:i w:val="0"/>
          <w:color w:val="1E3A5F"/>
          <w:sz w:val="24"/>
          <w:u w:val="none"/>
        </w:rPr>
        <w:t>Colliders:</w:t>
      </w:r>
    </w:p>
    <w:p>
      <w:r>
        <w:rPr>
          <w:rFonts w:ascii="Calibri" w:hAnsi="Calibri"/>
          <w:b w:val="0"/>
          <w:i w:val="0"/>
        </w:rPr>
        <w:t>Hospitalization may be a collider — it is caused by BOTH adverse events AND severe hyperglycemia. Conditioning on hospitalization (e.g., restricting analysis to hospitalized patients) opens a spurious path and induces collider bias.</w:t>
      </w:r>
    </w:p>
    <w:p>
      <w:pPr>
        <w:pStyle w:val="Heading2"/>
      </w:pPr>
      <w:r>
        <w:t>7.3 Textual DAG Representation</w:t>
      </w:r>
    </w:p>
    <w:p>
      <w:r>
        <w:rPr>
          <w:rFonts w:ascii="Calibri" w:hAnsi="Calibri"/>
          <w:b w:val="0"/>
          <w:i w:val="0"/>
        </w:rPr>
        <w:t>The core causal structure for the DiaCausal CDSS can be summarized as:</w:t>
      </w:r>
    </w:p>
    <w:p>
      <w:pPr>
        <w:pStyle w:val="ListBullet"/>
        <w:ind w:left="720"/>
      </w:pPr>
      <w:r>
        <w:rPr>
          <w:rFonts w:ascii="Calibri" w:hAnsi="Calibri"/>
        </w:rPr>
        <w:t>Age → BMI, Baseline HbA1c, Comorbidities, Treatment Choice, HbA1c Outcome</w:t>
      </w:r>
    </w:p>
    <w:p>
      <w:pPr>
        <w:pStyle w:val="ListBullet"/>
        <w:ind w:left="720"/>
      </w:pPr>
      <w:r>
        <w:rPr>
          <w:rFonts w:ascii="Calibri" w:hAnsi="Calibri"/>
        </w:rPr>
        <w:t>BMI → Treatment Choice, HbA1c Outcome, Comorbidities</w:t>
      </w:r>
    </w:p>
    <w:p>
      <w:pPr>
        <w:pStyle w:val="ListBullet"/>
        <w:ind w:left="720"/>
      </w:pPr>
      <w:r>
        <w:rPr>
          <w:rFonts w:ascii="Calibri" w:hAnsi="Calibri"/>
        </w:rPr>
        <w:t>Baseline HbA1c → Treatment Choice, HbA1c Outcome</w:t>
      </w:r>
    </w:p>
    <w:p>
      <w:pPr>
        <w:pStyle w:val="ListBullet"/>
        <w:ind w:left="720"/>
      </w:pPr>
      <w:r>
        <w:rPr>
          <w:rFonts w:ascii="Calibri" w:hAnsi="Calibri"/>
        </w:rPr>
        <w:t>eGFR → Treatment Choice, HbA1c Outcome, Adverse Events</w:t>
      </w:r>
    </w:p>
    <w:p>
      <w:pPr>
        <w:pStyle w:val="ListBullet"/>
        <w:ind w:left="720"/>
      </w:pPr>
      <w:r>
        <w:rPr>
          <w:rFonts w:ascii="Calibri" w:hAnsi="Calibri"/>
        </w:rPr>
        <w:t>Comorbidities → Treatment Choice, HbA1c Outcome</w:t>
      </w:r>
    </w:p>
    <w:p>
      <w:pPr>
        <w:pStyle w:val="ListBullet"/>
        <w:ind w:left="720"/>
      </w:pPr>
      <w:r>
        <w:rPr>
          <w:rFonts w:ascii="Calibri" w:hAnsi="Calibri"/>
        </w:rPr>
        <w:t>Treatment Choice → Drug Adherence → HbA1c Outcome</w:t>
      </w:r>
    </w:p>
    <w:p>
      <w:pPr>
        <w:pStyle w:val="ListBullet"/>
        <w:ind w:left="720"/>
      </w:pPr>
      <w:r>
        <w:rPr>
          <w:rFonts w:ascii="Calibri" w:hAnsi="Calibri"/>
        </w:rPr>
        <w:t>Treatment Choice → Adverse Events</w:t>
      </w:r>
    </w:p>
    <w:p>
      <w:pPr>
        <w:pStyle w:val="ListBullet"/>
        <w:ind w:left="720"/>
      </w:pPr>
      <w:r>
        <w:rPr>
          <w:rFonts w:ascii="Calibri" w:hAnsi="Calibri"/>
        </w:rPr>
        <w:t>Adverse Events → Hospitalization</w:t>
      </w:r>
    </w:p>
    <w:p>
      <w:pPr>
        <w:pStyle w:val="ListBullet"/>
        <w:ind w:left="720"/>
      </w:pPr>
      <w:r>
        <w:rPr>
          <w:rFonts w:ascii="Calibri" w:hAnsi="Calibri"/>
        </w:rPr>
        <w:t>Severe Hyperglycemia → Hospitalization  (collider)</w:t>
      </w:r>
    </w:p>
    <w:p>
      <w:r>
        <w:br w:type="page"/>
      </w:r>
    </w:p>
    <w:p>
      <w:pPr>
        <w:pStyle w:val="Heading1"/>
      </w:pPr>
      <w:r>
        <w:t>8. Application to DiaCausal CDSS</w:t>
      </w:r>
    </w:p>
    <w:p>
      <w:r>
        <w:rPr>
          <w:rFonts w:ascii="Calibri" w:hAnsi="Calibri"/>
          <w:b w:val="0"/>
          <w:i w:val="0"/>
        </w:rPr>
        <w:t>The DiaCausal Clinical Decision Support System integrates the causal inference concepts described in this guide into a practical, end-to-end pipeline for personalized diabetes treatment recommendations.</w:t>
      </w:r>
    </w:p>
    <w:p>
      <w:pPr>
        <w:pStyle w:val="Heading2"/>
      </w:pPr>
      <w:r>
        <w:t>Intent Router</w:t>
      </w:r>
    </w:p>
    <w:p>
      <w:r>
        <w:rPr>
          <w:rFonts w:ascii="Calibri" w:hAnsi="Calibri"/>
          <w:b w:val="0"/>
          <w:i w:val="0"/>
        </w:rPr>
        <w:t>Classifies incoming clinical queries. When a query requires causal analysis (e.g., 'Which drug will best lower this patient's HbA1c?'), it routes to the causal inference pipeline rather than a simple retrieval or FAQ module.</w:t>
      </w:r>
    </w:p>
    <w:p>
      <w:pPr>
        <w:pStyle w:val="Heading2"/>
      </w:pPr>
      <w:r>
        <w:t>Patient EHR Data → Covariates X</w:t>
      </w:r>
    </w:p>
    <w:p>
      <w:r>
        <w:rPr>
          <w:rFonts w:ascii="Calibri" w:hAnsi="Calibri"/>
          <w:b w:val="0"/>
          <w:i w:val="0"/>
        </w:rPr>
        <w:t>The patient's Electronic Health Records (EHR) provide the covariate vector X: age, BMI, baseline HbA1c, eGFR, comorbidities, medication history, lab results. These serve as the conditioning variables for CATE estimation.</w:t>
      </w:r>
    </w:p>
    <w:p>
      <w:pPr>
        <w:pStyle w:val="Heading2"/>
      </w:pPr>
      <w:r>
        <w:t>DoWhy → Causal Graph (DAG)</w:t>
      </w:r>
    </w:p>
    <w:p>
      <w:r>
        <w:rPr>
          <w:rFonts w:ascii="Calibri" w:hAnsi="Calibri"/>
          <w:b w:val="0"/>
          <w:i w:val="0"/>
        </w:rPr>
        <w:t>The DoWhy library is used to formally define the causal graph encoding domain knowledge about the relationships between patient features, treatments, and outcomes. DoWhy automates identification of valid adjustment sets using the backdoor criterion.</w:t>
      </w:r>
    </w:p>
    <w:p>
      <w:pPr>
        <w:pStyle w:val="Heading2"/>
      </w:pPr>
      <w:r>
        <w:t>EconML → CATE Estimation</w:t>
      </w:r>
    </w:p>
    <w:p>
      <w:r>
        <w:rPr>
          <w:rFonts w:ascii="Calibri" w:hAnsi="Calibri"/>
          <w:b w:val="0"/>
          <w:i w:val="0"/>
        </w:rPr>
        <w:t>Microsoft's EconML library provides state-of-the-art metalearners (T-Learner, X-Learner, DML) to estimate heterogeneous treatment effects. For each patient, the system estimates: CATE(x) = E[Y(1) − Y(0) | X = x] for each candidate drug.</w:t>
      </w:r>
    </w:p>
    <w:p>
      <w:pPr>
        <w:pStyle w:val="Heading2"/>
      </w:pPr>
      <w:r>
        <w:t>Refutation Tests → Validation</w:t>
      </w:r>
    </w:p>
    <w:p>
      <w:r>
        <w:rPr>
          <w:rFonts w:ascii="Calibri" w:hAnsi="Calibri"/>
          <w:b w:val="0"/>
          <w:i w:val="0"/>
        </w:rPr>
        <w:t>DoWhy's built-in refutation suite (placebo treatment, random common cause, data subset, sensitivity analysis) is run on every causal estimate to validate robustness before presenting recommendations to clinicians.</w:t>
      </w:r>
    </w:p>
    <w:p>
      <w:pPr>
        <w:pStyle w:val="Heading2"/>
      </w:pPr>
      <w:r>
        <w:t>Guardrails → Safety Constraints</w:t>
      </w:r>
    </w:p>
    <w:p>
      <w:r>
        <w:rPr>
          <w:rFonts w:ascii="Calibri" w:hAnsi="Calibri"/>
          <w:b w:val="0"/>
          <w:i w:val="0"/>
        </w:rPr>
        <w:t>Hard safety rules are enforced regardless of causal estimates: e.g., eGFR &lt; 30 → never recommend Metformin; history of DKA → caution with SGLT2i; pregnancy → restrict to insulin. These guardrails prevent clinically dangerous recommendations.</w:t>
      </w:r>
    </w:p>
    <w:p>
      <w:pPr>
        <w:pStyle w:val="Heading2"/>
      </w:pPr>
      <w:r>
        <w:t>Confidence Score → Estimate Reliability</w:t>
      </w:r>
    </w:p>
    <w:p>
      <w:r>
        <w:rPr>
          <w:rFonts w:ascii="Calibri" w:hAnsi="Calibri"/>
          <w:b w:val="0"/>
          <w:i w:val="0"/>
        </w:rPr>
        <w:t>Each recommendation includes a confidence score reflecting: (1) the precision of the CATE estimate, (2) the propensity score overlap for the patient's covariate profile, (3) the results of refutation tests, and (4) the number of similar patients in the training data.</w:t>
      </w:r>
    </w:p>
    <w:p>
      <w:r>
        <w:br w:type="page"/>
      </w:r>
    </w:p>
    <w:p>
      <w:pPr>
        <w:pStyle w:val="Heading1"/>
      </w:pPr>
      <w:r>
        <w:t>9. Glossary of Key Terms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fill="1E3A5F"/>
          </w:tcPr>
          <w:p>
            <w:r/>
            <w:r>
              <w:rPr>
                <w:rFonts w:ascii="Calibri" w:hAnsi="Calibri"/>
                <w:b/>
                <w:color w:val="FFFFFF"/>
                <w:sz w:val="22"/>
              </w:rPr>
              <w:t>Term</w:t>
            </w:r>
          </w:p>
        </w:tc>
        <w:tc>
          <w:tcPr>
            <w:tcW w:type="dxa" w:w="2592"/>
            <w:shd w:fill="1E3A5F"/>
          </w:tcPr>
          <w:p>
            <w:r/>
            <w:r>
              <w:rPr>
                <w:rFonts w:ascii="Calibri" w:hAnsi="Calibri"/>
                <w:b/>
                <w:color w:val="FFFFFF"/>
                <w:sz w:val="22"/>
              </w:rPr>
              <w:t>Symbol / Formula</w:t>
            </w:r>
          </w:p>
        </w:tc>
        <w:tc>
          <w:tcPr>
            <w:tcW w:type="dxa" w:w="5472"/>
            <w:shd w:fill="1E3A5F"/>
          </w:tcPr>
          <w:p>
            <w:r/>
            <w:r>
              <w:rPr>
                <w:rFonts w:ascii="Calibri" w:hAnsi="Calibri"/>
                <w:b/>
                <w:color w:val="FFFFFF"/>
                <w:sz w:val="22"/>
              </w:rPr>
              <w:t>Definition</w:t>
            </w:r>
          </w:p>
        </w:tc>
      </w:tr>
      <w:tr>
        <w:tc>
          <w:tcPr>
            <w:tcW w:type="dxa" w:w="2016"/>
          </w:tcPr>
          <w:p>
            <w:r/>
            <w:r>
              <w:rPr>
                <w:rFonts w:ascii="Calibri" w:hAnsi="Calibri"/>
                <w:b/>
                <w:sz w:val="20"/>
              </w:rPr>
              <w:t>ATE</w:t>
            </w:r>
          </w:p>
        </w:tc>
        <w:tc>
          <w:tcPr>
            <w:tcW w:type="dxa" w:w="2592"/>
          </w:tcPr>
          <w:p>
            <w:r/>
            <w:r>
              <w:rPr>
                <w:rFonts w:ascii="Calibri" w:hAnsi="Calibri"/>
                <w:b w:val="0"/>
                <w:sz w:val="20"/>
              </w:rPr>
              <w:t>E[Y(1)−Y(0)]</w:t>
            </w:r>
          </w:p>
        </w:tc>
        <w:tc>
          <w:tcPr>
            <w:tcW w:type="dxa" w:w="5472"/>
          </w:tcPr>
          <w:p>
            <w:r/>
            <w:r>
              <w:rPr>
                <w:rFonts w:ascii="Calibri" w:hAnsi="Calibri"/>
                <w:b w:val="0"/>
                <w:sz w:val="20"/>
              </w:rPr>
              <w:t>Average Treatment Effect — the mean causal effect across the entire population.</w:t>
            </w:r>
          </w:p>
        </w:tc>
      </w:tr>
      <w:tr>
        <w:tc>
          <w:tcPr>
            <w:tcW w:type="dxa" w:w="2016"/>
          </w:tcPr>
          <w:p>
            <w:r/>
            <w:r>
              <w:rPr>
                <w:rFonts w:ascii="Calibri" w:hAnsi="Calibri"/>
                <w:b/>
                <w:sz w:val="20"/>
              </w:rPr>
              <w:t>ATT</w:t>
            </w:r>
          </w:p>
        </w:tc>
        <w:tc>
          <w:tcPr>
            <w:tcW w:type="dxa" w:w="2592"/>
          </w:tcPr>
          <w:p>
            <w:r/>
            <w:r>
              <w:rPr>
                <w:rFonts w:ascii="Calibri" w:hAnsi="Calibri"/>
                <w:b w:val="0"/>
                <w:sz w:val="20"/>
              </w:rPr>
              <w:t>E[Y(1)−Y(0)|T=1]</w:t>
            </w:r>
          </w:p>
        </w:tc>
        <w:tc>
          <w:tcPr>
            <w:tcW w:type="dxa" w:w="5472"/>
          </w:tcPr>
          <w:p>
            <w:r/>
            <w:r>
              <w:rPr>
                <w:rFonts w:ascii="Calibri" w:hAnsi="Calibri"/>
                <w:b w:val="0"/>
                <w:sz w:val="20"/>
              </w:rPr>
              <w:t>Average Treatment Effect on the Treated — effect among those who received treatment.</w:t>
            </w:r>
          </w:p>
        </w:tc>
      </w:tr>
      <w:tr>
        <w:tc>
          <w:tcPr>
            <w:tcW w:type="dxa" w:w="2016"/>
          </w:tcPr>
          <w:p>
            <w:r/>
            <w:r>
              <w:rPr>
                <w:rFonts w:ascii="Calibri" w:hAnsi="Calibri"/>
                <w:b/>
                <w:sz w:val="20"/>
              </w:rPr>
              <w:t>CATE</w:t>
            </w:r>
          </w:p>
        </w:tc>
        <w:tc>
          <w:tcPr>
            <w:tcW w:type="dxa" w:w="2592"/>
          </w:tcPr>
          <w:p>
            <w:r/>
            <w:r>
              <w:rPr>
                <w:rFonts w:ascii="Calibri" w:hAnsi="Calibri"/>
                <w:b w:val="0"/>
                <w:sz w:val="20"/>
              </w:rPr>
              <w:t>E[Y(1)−Y(0)|X=x]</w:t>
            </w:r>
          </w:p>
        </w:tc>
        <w:tc>
          <w:tcPr>
            <w:tcW w:type="dxa" w:w="5472"/>
          </w:tcPr>
          <w:p>
            <w:r/>
            <w:r>
              <w:rPr>
                <w:rFonts w:ascii="Calibri" w:hAnsi="Calibri"/>
                <w:b w:val="0"/>
                <w:sz w:val="20"/>
              </w:rPr>
              <w:t>Conditional ATE — treatment effect for a patient subgroup defined by covariates X.</w:t>
            </w:r>
          </w:p>
        </w:tc>
      </w:tr>
      <w:tr>
        <w:tc>
          <w:tcPr>
            <w:tcW w:type="dxa" w:w="2016"/>
          </w:tcPr>
          <w:p>
            <w:r/>
            <w:r>
              <w:rPr>
                <w:rFonts w:ascii="Calibri" w:hAnsi="Calibri"/>
                <w:b/>
                <w:sz w:val="20"/>
              </w:rPr>
              <w:t>ITE</w:t>
            </w:r>
          </w:p>
        </w:tc>
        <w:tc>
          <w:tcPr>
            <w:tcW w:type="dxa" w:w="2592"/>
          </w:tcPr>
          <w:p>
            <w:r/>
            <w:r>
              <w:rPr>
                <w:rFonts w:ascii="Calibri" w:hAnsi="Calibri"/>
                <w:b w:val="0"/>
                <w:sz w:val="20"/>
              </w:rPr>
              <w:t>τᵢ = Yᵢ(1)−Yᵢ(0)</w:t>
            </w:r>
          </w:p>
        </w:tc>
        <w:tc>
          <w:tcPr>
            <w:tcW w:type="dxa" w:w="5472"/>
          </w:tcPr>
          <w:p>
            <w:r/>
            <w:r>
              <w:rPr>
                <w:rFonts w:ascii="Calibri" w:hAnsi="Calibri"/>
                <w:b w:val="0"/>
                <w:sz w:val="20"/>
              </w:rPr>
              <w:t>Individual Treatment Effect — the causal effect for a specific individual (unobservable).</w:t>
            </w:r>
          </w:p>
        </w:tc>
      </w:tr>
      <w:tr>
        <w:tc>
          <w:tcPr>
            <w:tcW w:type="dxa" w:w="2016"/>
          </w:tcPr>
          <w:p>
            <w:r/>
            <w:r>
              <w:rPr>
                <w:rFonts w:ascii="Calibri" w:hAnsi="Calibri"/>
                <w:b/>
                <w:sz w:val="20"/>
              </w:rPr>
              <w:t>Propensity Score</w:t>
            </w:r>
          </w:p>
        </w:tc>
        <w:tc>
          <w:tcPr>
            <w:tcW w:type="dxa" w:w="2592"/>
          </w:tcPr>
          <w:p>
            <w:r/>
            <w:r>
              <w:rPr>
                <w:rFonts w:ascii="Calibri" w:hAnsi="Calibri"/>
                <w:b w:val="0"/>
                <w:sz w:val="20"/>
              </w:rPr>
              <w:t>e(X) = P(T=1|X)</w:t>
            </w:r>
          </w:p>
        </w:tc>
        <w:tc>
          <w:tcPr>
            <w:tcW w:type="dxa" w:w="5472"/>
          </w:tcPr>
          <w:p>
            <w:r/>
            <w:r>
              <w:rPr>
                <w:rFonts w:ascii="Calibri" w:hAnsi="Calibri"/>
                <w:b w:val="0"/>
                <w:sz w:val="20"/>
              </w:rPr>
              <w:t>Probability of receiving treatment given patient covariates X.</w:t>
            </w:r>
          </w:p>
        </w:tc>
      </w:tr>
      <w:tr>
        <w:tc>
          <w:tcPr>
            <w:tcW w:type="dxa" w:w="2016"/>
          </w:tcPr>
          <w:p>
            <w:r/>
            <w:r>
              <w:rPr>
                <w:rFonts w:ascii="Calibri" w:hAnsi="Calibri"/>
                <w:b/>
                <w:sz w:val="20"/>
              </w:rPr>
              <w:t>SUTVA</w:t>
            </w:r>
          </w:p>
        </w:tc>
        <w:tc>
          <w:tcPr>
            <w:tcW w:type="dxa" w:w="2592"/>
          </w:tcPr>
          <w:p>
            <w:r/>
            <w:r>
              <w:rPr>
                <w:rFonts w:ascii="Calibri" w:hAnsi="Calibri"/>
                <w:b w:val="0"/>
                <w:sz w:val="20"/>
              </w:rPr>
              <w:t>Yᵢ = Yᵢ(Tᵢ)</w:t>
            </w:r>
          </w:p>
        </w:tc>
        <w:tc>
          <w:tcPr>
            <w:tcW w:type="dxa" w:w="5472"/>
          </w:tcPr>
          <w:p>
            <w:r/>
            <w:r>
              <w:rPr>
                <w:rFonts w:ascii="Calibri" w:hAnsi="Calibri"/>
                <w:b w:val="0"/>
                <w:sz w:val="20"/>
              </w:rPr>
              <w:t>Stable Unit Treatment Value Assumption — no interference between patients.</w:t>
            </w:r>
          </w:p>
        </w:tc>
      </w:tr>
      <w:tr>
        <w:tc>
          <w:tcPr>
            <w:tcW w:type="dxa" w:w="2016"/>
          </w:tcPr>
          <w:p>
            <w:r/>
            <w:r>
              <w:rPr>
                <w:rFonts w:ascii="Calibri" w:hAnsi="Calibri"/>
                <w:b/>
                <w:sz w:val="20"/>
              </w:rPr>
              <w:t>Ignorability</w:t>
            </w:r>
          </w:p>
        </w:tc>
        <w:tc>
          <w:tcPr>
            <w:tcW w:type="dxa" w:w="2592"/>
          </w:tcPr>
          <w:p>
            <w:r/>
            <w:r>
              <w:rPr>
                <w:rFonts w:ascii="Calibri" w:hAnsi="Calibri"/>
                <w:b w:val="0"/>
                <w:sz w:val="20"/>
              </w:rPr>
              <w:t>{Y(0),Y(1)} ⊥⊥ T | X</w:t>
            </w:r>
          </w:p>
        </w:tc>
        <w:tc>
          <w:tcPr>
            <w:tcW w:type="dxa" w:w="5472"/>
          </w:tcPr>
          <w:p>
            <w:r/>
            <w:r>
              <w:rPr>
                <w:rFonts w:ascii="Calibri" w:hAnsi="Calibri"/>
                <w:b w:val="0"/>
                <w:sz w:val="20"/>
              </w:rPr>
              <w:t>Treatment assignment is independent of potential outcomes given covariates.</w:t>
            </w:r>
          </w:p>
        </w:tc>
      </w:tr>
      <w:tr>
        <w:tc>
          <w:tcPr>
            <w:tcW w:type="dxa" w:w="2016"/>
          </w:tcPr>
          <w:p>
            <w:r/>
            <w:r>
              <w:rPr>
                <w:rFonts w:ascii="Calibri" w:hAnsi="Calibri"/>
                <w:b/>
                <w:sz w:val="20"/>
              </w:rPr>
              <w:t>Positivity</w:t>
            </w:r>
          </w:p>
        </w:tc>
        <w:tc>
          <w:tcPr>
            <w:tcW w:type="dxa" w:w="2592"/>
          </w:tcPr>
          <w:p>
            <w:r/>
            <w:r>
              <w:rPr>
                <w:rFonts w:ascii="Calibri" w:hAnsi="Calibri"/>
                <w:b w:val="0"/>
                <w:sz w:val="20"/>
              </w:rPr>
              <w:t>0 &lt; P(T=1|X) &lt; 1</w:t>
            </w:r>
          </w:p>
        </w:tc>
        <w:tc>
          <w:tcPr>
            <w:tcW w:type="dxa" w:w="5472"/>
          </w:tcPr>
          <w:p>
            <w:r/>
            <w:r>
              <w:rPr>
                <w:rFonts w:ascii="Calibri" w:hAnsi="Calibri"/>
                <w:b w:val="0"/>
                <w:sz w:val="20"/>
              </w:rPr>
              <w:t>All subgroups have a non-zero probability of receiving each treatment.</w:t>
            </w:r>
          </w:p>
        </w:tc>
      </w:tr>
      <w:tr>
        <w:tc>
          <w:tcPr>
            <w:tcW w:type="dxa" w:w="2016"/>
          </w:tcPr>
          <w:p>
            <w:r/>
            <w:r>
              <w:rPr>
                <w:rFonts w:ascii="Calibri" w:hAnsi="Calibri"/>
                <w:b/>
                <w:sz w:val="20"/>
              </w:rPr>
              <w:t>SCM</w:t>
            </w:r>
          </w:p>
        </w:tc>
        <w:tc>
          <w:tcPr>
            <w:tcW w:type="dxa" w:w="2592"/>
          </w:tcPr>
          <w:p>
            <w:r/>
            <w:r>
              <w:rPr>
                <w:rFonts w:ascii="Calibri" w:hAnsi="Calibri"/>
                <w:b w:val="0"/>
                <w:sz w:val="20"/>
              </w:rPr>
              <w:t>M = (U,V,F,P(U))</w:t>
            </w:r>
          </w:p>
        </w:tc>
        <w:tc>
          <w:tcPr>
            <w:tcW w:type="dxa" w:w="5472"/>
          </w:tcPr>
          <w:p>
            <w:r/>
            <w:r>
              <w:rPr>
                <w:rFonts w:ascii="Calibri" w:hAnsi="Calibri"/>
                <w:b w:val="0"/>
                <w:sz w:val="20"/>
              </w:rPr>
              <w:t>Structural Causal Model — Pearl's framework encoding causal mechanisms.</w:t>
            </w:r>
          </w:p>
        </w:tc>
      </w:tr>
      <w:tr>
        <w:tc>
          <w:tcPr>
            <w:tcW w:type="dxa" w:w="2016"/>
          </w:tcPr>
          <w:p>
            <w:r/>
            <w:r>
              <w:rPr>
                <w:rFonts w:ascii="Calibri" w:hAnsi="Calibri"/>
                <w:b/>
                <w:sz w:val="20"/>
              </w:rPr>
              <w:t>do-operator</w:t>
            </w:r>
          </w:p>
        </w:tc>
        <w:tc>
          <w:tcPr>
            <w:tcW w:type="dxa" w:w="2592"/>
          </w:tcPr>
          <w:p>
            <w:r/>
            <w:r>
              <w:rPr>
                <w:rFonts w:ascii="Calibri" w:hAnsi="Calibri"/>
                <w:b w:val="0"/>
                <w:sz w:val="20"/>
              </w:rPr>
              <w:t>do(T=t)</w:t>
            </w:r>
          </w:p>
        </w:tc>
        <w:tc>
          <w:tcPr>
            <w:tcW w:type="dxa" w:w="5472"/>
          </w:tcPr>
          <w:p>
            <w:r/>
            <w:r>
              <w:rPr>
                <w:rFonts w:ascii="Calibri" w:hAnsi="Calibri"/>
                <w:b w:val="0"/>
                <w:sz w:val="20"/>
              </w:rPr>
              <w:t>Pearl's notation for intervention: forcing treatment T to value t.</w:t>
            </w:r>
          </w:p>
        </w:tc>
      </w:tr>
      <w:tr>
        <w:tc>
          <w:tcPr>
            <w:tcW w:type="dxa" w:w="2016"/>
          </w:tcPr>
          <w:p>
            <w:r/>
            <w:r>
              <w:rPr>
                <w:rFonts w:ascii="Calibri" w:hAnsi="Calibri"/>
                <w:b/>
                <w:sz w:val="20"/>
              </w:rPr>
              <w:t>Backdoor Criterion</w:t>
            </w:r>
          </w:p>
        </w:tc>
        <w:tc>
          <w:tcPr>
            <w:tcW w:type="dxa" w:w="2592"/>
          </w:tcPr>
          <w:p>
            <w:r/>
            <w:r>
              <w:rPr>
                <w:rFonts w:ascii="Calibri" w:hAnsi="Calibri"/>
                <w:b w:val="0"/>
                <w:sz w:val="20"/>
              </w:rPr>
              <w:t>—</w:t>
            </w:r>
          </w:p>
        </w:tc>
        <w:tc>
          <w:tcPr>
            <w:tcW w:type="dxa" w:w="5472"/>
          </w:tcPr>
          <w:p>
            <w:r/>
            <w:r>
              <w:rPr>
                <w:rFonts w:ascii="Calibri" w:hAnsi="Calibri"/>
                <w:b w:val="0"/>
                <w:sz w:val="20"/>
              </w:rPr>
              <w:t>A graphical condition on the DAG identifying a sufficient adjustment set.</w:t>
            </w:r>
          </w:p>
        </w:tc>
      </w:tr>
      <w:tr>
        <w:tc>
          <w:tcPr>
            <w:tcW w:type="dxa" w:w="2016"/>
          </w:tcPr>
          <w:p>
            <w:r/>
            <w:r>
              <w:rPr>
                <w:rFonts w:ascii="Calibri" w:hAnsi="Calibri"/>
                <w:b/>
                <w:sz w:val="20"/>
              </w:rPr>
              <w:t>Confounder</w:t>
            </w:r>
          </w:p>
        </w:tc>
        <w:tc>
          <w:tcPr>
            <w:tcW w:type="dxa" w:w="2592"/>
          </w:tcPr>
          <w:p>
            <w:r/>
            <w:r>
              <w:rPr>
                <w:rFonts w:ascii="Calibri" w:hAnsi="Calibri"/>
                <w:b w:val="0"/>
                <w:sz w:val="20"/>
              </w:rPr>
              <w:t>—</w:t>
            </w:r>
          </w:p>
        </w:tc>
        <w:tc>
          <w:tcPr>
            <w:tcW w:type="dxa" w:w="5472"/>
          </w:tcPr>
          <w:p>
            <w:r/>
            <w:r>
              <w:rPr>
                <w:rFonts w:ascii="Calibri" w:hAnsi="Calibri"/>
                <w:b w:val="0"/>
                <w:sz w:val="20"/>
              </w:rPr>
              <w:t>A variable that causally influences both treatment and outcome.</w:t>
            </w:r>
          </w:p>
        </w:tc>
      </w:tr>
      <w:tr>
        <w:tc>
          <w:tcPr>
            <w:tcW w:type="dxa" w:w="2016"/>
          </w:tcPr>
          <w:p>
            <w:r/>
            <w:r>
              <w:rPr>
                <w:rFonts w:ascii="Calibri" w:hAnsi="Calibri"/>
                <w:b/>
                <w:sz w:val="20"/>
              </w:rPr>
              <w:t>Mediator</w:t>
            </w:r>
          </w:p>
        </w:tc>
        <w:tc>
          <w:tcPr>
            <w:tcW w:type="dxa" w:w="2592"/>
          </w:tcPr>
          <w:p>
            <w:r/>
            <w:r>
              <w:rPr>
                <w:rFonts w:ascii="Calibri" w:hAnsi="Calibri"/>
                <w:b w:val="0"/>
                <w:sz w:val="20"/>
              </w:rPr>
              <w:t>—</w:t>
            </w:r>
          </w:p>
        </w:tc>
        <w:tc>
          <w:tcPr>
            <w:tcW w:type="dxa" w:w="5472"/>
          </w:tcPr>
          <w:p>
            <w:r/>
            <w:r>
              <w:rPr>
                <w:rFonts w:ascii="Calibri" w:hAnsi="Calibri"/>
                <w:b w:val="0"/>
                <w:sz w:val="20"/>
              </w:rPr>
              <w:t>A variable on the causal pathway between treatment and outcome.</w:t>
            </w:r>
          </w:p>
        </w:tc>
      </w:tr>
      <w:tr>
        <w:tc>
          <w:tcPr>
            <w:tcW w:type="dxa" w:w="2016"/>
          </w:tcPr>
          <w:p>
            <w:r/>
            <w:r>
              <w:rPr>
                <w:rFonts w:ascii="Calibri" w:hAnsi="Calibri"/>
                <w:b/>
                <w:sz w:val="20"/>
              </w:rPr>
              <w:t>Collider</w:t>
            </w:r>
          </w:p>
        </w:tc>
        <w:tc>
          <w:tcPr>
            <w:tcW w:type="dxa" w:w="2592"/>
          </w:tcPr>
          <w:p>
            <w:r/>
            <w:r>
              <w:rPr>
                <w:rFonts w:ascii="Calibri" w:hAnsi="Calibri"/>
                <w:b w:val="0"/>
                <w:sz w:val="20"/>
              </w:rPr>
              <w:t>—</w:t>
            </w:r>
          </w:p>
        </w:tc>
        <w:tc>
          <w:tcPr>
            <w:tcW w:type="dxa" w:w="5472"/>
          </w:tcPr>
          <w:p>
            <w:r/>
            <w:r>
              <w:rPr>
                <w:rFonts w:ascii="Calibri" w:hAnsi="Calibri"/>
                <w:b w:val="0"/>
                <w:sz w:val="20"/>
              </w:rPr>
              <w:t>A variable caused by two or more variables; conditioning on it induces spurious association.</w:t>
            </w:r>
          </w:p>
        </w:tc>
      </w:tr>
      <w:tr>
        <w:tc>
          <w:tcPr>
            <w:tcW w:type="dxa" w:w="2016"/>
          </w:tcPr>
          <w:p>
            <w:r/>
            <w:r>
              <w:rPr>
                <w:rFonts w:ascii="Calibri" w:hAnsi="Calibri"/>
                <w:b/>
                <w:sz w:val="20"/>
              </w:rPr>
              <w:t>DAG</w:t>
            </w:r>
          </w:p>
        </w:tc>
        <w:tc>
          <w:tcPr>
            <w:tcW w:type="dxa" w:w="2592"/>
          </w:tcPr>
          <w:p>
            <w:r/>
            <w:r>
              <w:rPr>
                <w:rFonts w:ascii="Calibri" w:hAnsi="Calibri"/>
                <w:b w:val="0"/>
                <w:sz w:val="20"/>
              </w:rPr>
              <w:t>—</w:t>
            </w:r>
          </w:p>
        </w:tc>
        <w:tc>
          <w:tcPr>
            <w:tcW w:type="dxa" w:w="5472"/>
          </w:tcPr>
          <w:p>
            <w:r/>
            <w:r>
              <w:rPr>
                <w:rFonts w:ascii="Calibri" w:hAnsi="Calibri"/>
                <w:b w:val="0"/>
                <w:sz w:val="20"/>
              </w:rPr>
              <w:t>Directed Acyclic Graph — a visual representation of causal assumptions.</w:t>
            </w:r>
          </w:p>
        </w:tc>
      </w:tr>
      <w:tr>
        <w:tc>
          <w:tcPr>
            <w:tcW w:type="dxa" w:w="2016"/>
          </w:tcPr>
          <w:p>
            <w:r/>
            <w:r>
              <w:rPr>
                <w:rFonts w:ascii="Calibri" w:hAnsi="Calibri"/>
                <w:b/>
                <w:sz w:val="20"/>
              </w:rPr>
              <w:t>IPW</w:t>
            </w:r>
          </w:p>
        </w:tc>
        <w:tc>
          <w:tcPr>
            <w:tcW w:type="dxa" w:w="2592"/>
          </w:tcPr>
          <w:p>
            <w:r/>
            <w:r>
              <w:rPr>
                <w:rFonts w:ascii="Calibri" w:hAnsi="Calibri"/>
                <w:b w:val="0"/>
                <w:sz w:val="20"/>
              </w:rPr>
              <w:t>—</w:t>
            </w:r>
          </w:p>
        </w:tc>
        <w:tc>
          <w:tcPr>
            <w:tcW w:type="dxa" w:w="5472"/>
          </w:tcPr>
          <w:p>
            <w:r/>
            <w:r>
              <w:rPr>
                <w:rFonts w:ascii="Calibri" w:hAnsi="Calibri"/>
                <w:b w:val="0"/>
                <w:sz w:val="20"/>
              </w:rPr>
              <w:t>Inverse Propensity Weighting — re-weighting observations by inverse propensity scores.</w:t>
            </w:r>
          </w:p>
        </w:tc>
      </w:tr>
      <w:tr>
        <w:tc>
          <w:tcPr>
            <w:tcW w:type="dxa" w:w="2016"/>
          </w:tcPr>
          <w:p>
            <w:r/>
            <w:r>
              <w:rPr>
                <w:rFonts w:ascii="Calibri" w:hAnsi="Calibri"/>
                <w:b/>
                <w:sz w:val="20"/>
              </w:rPr>
              <w:t>AIPW / DR</w:t>
            </w:r>
          </w:p>
        </w:tc>
        <w:tc>
          <w:tcPr>
            <w:tcW w:type="dxa" w:w="2592"/>
          </w:tcPr>
          <w:p>
            <w:r/>
            <w:r>
              <w:rPr>
                <w:rFonts w:ascii="Calibri" w:hAnsi="Calibri"/>
                <w:b w:val="0"/>
                <w:sz w:val="20"/>
              </w:rPr>
              <w:t>—</w:t>
            </w:r>
          </w:p>
        </w:tc>
        <w:tc>
          <w:tcPr>
            <w:tcW w:type="dxa" w:w="5472"/>
          </w:tcPr>
          <w:p>
            <w:r/>
            <w:r>
              <w:rPr>
                <w:rFonts w:ascii="Calibri" w:hAnsi="Calibri"/>
                <w:b w:val="0"/>
                <w:sz w:val="20"/>
              </w:rPr>
              <w:t>Augmented IPW / Doubly Robust estimation — combines regression and propensity weighting.</w:t>
            </w:r>
          </w:p>
        </w:tc>
      </w:tr>
      <w:tr>
        <w:tc>
          <w:tcPr>
            <w:tcW w:type="dxa" w:w="2016"/>
          </w:tcPr>
          <w:p>
            <w:r/>
            <w:r>
              <w:rPr>
                <w:rFonts w:ascii="Calibri" w:hAnsi="Calibri"/>
                <w:b/>
                <w:sz w:val="20"/>
              </w:rPr>
              <w:t>T-Learner</w:t>
            </w:r>
          </w:p>
        </w:tc>
        <w:tc>
          <w:tcPr>
            <w:tcW w:type="dxa" w:w="2592"/>
          </w:tcPr>
          <w:p>
            <w:r/>
            <w:r>
              <w:rPr>
                <w:rFonts w:ascii="Calibri" w:hAnsi="Calibri"/>
                <w:b w:val="0"/>
                <w:sz w:val="20"/>
              </w:rPr>
              <w:t>—</w:t>
            </w:r>
          </w:p>
        </w:tc>
        <w:tc>
          <w:tcPr>
            <w:tcW w:type="dxa" w:w="5472"/>
          </w:tcPr>
          <w:p>
            <w:r/>
            <w:r>
              <w:rPr>
                <w:rFonts w:ascii="Calibri" w:hAnsi="Calibri"/>
                <w:b w:val="0"/>
                <w:sz w:val="20"/>
              </w:rPr>
              <w:t>Two-model metalearner: separate models for treated and control groups.</w:t>
            </w:r>
          </w:p>
        </w:tc>
      </w:tr>
      <w:tr>
        <w:tc>
          <w:tcPr>
            <w:tcW w:type="dxa" w:w="2016"/>
          </w:tcPr>
          <w:p>
            <w:r/>
            <w:r>
              <w:rPr>
                <w:rFonts w:ascii="Calibri" w:hAnsi="Calibri"/>
                <w:b/>
                <w:sz w:val="20"/>
              </w:rPr>
              <w:t>S-Learner</w:t>
            </w:r>
          </w:p>
        </w:tc>
        <w:tc>
          <w:tcPr>
            <w:tcW w:type="dxa" w:w="2592"/>
          </w:tcPr>
          <w:p>
            <w:r/>
            <w:r>
              <w:rPr>
                <w:rFonts w:ascii="Calibri" w:hAnsi="Calibri"/>
                <w:b w:val="0"/>
                <w:sz w:val="20"/>
              </w:rPr>
              <w:t>—</w:t>
            </w:r>
          </w:p>
        </w:tc>
        <w:tc>
          <w:tcPr>
            <w:tcW w:type="dxa" w:w="5472"/>
          </w:tcPr>
          <w:p>
            <w:r/>
            <w:r>
              <w:rPr>
                <w:rFonts w:ascii="Calibri" w:hAnsi="Calibri"/>
                <w:b w:val="0"/>
                <w:sz w:val="20"/>
              </w:rPr>
              <w:t>Single-model metalearner: one model with treatment as a feature.</w:t>
            </w:r>
          </w:p>
        </w:tc>
      </w:tr>
      <w:tr>
        <w:tc>
          <w:tcPr>
            <w:tcW w:type="dxa" w:w="2016"/>
          </w:tcPr>
          <w:p>
            <w:r/>
            <w:r>
              <w:rPr>
                <w:rFonts w:ascii="Calibri" w:hAnsi="Calibri"/>
                <w:b/>
                <w:sz w:val="20"/>
              </w:rPr>
              <w:t>X-Learner</w:t>
            </w:r>
          </w:p>
        </w:tc>
        <w:tc>
          <w:tcPr>
            <w:tcW w:type="dxa" w:w="2592"/>
          </w:tcPr>
          <w:p>
            <w:r/>
            <w:r>
              <w:rPr>
                <w:rFonts w:ascii="Calibri" w:hAnsi="Calibri"/>
                <w:b w:val="0"/>
                <w:sz w:val="20"/>
              </w:rPr>
              <w:t>—</w:t>
            </w:r>
          </w:p>
        </w:tc>
        <w:tc>
          <w:tcPr>
            <w:tcW w:type="dxa" w:w="5472"/>
          </w:tcPr>
          <w:p>
            <w:r/>
            <w:r>
              <w:rPr>
                <w:rFonts w:ascii="Calibri" w:hAnsi="Calibri"/>
                <w:b w:val="0"/>
                <w:sz w:val="20"/>
              </w:rPr>
              <w:t>Cross-learner metalearner: uses cross-imputation for imbalanced groups.</w:t>
            </w:r>
          </w:p>
        </w:tc>
      </w:tr>
      <w:tr>
        <w:tc>
          <w:tcPr>
            <w:tcW w:type="dxa" w:w="2016"/>
          </w:tcPr>
          <w:p>
            <w:r/>
            <w:r>
              <w:rPr>
                <w:rFonts w:ascii="Calibri" w:hAnsi="Calibri"/>
                <w:b/>
                <w:sz w:val="20"/>
              </w:rPr>
              <w:t>DML</w:t>
            </w:r>
          </w:p>
        </w:tc>
        <w:tc>
          <w:tcPr>
            <w:tcW w:type="dxa" w:w="2592"/>
          </w:tcPr>
          <w:p>
            <w:r/>
            <w:r>
              <w:rPr>
                <w:rFonts w:ascii="Calibri" w:hAnsi="Calibri"/>
                <w:b w:val="0"/>
                <w:sz w:val="20"/>
              </w:rPr>
              <w:t>—</w:t>
            </w:r>
          </w:p>
        </w:tc>
        <w:tc>
          <w:tcPr>
            <w:tcW w:type="dxa" w:w="5472"/>
          </w:tcPr>
          <w:p>
            <w:r/>
            <w:r>
              <w:rPr>
                <w:rFonts w:ascii="Calibri" w:hAnsi="Calibri"/>
                <w:b w:val="0"/>
                <w:sz w:val="20"/>
              </w:rPr>
              <w:t>Double/Debiased Machine Learning — residualization-based causal estimation.</w:t>
            </w:r>
          </w:p>
        </w:tc>
      </w:tr>
      <w:tr>
        <w:tc>
          <w:tcPr>
            <w:tcW w:type="dxa" w:w="2016"/>
          </w:tcPr>
          <w:p>
            <w:r/>
            <w:r>
              <w:rPr>
                <w:rFonts w:ascii="Calibri" w:hAnsi="Calibri"/>
                <w:b/>
                <w:sz w:val="20"/>
              </w:rPr>
              <w:t>E-value</w:t>
            </w:r>
          </w:p>
        </w:tc>
        <w:tc>
          <w:tcPr>
            <w:tcW w:type="dxa" w:w="2592"/>
          </w:tcPr>
          <w:p>
            <w:r/>
            <w:r>
              <w:rPr>
                <w:rFonts w:ascii="Calibri" w:hAnsi="Calibri"/>
                <w:b w:val="0"/>
                <w:sz w:val="20"/>
              </w:rPr>
              <w:t>—</w:t>
            </w:r>
          </w:p>
        </w:tc>
        <w:tc>
          <w:tcPr>
            <w:tcW w:type="dxa" w:w="5472"/>
          </w:tcPr>
          <w:p>
            <w:r/>
            <w:r>
              <w:rPr>
                <w:rFonts w:ascii="Calibri" w:hAnsi="Calibri"/>
                <w:b w:val="0"/>
                <w:sz w:val="20"/>
              </w:rPr>
              <w:t>Sensitivity metric: minimum unmeasured confounder strength to nullify the result.</w:t>
            </w:r>
          </w:p>
        </w:tc>
      </w:tr>
      <w:tr>
        <w:tc>
          <w:tcPr>
            <w:tcW w:type="dxa" w:w="2016"/>
          </w:tcPr>
          <w:p>
            <w:r/>
            <w:r>
              <w:rPr>
                <w:rFonts w:ascii="Calibri" w:hAnsi="Calibri"/>
                <w:b/>
                <w:sz w:val="20"/>
              </w:rPr>
              <w:t>EHR</w:t>
            </w:r>
          </w:p>
        </w:tc>
        <w:tc>
          <w:tcPr>
            <w:tcW w:type="dxa" w:w="2592"/>
          </w:tcPr>
          <w:p>
            <w:r/>
            <w:r>
              <w:rPr>
                <w:rFonts w:ascii="Calibri" w:hAnsi="Calibri"/>
                <w:b w:val="0"/>
                <w:sz w:val="20"/>
              </w:rPr>
              <w:t>—</w:t>
            </w:r>
          </w:p>
        </w:tc>
        <w:tc>
          <w:tcPr>
            <w:tcW w:type="dxa" w:w="5472"/>
          </w:tcPr>
          <w:p>
            <w:r/>
            <w:r>
              <w:rPr>
                <w:rFonts w:ascii="Calibri" w:hAnsi="Calibri"/>
                <w:b w:val="0"/>
                <w:sz w:val="20"/>
              </w:rPr>
              <w:t>Electronic Health Records — the primary data source for observational causal analysis.</w:t>
            </w:r>
          </w:p>
        </w:tc>
      </w:tr>
      <w:tr>
        <w:tc>
          <w:tcPr>
            <w:tcW w:type="dxa" w:w="2016"/>
          </w:tcPr>
          <w:p>
            <w:r/>
            <w:r>
              <w:rPr>
                <w:rFonts w:ascii="Calibri" w:hAnsi="Calibri"/>
                <w:b/>
                <w:sz w:val="20"/>
              </w:rPr>
              <w:t>HbA1c</w:t>
            </w:r>
          </w:p>
        </w:tc>
        <w:tc>
          <w:tcPr>
            <w:tcW w:type="dxa" w:w="2592"/>
          </w:tcPr>
          <w:p>
            <w:r/>
            <w:r>
              <w:rPr>
                <w:rFonts w:ascii="Calibri" w:hAnsi="Calibri"/>
                <w:b w:val="0"/>
                <w:sz w:val="20"/>
              </w:rPr>
              <w:t>—</w:t>
            </w:r>
          </w:p>
        </w:tc>
        <w:tc>
          <w:tcPr>
            <w:tcW w:type="dxa" w:w="5472"/>
          </w:tcPr>
          <w:p>
            <w:r/>
            <w:r>
              <w:rPr>
                <w:rFonts w:ascii="Calibri" w:hAnsi="Calibri"/>
                <w:b w:val="0"/>
                <w:sz w:val="20"/>
              </w:rPr>
              <w:t>Glycated hemoglobin — key biomarker for long-term blood glucose control.</w:t>
            </w:r>
          </w:p>
        </w:tc>
      </w:tr>
      <w:tr>
        <w:tc>
          <w:tcPr>
            <w:tcW w:type="dxa" w:w="2016"/>
          </w:tcPr>
          <w:p>
            <w:r/>
            <w:r>
              <w:rPr>
                <w:rFonts w:ascii="Calibri" w:hAnsi="Calibri"/>
                <w:b/>
                <w:sz w:val="20"/>
              </w:rPr>
              <w:t>eGFR</w:t>
            </w:r>
          </w:p>
        </w:tc>
        <w:tc>
          <w:tcPr>
            <w:tcW w:type="dxa" w:w="2592"/>
          </w:tcPr>
          <w:p>
            <w:r/>
            <w:r>
              <w:rPr>
                <w:rFonts w:ascii="Calibri" w:hAnsi="Calibri"/>
                <w:b w:val="0"/>
                <w:sz w:val="20"/>
              </w:rPr>
              <w:t>—</w:t>
            </w:r>
          </w:p>
        </w:tc>
        <w:tc>
          <w:tcPr>
            <w:tcW w:type="dxa" w:w="5472"/>
          </w:tcPr>
          <w:p>
            <w:r/>
            <w:r>
              <w:rPr>
                <w:rFonts w:ascii="Calibri" w:hAnsi="Calibri"/>
                <w:b w:val="0"/>
                <w:sz w:val="20"/>
              </w:rPr>
              <w:t>Estimated Glomerular Filtration Rate — measure of kidney function.</w:t>
            </w:r>
          </w:p>
        </w:tc>
      </w:tr>
    </w:tbl>
    <w:p>
      <w:r>
        <w:br w:type="page"/>
      </w:r>
    </w:p>
    <w:p>
      <w:pPr>
        <w:pStyle w:val="Heading1"/>
      </w:pPr>
      <w:r>
        <w:t>10. References</w:t>
      </w:r>
    </w:p>
    <w:p>
      <w:pPr>
        <w:spacing w:after="80"/>
        <w:ind w:left="576"/>
      </w:pPr>
      <w:r>
        <w:rPr>
          <w:rFonts w:ascii="Calibri" w:hAnsi="Calibri"/>
          <w:b/>
          <w:color w:val="1E3A5F"/>
          <w:sz w:val="20"/>
        </w:rPr>
        <w:t xml:space="preserve">[1]  </w:t>
      </w:r>
      <w:r>
        <w:rPr>
          <w:rFonts w:ascii="Calibri" w:hAnsi="Calibri"/>
          <w:sz w:val="20"/>
        </w:rPr>
        <w:t>Pearl, J. (2009). Causality: Models, Reasoning, and Inference. Cambridge University Press.</w:t>
      </w:r>
    </w:p>
    <w:p>
      <w:pPr>
        <w:spacing w:after="80"/>
        <w:ind w:left="576"/>
      </w:pPr>
      <w:r>
        <w:rPr>
          <w:rFonts w:ascii="Calibri" w:hAnsi="Calibri"/>
          <w:b/>
          <w:color w:val="1E3A5F"/>
          <w:sz w:val="20"/>
        </w:rPr>
        <w:t xml:space="preserve">[2]  </w:t>
      </w:r>
      <w:r>
        <w:rPr>
          <w:rFonts w:ascii="Calibri" w:hAnsi="Calibri"/>
          <w:sz w:val="20"/>
        </w:rPr>
        <w:t>Rubin, D.B. (2005). Causal Inference Using Potential Outcomes: Design, Modeling, Decisions. Journal of the American Statistical Association, 100(469), 322–331.</w:t>
      </w:r>
    </w:p>
    <w:p>
      <w:pPr>
        <w:spacing w:after="80"/>
        <w:ind w:left="576"/>
      </w:pPr>
      <w:r>
        <w:rPr>
          <w:rFonts w:ascii="Calibri" w:hAnsi="Calibri"/>
          <w:b/>
          <w:color w:val="1E3A5F"/>
          <w:sz w:val="20"/>
        </w:rPr>
        <w:t xml:space="preserve">[3]  </w:t>
      </w:r>
      <w:r>
        <w:rPr>
          <w:rFonts w:ascii="Calibri" w:hAnsi="Calibri"/>
          <w:sz w:val="20"/>
        </w:rPr>
        <w:t>Hernán, M.A. &amp; Robins, J.M. (2020). Causal Inference: What If. Chapman &amp; Hall/CRC.</w:t>
      </w:r>
    </w:p>
    <w:p>
      <w:pPr>
        <w:spacing w:after="80"/>
        <w:ind w:left="576"/>
      </w:pPr>
      <w:r>
        <w:rPr>
          <w:rFonts w:ascii="Calibri" w:hAnsi="Calibri"/>
          <w:b/>
          <w:color w:val="1E3A5F"/>
          <w:sz w:val="20"/>
        </w:rPr>
        <w:t xml:space="preserve">[4]  </w:t>
      </w:r>
      <w:r>
        <w:rPr>
          <w:rFonts w:ascii="Calibri" w:hAnsi="Calibri"/>
          <w:sz w:val="20"/>
        </w:rPr>
        <w:t>Sharma, A. &amp; Kiciman, E. (2020). DoWhy: An End-to-End Library for Causal Inference. arXiv preprint arXiv:2011.04216.</w:t>
      </w:r>
    </w:p>
    <w:p>
      <w:pPr>
        <w:spacing w:after="80"/>
        <w:ind w:left="576"/>
      </w:pPr>
      <w:r>
        <w:rPr>
          <w:rFonts w:ascii="Calibri" w:hAnsi="Calibri"/>
          <w:b/>
          <w:color w:val="1E3A5F"/>
          <w:sz w:val="20"/>
        </w:rPr>
        <w:t xml:space="preserve">[5]  </w:t>
      </w:r>
      <w:r>
        <w:rPr>
          <w:rFonts w:ascii="Calibri" w:hAnsi="Calibri"/>
          <w:sz w:val="20"/>
        </w:rPr>
        <w:t>Künzel, S.R., Sekhon, J.S., Bickel, P.J., &amp; Yu, B. (2019). Metalearners for Estimating Heterogeneous Treatment Effects Using Machine Learning. Proceedings of the National Academy of Sciences, 116(10), 4156–4165.</w:t>
      </w:r>
    </w:p>
    <w:p>
      <w:pPr>
        <w:spacing w:after="80"/>
        <w:ind w:left="576"/>
      </w:pPr>
      <w:r>
        <w:rPr>
          <w:rFonts w:ascii="Calibri" w:hAnsi="Calibri"/>
          <w:b/>
          <w:color w:val="1E3A5F"/>
          <w:sz w:val="20"/>
        </w:rPr>
        <w:t xml:space="preserve">[6]  </w:t>
      </w:r>
      <w:r>
        <w:rPr>
          <w:rFonts w:ascii="Calibri" w:hAnsi="Calibri"/>
          <w:sz w:val="20"/>
        </w:rPr>
        <w:t>American Diabetes Association (2025). Standards of Medical Care in Diabetes — 2025. Diabetes Care, 48(Supplement 1).</w:t>
      </w:r>
    </w:p>
    <w:p>
      <w:pPr>
        <w:spacing w:after="80"/>
        <w:ind w:left="576"/>
      </w:pPr>
      <w:r>
        <w:rPr>
          <w:rFonts w:ascii="Calibri" w:hAnsi="Calibri"/>
          <w:b/>
          <w:color w:val="1E3A5F"/>
          <w:sz w:val="20"/>
        </w:rPr>
        <w:t xml:space="preserve">[7]  </w:t>
      </w:r>
      <w:r>
        <w:rPr>
          <w:rFonts w:ascii="Calibri" w:hAnsi="Calibri"/>
          <w:sz w:val="20"/>
        </w:rPr>
        <w:t>Chernozhukov, V., Chetverikov, D., Demirer, M., et al. (2018). Double/Debiased Machine Learning for Treatment and Structural Parameters. The Econometrics Journal, 21(1), C1–C68.</w:t>
      </w:r>
    </w:p>
    <w:p>
      <w:pPr>
        <w:spacing w:after="80"/>
        <w:ind w:left="576"/>
      </w:pPr>
      <w:r>
        <w:rPr>
          <w:rFonts w:ascii="Calibri" w:hAnsi="Calibri"/>
          <w:b/>
          <w:color w:val="1E3A5F"/>
          <w:sz w:val="20"/>
        </w:rPr>
        <w:t xml:space="preserve">[8]  </w:t>
      </w:r>
      <w:r>
        <w:rPr>
          <w:rFonts w:ascii="Calibri" w:hAnsi="Calibri"/>
          <w:sz w:val="20"/>
        </w:rPr>
        <w:t>VanderWeele, T.J. &amp; Ding, P. (2017). Sensitivity Analysis in Observational Research: Introducing the E-Value. Annals of Internal Medicine, 167(4), 268–274.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E3A5F"/>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E3A5F"/>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1E3A5F"/>
      <w:sz w:val="28"/>
    </w:rPr>
  </w:style>
  <w:style w:type="paragraph" w:styleId="Heading4">
    <w:name w:val="heading 4"/>
    <w:basedOn w:val="Normal"/>
    <w:next w:val="Normal"/>
    <w:link w:val="Heading4Char"/>
    <w:uiPriority w:val="9"/>
    <w:semiHidden/>
    <w:unhideWhenUsed/>
    <w:qFormat/>
    <w:rsid w:val="00FC693F"/>
    <w:pPr>
      <w:keepNext/>
      <w:keepLines/>
      <w:spacing w:before="280" w:after="160"/>
      <w:outlineLvl w:val="3"/>
    </w:pPr>
    <w:rPr>
      <w:rFonts w:asciiTheme="majorHAnsi" w:eastAsiaTheme="majorEastAsia" w:hAnsiTheme="majorHAnsi" w:cstheme="majorBidi" w:ascii="Calibri" w:hAnsi="Calibri"/>
      <w:b/>
      <w:bCs/>
      <w:i/>
      <w:iCs/>
      <w:color w:val="1E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