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Noto Sans Arabic" w:hAnsi="Noto Sans Arabic" w:cs="Noto Sans Arabic"/>
          <w:b/>
          <w:color w:val="0F3D5C"/>
          <w:sz w:val="52"/>
        </w:rPr>
        <w:t>WASIT BUSINESS GLOBAL</w:t>
      </w:r>
    </w:p>
    <w:p>
      <w:pPr>
        <w:bidi/>
        <w:jc w:val="right"/>
      </w:pPr>
      <w:r>
        <w:rPr>
          <w:rFonts w:ascii="Noto Sans Arabic" w:hAnsi="Noto Sans Arabic" w:cs="Noto Sans Arabic"/>
          <w:b/>
          <w:color w:val="14532D"/>
          <w:sz w:val="30"/>
        </w:rPr>
        <w:t>PARTNER PRESENTATION</w:t>
      </w:r>
    </w:p>
    <w:p>
      <w:pPr>
        <w:bidi/>
        <w:jc w:val="right"/>
      </w:pPr>
      <w:r>
        <w:rPr>
          <w:rFonts w:ascii="Noto Sans Arabic" w:hAnsi="Noto Sans Arabic" w:cs="Noto Sans Arabic"/>
          <w:b/>
          <w:color w:val="0F3D5C"/>
          <w:sz w:val="40"/>
          <w:rtl/>
          <w:cs/>
        </w:rPr>
        <w:t>الوسيط للتجارة الرقمية</w:t>
      </w:r>
    </w:p>
    <w:p>
      <w:pPr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4"/>
        </w:rPr>
        <w:t>Global Digital Trade Intermediary</w:t>
      </w:r>
    </w:p>
    <w:p>
      <w:pPr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0"/>
          <w:rtl/>
          <w:cs/>
        </w:rPr>
        <w:t>الإصدار الموثّق: b03d17b · 2026-10-04</w:t>
      </w:r>
    </w:p>
    <w:p>
      <w:r>
        <w:br w:type="page"/>
      </w:r>
    </w:p>
    <w:p>
      <w:pPr>
        <w:bidi/>
        <w:jc w:val="right"/>
      </w:pPr>
      <w:r>
        <w:rPr>
          <w:rFonts w:ascii="Noto Sans Arabic" w:hAnsi="Noto Sans Arabic" w:cs="Noto Sans Arabic"/>
          <w:b/>
          <w:color w:val="0F3D5C"/>
          <w:sz w:val="38"/>
        </w:rPr>
        <w:t>WASIT BUSINESS GLOBAL</w:t>
      </w:r>
    </w:p>
    <w:p>
      <w:pPr>
        <w:bidi/>
        <w:jc w:val="right"/>
      </w:pPr>
      <w:r>
        <w:rPr>
          <w:rFonts w:ascii="Noto Sans Arabic" w:hAnsi="Noto Sans Arabic" w:cs="Noto Sans Arabic"/>
          <w:b/>
          <w:color w:val="0F3D5C"/>
          <w:sz w:val="29"/>
        </w:rPr>
        <w:t>PARTNER PRESENTATION</w:t>
      </w:r>
    </w:p>
    <w:p>
      <w:r>
        <w:br w:type="page"/>
      </w:r>
    </w:p>
    <w:p>
      <w:pPr>
        <w:bidi/>
        <w:jc w:val="right"/>
      </w:pPr>
      <w:r>
        <w:rPr>
          <w:rFonts w:ascii="Noto Sans Arabic" w:hAnsi="Noto Sans Arabic" w:cs="Noto Sans Arabic"/>
          <w:b/>
          <w:color w:val="14532D"/>
          <w:sz w:val="25"/>
          <w:rtl/>
          <w:cs/>
        </w:rPr>
        <w:t>الوسيط للتجارة الرقمية · Global Digital Trade Intermediary</w:t>
      </w:r>
    </w:p>
    <w:p>
      <w:pPr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نسخة مختصرة للعرض الأول على الشريك</w:t>
      </w:r>
    </w:p>
    <w:p>
      <w:pPr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الإصدار الموثّق: b03d17b · التاريخ: 2026-10-04</w:t>
      </w:r>
    </w:p>
    <w:p>
      <w:r>
        <w:t>────────────────────────────────────────</w:t>
      </w:r>
    </w:p>
    <w:p>
      <w:pPr>
        <w:bidi/>
        <w:jc w:val="right"/>
      </w:pPr>
      <w:r>
        <w:rPr>
          <w:rFonts w:ascii="Noto Sans Arabic" w:hAnsi="Noto Sans Arabic" w:cs="Noto Sans Arabic"/>
          <w:b/>
          <w:color w:val="0F3D5C"/>
          <w:sz w:val="29"/>
          <w:rtl/>
          <w:cs/>
        </w:rPr>
        <w:t>1. WASIT — من نحن</w:t>
      </w:r>
    </w:p>
    <w:p>
      <w:r>
        <w:br w:type="page"/>
      </w:r>
    </w:p>
    <w:p>
      <w:pPr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WASIT BUSINESS GLOBAL (الوسيط للتجارة الرقمية) — منصة وساطة تجارية رقمية تربط المشترين بالمورّدين والتجار والشركات، وتدير دورة الصفقة كاملة: من التسجيل والتوثيق، إلى العرض والطلب، إلى العمولة والدفع والدفتر والتسوية والصرف.</w:t>
      </w:r>
    </w:p>
    <w:p>
      <w:pPr>
        <w:jc w:val="left"/>
      </w:pPr>
      <w:r>
        <w:rPr>
          <w:rFonts w:ascii="DejaVu Sans Mono" w:hAnsi="DejaVu Sans Mono"/>
          <w:sz w:val="16"/>
        </w:rPr>
        <w:t xml:space="preserve">        Buyer  ◄────────►  WASIT  ◄────────►  Seller / Supplier / Company</w:t>
        <w:br/>
        <w:t xml:space="preserve">                     طبقة الوساطة الرقمية</w:t>
      </w:r>
    </w:p>
    <w:p>
      <w:pPr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في أربع نقاط:</w:t>
      </w:r>
    </w:p>
    <w:p>
      <w:pPr>
        <w:pStyle w:val="ListBullet"/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منصة وسيط تجاري رقمي — ليست شركة توصيل، وليست بنكًا.</w:t>
      </w:r>
    </w:p>
    <w:p>
      <w:pPr>
        <w:pStyle w:val="ListBullet"/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B2B + B2C في نظام واحد.</w:t>
      </w:r>
    </w:p>
    <w:p>
      <w:pPr>
        <w:pStyle w:val="ListBullet"/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عربية أولًا (RTL) مع دعم fr/en، وبنية Global-first قابلة للتوسع الدولي.</w:t>
      </w:r>
    </w:p>
    <w:p>
      <w:pPr>
        <w:pStyle w:val="ListBullet"/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مبنية ومختبرة فعليًا — وليست فكرة على ورق.</w:t>
      </w:r>
    </w:p>
    <w:p>
      <w:r>
        <w:t>────────────────────────────────────────</w:t>
      </w:r>
    </w:p>
    <w:p>
      <w:pPr>
        <w:bidi/>
        <w:jc w:val="right"/>
      </w:pPr>
      <w:r>
        <w:rPr>
          <w:rFonts w:ascii="Noto Sans Arabic" w:hAnsi="Noto Sans Arabic" w:cs="Noto Sans Arabic"/>
          <w:b/>
          <w:color w:val="0F3D5C"/>
          <w:sz w:val="29"/>
          <w:rtl/>
          <w:cs/>
        </w:rPr>
        <w:t>2. Problem — المشكلة</w:t>
      </w:r>
    </w:p>
    <w:p>
      <w:r>
        <w:br w:type="page"/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/>
                <w:cs/>
              </w:rPr>
              <w:t>المشكلة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/>
                <w:cs/>
              </w:rPr>
              <w:t>الأثر على التاجر والشركة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---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---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صعوبة الوصول إلى موردين وأسواق جديدة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نمو مقيّد بالعلاقات الشخصية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تشتّت عمليات التجارة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عرض، طلب، فاتورة، دفع، تسوية — أدوات منفصلة بلا أثر موحّد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ضعف الثقة بين الأطراف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لا إشارات ثقة قابلة للتفسير ولا مسار منظّم عند الخلاف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صعوبة الوصول إلى فرص B2B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فرص ضائعة لغياب المطابقة والبحث الموحّد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غياب وسيط رقمي منظّم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قواعد غير معلنة وعمولات غير قابلة للتدقيق</w:t>
            </w:r>
          </w:p>
        </w:tc>
      </w:tr>
    </w:tbl>
    <w:p>
      <w:pPr>
        <w:bidi/>
        <w:jc w:val="right"/>
      </w:pPr>
      <w:r>
        <w:rPr>
          <w:rFonts w:ascii="Noto Sans Arabic" w:hAnsi="Noto Sans Arabic" w:cs="Noto Sans Arabic"/>
          <w:b w:val="0"/>
          <w:color w:val="92400E"/>
          <w:sz w:val="19"/>
          <w:rtl/>
          <w:cs/>
        </w:rPr>
        <w:t>لا تتضمّن هذه الوثيقة أي إحصاءات سوقية — المشروع لا يحتوي على دراسة سوق موثّقة.</w:t>
      </w:r>
    </w:p>
    <w:p>
      <w:r>
        <w:t>────────────────────────────────────────</w:t>
      </w:r>
    </w:p>
    <w:p>
      <w:pPr>
        <w:bidi/>
        <w:jc w:val="right"/>
      </w:pPr>
      <w:r>
        <w:rPr>
          <w:rFonts w:ascii="Noto Sans Arabic" w:hAnsi="Noto Sans Arabic" w:cs="Noto Sans Arabic"/>
          <w:b/>
          <w:color w:val="0F3D5C"/>
          <w:sz w:val="29"/>
          <w:rtl/>
          <w:cs/>
        </w:rPr>
        <w:t>3. Solution — الحل</w:t>
      </w:r>
    </w:p>
    <w:p>
      <w:r>
        <w:br w:type="page"/>
      </w:r>
    </w:p>
    <w:p>
      <w:pPr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طبقة وساطة رقمية واحدة تُدير الصفقة كاملة، بقواعد معلنة وقابلة للتدقيق.</w:t>
      </w:r>
    </w:p>
    <w:p>
      <w:pPr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ما تفعله WASIT:</w:t>
      </w:r>
    </w:p>
    <w:p>
      <w:pPr>
        <w:pStyle w:val="ListBullet"/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تربط المشتري بالبائع الصحيح (بحث، تصنيف، مطابقة، مقارنة أسعار).</w:t>
      </w:r>
    </w:p>
    <w:p>
      <w:pPr>
        <w:pStyle w:val="ListBullet"/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تدير الطلب والعرض والمخزون.</w:t>
      </w:r>
    </w:p>
    <w:p>
      <w:pPr>
        <w:pStyle w:val="ListBullet"/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تحتسب العمولة بقاعدة واضحة من قاعدة البيانات.</w:t>
      </w:r>
    </w:p>
    <w:p>
      <w:pPr>
        <w:pStyle w:val="ListBullet"/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تفصل الدفع عن التسوية عن العمولة المستحقة عن العمولة المستلمة.</w:t>
      </w:r>
    </w:p>
    <w:p>
      <w:pPr>
        <w:pStyle w:val="ListBullet"/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تسجّل كل حركة مالية بأطرافها (Payer / Beneficiary) في دفتر الحسابات.</w:t>
      </w:r>
    </w:p>
    <w:p>
      <w:pPr>
        <w:pStyle w:val="ListBullet"/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تدير الثقة والتوثيق والمخاطر والنزاعات والإعلانات والاشتراكات.</w:t>
      </w:r>
    </w:p>
    <w:p>
      <w:pPr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ما لا تفعله WASIT:</w:t>
      </w:r>
    </w:p>
    <w:p>
      <w:pPr>
        <w:pStyle w:val="ListBullet"/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ليست شركة توصيل، ولا طرفًا لوجستيًا.</w:t>
      </w:r>
    </w:p>
    <w:p>
      <w:pPr>
        <w:pStyle w:val="ListBullet"/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لا تحتفظ بأرصدة للعملاء (لا Wallet).</w:t>
      </w:r>
    </w:p>
    <w:p>
      <w:pPr>
        <w:pStyle w:val="ListBullet"/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لا تتحمّل تلقائيًا مسؤولية اتفاق خارج المنصة.</w:t>
      </w:r>
    </w:p>
    <w:p>
      <w:r>
        <w:t>────────────────────────────────────────</w:t>
      </w:r>
    </w:p>
    <w:p>
      <w:pPr>
        <w:bidi/>
        <w:jc w:val="right"/>
      </w:pPr>
      <w:r>
        <w:rPr>
          <w:rFonts w:ascii="Noto Sans Arabic" w:hAnsi="Noto Sans Arabic" w:cs="Noto Sans Arabic"/>
          <w:b/>
          <w:color w:val="0F3D5C"/>
          <w:sz w:val="29"/>
          <w:rtl/>
          <w:cs/>
        </w:rPr>
        <w:t>4. How It Works — كيف تعمل</w:t>
      </w:r>
    </w:p>
    <w:p>
      <w:r>
        <w:br w:type="page"/>
      </w:r>
    </w:p>
    <w:p>
      <w:pPr>
        <w:jc w:val="left"/>
      </w:pPr>
      <w:r>
        <w:rPr>
          <w:rFonts w:ascii="DejaVu Sans Mono" w:hAnsi="DejaVu Sans Mono"/>
          <w:sz w:val="16"/>
        </w:rPr>
        <w:t>Registration → Verification → Product/Offer → Order</w:t>
        <w:br/>
        <w:t xml:space="preserve">    → Commission → Payment → Ledger → Settlement → Payout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/>
                <w:cs/>
              </w:rPr>
              <w:t>المرحلة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/>
                <w:cs/>
              </w:rPr>
              <w:t>ما يحدث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---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---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التسجيل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حساب + جلسة آمنة + دور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التوثيق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مستويات توثيق وسياسات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العرض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منتج، تصنيف، حد أدنى للكمية (MOQ)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الطلب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طلب مؤكَّد بالأطراف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العمولة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احتساب من سياسة قاعدة البيانات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الدفع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نيّة دفع + تأكيد مزوّد/Webhook موقّع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الدفتر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تسجيل الحركة بأطرافها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التسوية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تأكيد التسوية بدليل إلزامي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الصرف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صرف مستحق البائع</w:t>
            </w:r>
          </w:p>
        </w:tc>
      </w:tr>
    </w:tbl>
    <w:p>
      <w:pPr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مبدأ محفوظ: الدفع ≠ التسوية ≠ العمولة المستحقة ≠ العمولة المستلمة — أربع حالات منفصلة، والنظام مُختبر على أنه لا يفبرك أي حالة مُسوّاة.</w:t>
      </w:r>
    </w:p>
    <w:p>
      <w:r>
        <w:t>────────────────────────────────────────</w:t>
      </w:r>
    </w:p>
    <w:p>
      <w:pPr>
        <w:bidi/>
        <w:jc w:val="right"/>
      </w:pPr>
      <w:r>
        <w:rPr>
          <w:rFonts w:ascii="Noto Sans Arabic" w:hAnsi="Noto Sans Arabic" w:cs="Noto Sans Arabic"/>
          <w:b/>
          <w:color w:val="0F3D5C"/>
          <w:sz w:val="29"/>
          <w:rtl/>
          <w:cs/>
        </w:rPr>
        <w:t>5. Business Model — نموذج الأعمال</w:t>
      </w:r>
    </w:p>
    <w:p>
      <w:r>
        <w:br w:type="page"/>
      </w:r>
    </w:p>
    <w:p>
      <w:pPr>
        <w:bidi/>
        <w:jc w:val="right"/>
      </w:pPr>
      <w:r>
        <w:rPr>
          <w:rFonts w:ascii="Noto Sans Arabic" w:hAnsi="Noto Sans Arabic" w:cs="Noto Sans Arabic"/>
          <w:b/>
          <w:color w:val="14532D"/>
          <w:sz w:val="25"/>
          <w:rtl/>
          <w:cs/>
        </w:rPr>
        <w:t>العمولة — المصدر الأساسي</w:t>
      </w:r>
    </w:p>
    <w:p>
      <w:pPr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4% من قيمة الصفقة إجمالًا = 2% على البائع + 2% على المشتري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/>
                <w:cs/>
              </w:rPr>
              <w:t>البند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/>
                <w:cs/>
              </w:rPr>
              <w:t>القيمة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---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---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قيمة الصفقة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210.0000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العمولة الإجمالية (4%)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8.4000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حصة المشتري (2%)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4.2000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الإجمالي النهائي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214.2000</w:t>
            </w:r>
          </w:p>
        </w:tc>
      </w:tr>
    </w:tbl>
    <w:p>
      <w:pPr>
        <w:bidi/>
        <w:jc w:val="right"/>
      </w:pPr>
      <w:r>
        <w:rPr>
          <w:rFonts w:ascii="Noto Sans Arabic" w:hAnsi="Noto Sans Arabic" w:cs="Noto Sans Arabic"/>
          <w:b w:val="0"/>
          <w:color w:val="92400E"/>
          <w:sz w:val="19"/>
          <w:rtl/>
          <w:cs/>
        </w:rPr>
        <w:t>أرقام حقيقية من طلب فعلي في قاعدة بيانات العرض.</w:t>
      </w:r>
    </w:p>
    <w:p>
      <w:pPr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مزايا النموذج:</w:t>
      </w:r>
    </w:p>
    <w:p>
      <w:pPr>
        <w:pStyle w:val="ListBullet"/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العمولة سياسة في قاعدة البيانات لا كود مُثبّت → قابلة للتعديل إداريًا مع تدقيق.</w:t>
      </w:r>
    </w:p>
    <w:p>
      <w:pPr>
        <w:pStyle w:val="ListBullet"/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المحرّك يفشل مغلقًا إن غابت السياسة — لا رقم مخترع.</w:t>
      </w:r>
    </w:p>
    <w:p>
      <w:pPr>
        <w:pStyle w:val="ListBullet"/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رسوم مزوّد الدفع منفصلة تمامًا عن عمولة WASIT.</w:t>
      </w:r>
    </w:p>
    <w:p>
      <w:pPr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مصادر إضافية مُنَمذجة: رسوم معالجة الدفع · الإعلانات · الاشتراكات (0 / 19 / 99 / 299 TND كأسعار تهيئة).</w:t>
      </w:r>
    </w:p>
    <w:p>
      <w:r>
        <w:t>────────────────────────────────────────</w:t>
      </w:r>
    </w:p>
    <w:p>
      <w:pPr>
        <w:bidi/>
        <w:jc w:val="right"/>
      </w:pPr>
      <w:r>
        <w:rPr>
          <w:rFonts w:ascii="Noto Sans Arabic" w:hAnsi="Noto Sans Arabic" w:cs="Noto Sans Arabic"/>
          <w:b/>
          <w:color w:val="0F3D5C"/>
          <w:sz w:val="29"/>
          <w:rtl/>
          <w:cs/>
        </w:rPr>
        <w:t>6. Platform — المنصة</w:t>
      </w:r>
    </w:p>
    <w:p>
      <w:r>
        <w:br w:type="page"/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/>
                <w:cs/>
              </w:rPr>
              <w:t>المجال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/>
                <w:cs/>
              </w:rPr>
              <w:t>الوظائف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---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---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السوق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منتجات، تصنيفات، بحث موحّد، مقارنة أسعار، موردون/تجار/شركات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البيع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طلبات، إتمام شراء، مخزون، دورة حياة الطلب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المال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عمولة، دفع، دفتر حسابات، تسوية، صرف، مطابقة، ضرائب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النمو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إعلانات، اشتراكات، تحليلات، اقتصاديات الوحدة (CAC/LTV)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الثقة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توثيق، ثقة، مخاطر، نزاعات مع استئناف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التواصل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رسائل، إشعارات، تفضيلات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الذكاء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11 وكيلًا مُنفَّذًا + تحكم تكلفة + مزوّد قابل للتبديل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الوسائط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توليد فيديو تسويقي حقيقي (MP4) بمدة 35–120 ثانية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الإدارة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لوحة كاملة + RBAC + تدقيق + مراقبة + خصوصية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البنية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Global-first: دول/لغات/عملات كبيانات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bidi/>
        <w:jc w:val="right"/>
      </w:pPr>
      <w:r>
        <w:rPr>
          <w:rFonts w:ascii="Noto Sans Arabic" w:hAnsi="Noto Sans Arabic" w:cs="Noto Sans Arabic"/>
          <w:b/>
          <w:color w:val="0F3D5C"/>
          <w:sz w:val="29"/>
          <w:rtl/>
          <w:cs/>
        </w:rPr>
        <w:t>7. Current Status — الحالة الحالية</w:t>
      </w:r>
    </w:p>
    <w:p>
      <w:r>
        <w:br w:type="page"/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/>
                <w:cs/>
              </w:rPr>
              <w:t>المجال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/>
                <w:cs/>
              </w:rPr>
              <w:t>الحالة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---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---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الوظائف الأساسية (سوق، طلبات، عمولة، دفتر، تسوية)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READY / TESTED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المصادقة، الأدوار، الإدارة، النزاعات، الاشتراكات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READY / TESTED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الدفع والصرف الإنتاجيان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DEMO / يحتاج تكوين مزوّد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الذكاء الاصطناعي بمزوّد خارجي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يحتاج مفاتيح API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Marketing Video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READY / TESTED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WASIT AI Copilot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PLANNED — مواصفة فقط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البنية التحتية المستضافة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PLANNED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الوثائق القانونية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REVIEW REQUIRED — غير موجودة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KYC/KYB و AML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REVIEW REQUIRED — لا كود مخصص</w:t>
            </w:r>
          </w:p>
        </w:tc>
      </w:tr>
    </w:tbl>
    <w:p>
      <w:pPr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ما تم التحقق منه فعليًا: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/>
                <w:cs/>
              </w:rPr>
              <w:t>البوابة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/>
                <w:cs/>
              </w:rPr>
              <w:t>النتيجة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---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---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اختبارات الوحدة/التكامل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765 / 765 ناجحًا (68 ملفًا)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الاختبارات الشاملة (E2E)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213 ناجحًا، 2 متخطّى، 0 فاشل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Typecheck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0 أخطاء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بناء الواجهة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PASS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اختبار وظيفي من الواجهة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22 / 22 فحصًا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bidi/>
        <w:jc w:val="right"/>
      </w:pPr>
      <w:r>
        <w:rPr>
          <w:rFonts w:ascii="Noto Sans Arabic" w:hAnsi="Noto Sans Arabic" w:cs="Noto Sans Arabic"/>
          <w:b/>
          <w:color w:val="0F3D5C"/>
          <w:sz w:val="29"/>
          <w:rtl/>
          <w:cs/>
        </w:rPr>
        <w:t>8. Partnership Opportunity — فرصة الشراكة</w:t>
      </w:r>
    </w:p>
    <w:p>
      <w:r>
        <w:br w:type="page"/>
      </w:r>
    </w:p>
    <w:p>
      <w:pPr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الوضع بصراحة: المنصة مبنية ومختبرة. المرحلة القادمة تحتاج خبرة وعلاقات وتشغيلًا وتوسّعًا — لا كودًا أكثر.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/>
                <w:cs/>
              </w:rPr>
              <w:t>نوع الشراكة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/>
                <w:cs/>
              </w:rPr>
              <w:t>ما يضيفه الشريك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---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---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Strategic Business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رؤية + علاقات + قيادة تنفيذ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International Trade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شبكة موردين ومشترين + خبرة تصدير/استيراد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B2B Growth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قنوات اكتساب + مبيعات مؤسسية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Payment / Financial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مزوّد دفع + خبرة امتثال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Logistics / Supply Chain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تشغيل الشحن والتخزين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Technology / AI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هندسة + نماذج AI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Market Expansion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فتح أسواق ودول جديدة</w:t>
            </w:r>
          </w:p>
        </w:tc>
      </w:tr>
    </w:tbl>
    <w:p>
      <w:pPr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ما تقدّمه WASIT للشريك: منصة عاملة · نموذج أعمال مُنَمذج · بنية Marketplace · نظام عمولات قابل للتكوين · بنية مالية منفصلة الطبقات · 11 وكيل AI · لوحة إدارة وتدقيق · قابلية توسع دولي · جاهزية نشر (Docker/CI).</w:t>
      </w:r>
    </w:p>
    <w:p>
      <w:pPr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ما نبحث عنه: خبرة · علاقات · أسواق · عملاء · معرفة قطاعية · تشغيل · تكنولوجيا · تمويل · توسع دولي.</w:t>
      </w:r>
    </w:p>
    <w:p>
      <w:r>
        <w:t>────────────────────────────────────────</w:t>
      </w:r>
    </w:p>
    <w:p>
      <w:pPr>
        <w:bidi/>
        <w:jc w:val="right"/>
      </w:pPr>
      <w:r>
        <w:rPr>
          <w:rFonts w:ascii="Noto Sans Arabic" w:hAnsi="Noto Sans Arabic" w:cs="Noto Sans Arabic"/>
          <w:b/>
          <w:color w:val="0F3D5C"/>
          <w:sz w:val="29"/>
          <w:rtl/>
          <w:cs/>
        </w:rPr>
        <w:t>9. Roadmap — خارطة الطريق</w:t>
      </w:r>
    </w:p>
    <w:p>
      <w:r>
        <w:br w:type="page"/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/>
                <w:cs/>
              </w:rPr>
              <w:t>المرحلة</w:t>
            </w:r>
          </w:p>
        </w:tc>
        <w:tc>
          <w:tcPr>
            <w:tcW w:type="dxa" w:w="340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/>
                <w:cs/>
              </w:rPr>
              <w:t>المحتوى</w:t>
            </w:r>
          </w:p>
        </w:tc>
        <w:tc>
          <w:tcPr>
            <w:tcW w:type="dxa" w:w="340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/>
                <w:cs/>
              </w:rPr>
              <w:t>الحالة</w:t>
            </w:r>
          </w:p>
        </w:tc>
      </w:tr>
      <w:tr>
        <w:tc>
          <w:tcPr>
            <w:tcW w:type="dxa" w:w="340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---</w:t>
            </w:r>
          </w:p>
        </w:tc>
        <w:tc>
          <w:tcPr>
            <w:tcW w:type="dxa" w:w="340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---</w:t>
            </w:r>
          </w:p>
        </w:tc>
        <w:tc>
          <w:tcPr>
            <w:tcW w:type="dxa" w:w="340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---</w:t>
            </w:r>
          </w:p>
        </w:tc>
      </w:tr>
      <w:tr>
        <w:tc>
          <w:tcPr>
            <w:tcW w:type="dxa" w:w="340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Phase 1</w:t>
            </w:r>
          </w:p>
        </w:tc>
        <w:tc>
          <w:tcPr>
            <w:tcW w:type="dxa" w:w="340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Platform validation / demo / technical stabilization</w:t>
            </w:r>
          </w:p>
        </w:tc>
        <w:tc>
          <w:tcPr>
            <w:tcW w:type="dxa" w:w="340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جارية — منجزة إلى حد كبير</w:t>
            </w:r>
          </w:p>
        </w:tc>
      </w:tr>
      <w:tr>
        <w:tc>
          <w:tcPr>
            <w:tcW w:type="dxa" w:w="340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Phase 2</w:t>
            </w:r>
          </w:p>
        </w:tc>
        <w:tc>
          <w:tcPr>
            <w:tcW w:type="dxa" w:w="340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Production readiness / legal / providers</w:t>
            </w:r>
          </w:p>
        </w:tc>
        <w:tc>
          <w:tcPr>
            <w:tcW w:type="dxa" w:w="340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التالية</w:t>
            </w:r>
          </w:p>
        </w:tc>
      </w:tr>
      <w:tr>
        <w:tc>
          <w:tcPr>
            <w:tcW w:type="dxa" w:w="340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Phase 3</w:t>
            </w:r>
          </w:p>
        </w:tc>
        <w:tc>
          <w:tcPr>
            <w:tcW w:type="dxa" w:w="340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Initial market launch</w:t>
            </w:r>
          </w:p>
        </w:tc>
        <w:tc>
          <w:tcPr>
            <w:tcW w:type="dxa" w:w="340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مخطط</w:t>
            </w:r>
          </w:p>
        </w:tc>
      </w:tr>
      <w:tr>
        <w:tc>
          <w:tcPr>
            <w:tcW w:type="dxa" w:w="340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Phase 4</w:t>
            </w:r>
          </w:p>
        </w:tc>
        <w:tc>
          <w:tcPr>
            <w:tcW w:type="dxa" w:w="340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B2B growth</w:t>
            </w:r>
          </w:p>
        </w:tc>
        <w:tc>
          <w:tcPr>
            <w:tcW w:type="dxa" w:w="340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مخطط</w:t>
            </w:r>
          </w:p>
        </w:tc>
      </w:tr>
      <w:tr>
        <w:tc>
          <w:tcPr>
            <w:tcW w:type="dxa" w:w="340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</w:rPr>
              <w:t>Phase 5</w:t>
            </w:r>
          </w:p>
        </w:tc>
        <w:tc>
          <w:tcPr>
            <w:tcW w:type="dxa" w:w="340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International expansion (تدريجي)</w:t>
            </w:r>
          </w:p>
        </w:tc>
        <w:tc>
          <w:tcPr>
            <w:tcW w:type="dxa" w:w="3408"/>
          </w:tcPr>
          <w:p>
            <w:pPr>
              <w:bidi/>
              <w:jc w:val="right"/>
            </w:pPr>
            <w:r>
              <w:rPr>
                <w:rFonts w:ascii="Noto Sans Arabic" w:hAnsi="Noto Sans Arabic" w:cs="Noto Sans Arabic"/>
                <w:b w:val="0"/>
                <w:color w:val="334155"/>
                <w:sz w:val="18"/>
                <w:rtl/>
                <w:cs/>
              </w:rPr>
              <w:t>مخطط</w:t>
            </w:r>
          </w:p>
        </w:tc>
      </w:tr>
    </w:tbl>
    <w:p>
      <w:pPr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مخاطر معلنة بإيجاز: تنظيمي/قانوني · مدفوعات · KYC/KYB · AML · عمليات دولية · لوجستيك · تبنّي سوقي · أمن · اعتماد على مزوّدين · قرارات مالية غير محسومة — وكلها مُدرجة بتفصيل في الملف الكامل.</w:t>
      </w:r>
    </w:p>
    <w:p>
      <w:r>
        <w:t>────────────────────────────────────────</w:t>
      </w:r>
    </w:p>
    <w:p>
      <w:pPr>
        <w:bidi/>
        <w:jc w:val="right"/>
      </w:pPr>
      <w:r>
        <w:rPr>
          <w:rFonts w:ascii="Noto Sans Arabic" w:hAnsi="Noto Sans Arabic" w:cs="Noto Sans Arabic"/>
          <w:b/>
          <w:color w:val="0F3D5C"/>
          <w:sz w:val="29"/>
          <w:rtl/>
          <w:cs/>
        </w:rPr>
        <w:t>10. Partnership Discussion — نقاش الشراكة</w:t>
      </w:r>
    </w:p>
    <w:p>
      <w:r>
        <w:br w:type="page"/>
      </w:r>
    </w:p>
    <w:p>
      <w:pPr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</w:rPr>
        <w:t>&lt;div style="text-align:center; padding: 2rem 0;"&gt;</w:t>
      </w:r>
    </w:p>
    <w:p>
      <w:pPr>
        <w:bidi/>
        <w:jc w:val="right"/>
      </w:pPr>
      <w:r>
        <w:rPr>
          <w:rFonts w:ascii="Noto Sans Arabic" w:hAnsi="Noto Sans Arabic" w:cs="Noto Sans Arabic"/>
          <w:b/>
          <w:color w:val="0F3D5C"/>
          <w:sz w:val="38"/>
        </w:rPr>
        <w:t>WASIT BUSINESS GLOBAL</w:t>
      </w:r>
    </w:p>
    <w:p>
      <w:pPr>
        <w:bidi/>
        <w:jc w:val="right"/>
      </w:pPr>
      <w:r>
        <w:rPr>
          <w:rFonts w:ascii="Noto Sans Arabic" w:hAnsi="Noto Sans Arabic" w:cs="Noto Sans Arabic"/>
          <w:b/>
          <w:color w:val="14532D"/>
          <w:sz w:val="25"/>
        </w:rPr>
        <w:t>From Digital Marketplace to Global Trade Infrastructure</w:t>
      </w:r>
    </w:p>
    <w:p>
      <w:pPr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من سوق رقمي إلى بنية تحتية للتجارة العالمية</w:t>
      </w:r>
    </w:p>
    <w:p>
      <w:r>
        <w:t>────────────────────────────────────────</w:t>
      </w:r>
    </w:p>
    <w:p>
      <w:pPr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</w:rPr>
        <w:t>Partnership Philosophy</w:t>
      </w:r>
    </w:p>
    <w:p>
      <w:pPr>
        <w:jc w:val="left"/>
      </w:pPr>
      <w:r>
        <w:rPr>
          <w:rFonts w:ascii="DejaVu Sans Mono" w:hAnsi="DejaVu Sans Mono"/>
          <w:sz w:val="16"/>
        </w:rPr>
        <w:t>Contribution + Expertise + Responsibility + Measurable Value</w:t>
      </w:r>
    </w:p>
    <w:p>
      <w:pPr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</w:rPr>
        <w:t>**Partnership structure to be discussed and agreed based on the partner's</w:t>
      </w:r>
    </w:p>
    <w:p>
      <w:pPr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</w:rPr>
        <w:t>contribution, role, responsibilities and strategic value.**</w:t>
      </w:r>
    </w:p>
    <w:p>
      <w:pPr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</w:rPr>
        <w:t>&lt;/div&gt;</w:t>
      </w:r>
    </w:p>
    <w:p>
      <w:r>
        <w:t>────────────────────────────────────────</w:t>
      </w:r>
    </w:p>
    <w:p>
      <w:pPr>
        <w:bidi/>
        <w:jc w:val="right"/>
      </w:pPr>
      <w:r>
        <w:rPr>
          <w:rFonts w:ascii="Noto Sans Arabic" w:hAnsi="Noto Sans Arabic" w:cs="Noto Sans Arabic"/>
          <w:b w:val="0"/>
          <w:color w:val="334155"/>
          <w:sz w:val="21"/>
          <w:rtl/>
          <w:cs/>
        </w:rPr>
        <w:t>*هذه الوثيقة توثيق وتحليل فقط — لم يُعدَّل أي كود، ولم تُنشأ أي commit، ولم يُنفَّذ أي reset/drop لقاعدة البيانات.*</w:t>
      </w:r>
    </w:p>
    <w:sectPr w:rsidR="00FC693F" w:rsidRPr="0006063C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