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22"/>
        </w:rPr>
        <w:t>UNIVERSIDAD NACIONAL EXPERIMENTAL DE GUAYANA</w:t>
        <w:br/>
      </w:r>
      <w:r>
        <w:rPr>
          <w:color w:val="4A5568"/>
          <w:sz w:val="19"/>
        </w:rPr>
        <w:t>VICERRECTORADO ACADÉMICO | INGENIERÍA EN INFORMÁTICA</w:t>
        <w:br/>
        <w:t>INGENIERÍA DE SOFTWARE II – PROF. MG. FÉLIX MÁRQUEZ</w:t>
      </w:r>
    </w:p>
    <w:p>
      <w:pPr>
        <w:spacing w:before="240" w:after="120"/>
      </w:pPr>
      <w:r>
        <w:rPr>
          <w:b/>
          <w:color w:val="0F172A"/>
          <w:sz w:val="32"/>
        </w:rPr>
        <w:t>Guión de Defensa Oral – Pregunta 2</w:t>
      </w:r>
    </w:p>
    <w:p>
      <w:pPr>
        <w:spacing w:before="0" w:after="280"/>
      </w:pPr>
      <w:r>
        <w:rPr>
          <w:b/>
          <w:color w:val="0284C7"/>
          <w:sz w:val="24"/>
        </w:rPr>
        <w:t>GitFlow vs. Trunk-Based Development, Métricas Accelerate (DORA) y CD Avanzado</w:t>
        <w:br/>
      </w:r>
      <w:r>
        <w:rPr>
          <w:i/>
          <w:color w:val="64748B"/>
          <w:sz w:val="20"/>
        </w:rPr>
        <w:t>Presentador: Yonkeiner Bravo  |  Equipo: Ingenio y Código  |  Duración: 2 min 25 seg (~365 palabras)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Bloque</w:t>
            </w:r>
          </w:p>
        </w:tc>
        <w:tc>
          <w:tcPr>
            <w:tcW w:type="dxa" w:w="2340"/>
            <w:shd w:fill="0F172A"/>
          </w:tcPr>
          <w:p>
            <w:r>
              <w:rPr>
                <w:b/>
                <w:color w:val="FFFFFF"/>
                <w:sz w:val="19"/>
              </w:rPr>
              <w:t>Tiempo</w:t>
            </w:r>
          </w:p>
        </w:tc>
        <w:tc>
          <w:tcPr>
            <w:tcW w:type="dxa" w:w="2340"/>
            <w:shd w:fill="0F172A"/>
          </w:tcPr>
          <w:p>
            <w:r>
              <w:rPr>
                <w:b/>
                <w:color w:val="FFFFFF"/>
                <w:sz w:val="19"/>
              </w:rPr>
              <w:t>Tema Clave</w:t>
            </w:r>
          </w:p>
        </w:tc>
        <w:tc>
          <w:tcPr>
            <w:tcW w:type="dxa" w:w="2340"/>
            <w:shd w:fill="0F172A"/>
          </w:tcPr>
          <w:p>
            <w:r>
              <w:rPr>
                <w:b/>
                <w:color w:val="FFFFFF"/>
                <w:sz w:val="19"/>
              </w:rPr>
              <w:t>Enfoque Técnico</w:t>
            </w:r>
          </w:p>
        </w:tc>
      </w:tr>
      <w:tr>
        <w:tc>
          <w:tcPr>
            <w:tcW w:type="dxa" w:w="2340"/>
          </w:tcPr>
          <w:p>
            <w:r>
              <w:rPr>
                <w:sz w:val="18"/>
              </w:rPr>
              <w:t>I. Introducción</w:t>
            </w:r>
          </w:p>
        </w:tc>
        <w:tc>
          <w:tcPr>
            <w:tcW w:type="dxa" w:w="2340"/>
          </w:tcPr>
          <w:p>
            <w:r>
              <w:rPr>
                <w:sz w:val="18"/>
              </w:rPr>
              <w:t>00:00 - 00:25</w:t>
            </w:r>
          </w:p>
        </w:tc>
        <w:tc>
          <w:tcPr>
            <w:tcW w:type="dxa" w:w="2340"/>
          </w:tcPr>
          <w:p>
            <w:r>
              <w:rPr>
                <w:sz w:val="18"/>
              </w:rPr>
              <w:t>Cambio de Paradigma</w:t>
            </w:r>
          </w:p>
        </w:tc>
        <w:tc>
          <w:tcPr>
            <w:tcW w:type="dxa" w:w="2340"/>
          </w:tcPr>
          <w:p>
            <w:r>
              <w:rPr>
                <w:sz w:val="18"/>
              </w:rPr>
              <w:t>Evolución de software en cajas hacia DevOps cloud-native.</w:t>
            </w:r>
          </w:p>
        </w:tc>
      </w:tr>
      <w:tr>
        <w:tc>
          <w:tcPr>
            <w:tcW w:type="dxa" w:w="2340"/>
            <w:shd w:fill="F8FAFC"/>
          </w:tcPr>
          <w:p>
            <w:r>
              <w:rPr>
                <w:sz w:val="18"/>
              </w:rPr>
              <w:t>II. Branching</w:t>
            </w:r>
          </w:p>
        </w:tc>
        <w:tc>
          <w:tcPr>
            <w:tcW w:type="dxa" w:w="2340"/>
            <w:shd w:fill="F8FAFC"/>
          </w:tcPr>
          <w:p>
            <w:r>
              <w:rPr>
                <w:sz w:val="18"/>
              </w:rPr>
              <w:t>00:25 - 00:55</w:t>
            </w:r>
          </w:p>
        </w:tc>
        <w:tc>
          <w:tcPr>
            <w:tcW w:type="dxa" w:w="2340"/>
            <w:shd w:fill="F8FAFC"/>
          </w:tcPr>
          <w:p>
            <w:r>
              <w:rPr>
                <w:sz w:val="18"/>
              </w:rPr>
              <w:t>GitFlow vs. TBD</w:t>
            </w:r>
          </w:p>
        </w:tc>
        <w:tc>
          <w:tcPr>
            <w:tcW w:type="dxa" w:w="2340"/>
            <w:shd w:fill="F8FAFC"/>
          </w:tcPr>
          <w:p>
            <w:r>
              <w:rPr>
                <w:sz w:val="18"/>
              </w:rPr>
              <w:t>Ramas largas y Merge Hell vs. integración diaria en trunk con ramas efímeras.</w:t>
            </w:r>
          </w:p>
        </w:tc>
      </w:tr>
      <w:tr>
        <w:tc>
          <w:tcPr>
            <w:tcW w:type="dxa" w:w="2340"/>
          </w:tcPr>
          <w:p>
            <w:r>
              <w:rPr>
                <w:sz w:val="18"/>
              </w:rPr>
              <w:t>III. Accelerate / DORA</w:t>
            </w:r>
          </w:p>
        </w:tc>
        <w:tc>
          <w:tcPr>
            <w:tcW w:type="dxa" w:w="2340"/>
          </w:tcPr>
          <w:p>
            <w:r>
              <w:rPr>
                <w:sz w:val="18"/>
              </w:rPr>
              <w:t>00:55 - 01:30</w:t>
            </w:r>
          </w:p>
        </w:tc>
        <w:tc>
          <w:tcPr>
            <w:tcW w:type="dxa" w:w="2340"/>
          </w:tcPr>
          <w:p>
            <w:r>
              <w:rPr>
                <w:sz w:val="18"/>
              </w:rPr>
              <w:t>Evidencia Empírica</w:t>
            </w:r>
          </w:p>
        </w:tc>
        <w:tc>
          <w:tcPr>
            <w:tcW w:type="dxa" w:w="2340"/>
          </w:tcPr>
          <w:p>
            <w:r>
              <w:rPr>
                <w:sz w:val="18"/>
              </w:rPr>
              <w:t>4 métricas DORA: Frecuencia de despliegue, Lead Time, MTTR y Change Failure.</w:t>
            </w:r>
          </w:p>
        </w:tc>
      </w:tr>
      <w:tr>
        <w:tc>
          <w:tcPr>
            <w:tcW w:type="dxa" w:w="2340"/>
            <w:shd w:fill="F8FAFC"/>
          </w:tcPr>
          <w:p>
            <w:r>
              <w:rPr>
                <w:sz w:val="18"/>
              </w:rPr>
              <w:t>IV. Prácticas TBD</w:t>
            </w:r>
          </w:p>
        </w:tc>
        <w:tc>
          <w:tcPr>
            <w:tcW w:type="dxa" w:w="2340"/>
            <w:shd w:fill="F8FAFC"/>
          </w:tcPr>
          <w:p>
            <w:r>
              <w:rPr>
                <w:sz w:val="18"/>
              </w:rPr>
              <w:t>01:30 - 02:00</w:t>
            </w:r>
          </w:p>
        </w:tc>
        <w:tc>
          <w:tcPr>
            <w:tcW w:type="dxa" w:w="2340"/>
            <w:shd w:fill="F8FAFC"/>
          </w:tcPr>
          <w:p>
            <w:r>
              <w:rPr>
                <w:sz w:val="18"/>
              </w:rPr>
              <w:t>Feature Flags &amp; Micro-PRs</w:t>
            </w:r>
          </w:p>
        </w:tc>
        <w:tc>
          <w:tcPr>
            <w:tcW w:type="dxa" w:w="2340"/>
            <w:shd w:fill="F8FAFC"/>
          </w:tcPr>
          <w:p>
            <w:r>
              <w:rPr>
                <w:sz w:val="18"/>
              </w:rPr>
              <w:t>Desacoplar despliegue de liberación, PRs &lt; 400 líneas y CI veloz.</w:t>
            </w:r>
          </w:p>
        </w:tc>
      </w:tr>
      <w:tr>
        <w:tc>
          <w:tcPr>
            <w:tcW w:type="dxa" w:w="2340"/>
          </w:tcPr>
          <w:p>
            <w:r>
              <w:rPr>
                <w:sz w:val="18"/>
              </w:rPr>
              <w:t>V. Despliegue Continuo</w:t>
            </w:r>
          </w:p>
        </w:tc>
        <w:tc>
          <w:tcPr>
            <w:tcW w:type="dxa" w:w="2340"/>
          </w:tcPr>
          <w:p>
            <w:r>
              <w:rPr>
                <w:sz w:val="18"/>
              </w:rPr>
              <w:t>02:00 - 02:25</w:t>
            </w:r>
          </w:p>
        </w:tc>
        <w:tc>
          <w:tcPr>
            <w:tcW w:type="dxa" w:w="2340"/>
          </w:tcPr>
          <w:p>
            <w:r>
              <w:rPr>
                <w:sz w:val="18"/>
              </w:rPr>
              <w:t>Estrategias Zero-Downtime</w:t>
            </w:r>
          </w:p>
        </w:tc>
        <w:tc>
          <w:tcPr>
            <w:tcW w:type="dxa" w:w="2340"/>
          </w:tcPr>
          <w:p>
            <w:r>
              <w:rPr>
                <w:sz w:val="18"/>
              </w:rPr>
              <w:t>Blue/Green con switch instantáneo, Canary progresivo y Rolling en K8s.</w:t>
            </w:r>
          </w:p>
        </w:tc>
      </w:tr>
    </w:tbl>
    <w:p>
      <w:pPr>
        <w:spacing w:before="160"/>
      </w:pPr>
    </w:p>
    <w:p>
      <w:pPr>
        <w:spacing w:before="280" w:after="40"/>
      </w:pPr>
      <w:r>
        <w:rPr>
          <w:b/>
          <w:color w:val="0F172A"/>
          <w:sz w:val="24"/>
        </w:rPr>
        <w:t xml:space="preserve">1. Introducción: De la Era Tradicional a la Era Cloud-Native  </w:t>
      </w:r>
      <w:r>
        <w:rPr>
          <w:b/>
          <w:color w:val="0284C7"/>
          <w:sz w:val="20"/>
        </w:rPr>
        <w:t>[00:00 - 00:25]</w:t>
      </w:r>
    </w:p>
    <w:p>
      <w:pPr>
        <w:spacing w:before="0" w:after="80"/>
      </w:pPr>
      <w:r>
        <w:rPr>
          <w:i/>
          <w:color w:val="64748B"/>
          <w:sz w:val="19"/>
        </w:rPr>
        <w:t>(Mirada a la cámara, tono convincente y profesional)</w:t>
      </w:r>
    </w:p>
    <w:p>
      <w:pPr>
        <w:spacing w:before="40" w:after="200" w:line="324" w:lineRule="auto"/>
      </w:pPr>
      <w:r>
        <w:rPr>
          <w:color w:val="1E293B"/>
          <w:sz w:val="23"/>
        </w:rPr>
        <w:t>«Saludos cordiales, profesor Félix Márquez y compañeros. Mi nombre es Yonkeiner Bravo, y me corresponde exponer la Pregunta 2, donde contrastamos dos filosofías de entrega de software: el modelo tradicional GitFlow frente a Trunk-Based Development, respaldado por la evidencia empírica del libro Accelerate y las estrategias avanzadas de Despliegue Continuo.</w:t>
        <w:br/>
        <w:br/>
        <w:t>Hoy en día, la velocidad y la estabilidad ya no son excluyentes: son el estándar de la ingeniería de software de alto desempeño.»</w:t>
      </w:r>
    </w:p>
    <w:p>
      <w:pPr>
        <w:spacing w:before="280" w:after="40"/>
      </w:pPr>
      <w:r>
        <w:rPr>
          <w:b/>
          <w:color w:val="0F172A"/>
          <w:sz w:val="24"/>
        </w:rPr>
        <w:t xml:space="preserve">2. Bloque 1: Modelos de Branching (GitFlow vs. Trunk-Based Development)  </w:t>
      </w:r>
      <w:r>
        <w:rPr>
          <w:b/>
          <w:color w:val="0284C7"/>
          <w:sz w:val="20"/>
        </w:rPr>
        <w:t>[00:25 - 00:55]</w:t>
      </w:r>
    </w:p>
    <w:p>
      <w:pPr>
        <w:spacing w:before="0" w:after="80"/>
      </w:pPr>
      <w:r>
        <w:rPr>
          <w:i/>
          <w:color w:val="64748B"/>
          <w:sz w:val="19"/>
        </w:rPr>
        <w:t>(Señalar la columna 1 de la lámina: Modelos de Branching)</w:t>
      </w:r>
    </w:p>
    <w:p>
      <w:pPr>
        <w:spacing w:before="40" w:after="200" w:line="324" w:lineRule="auto"/>
      </w:pPr>
      <w:r>
        <w:rPr>
          <w:color w:val="1E293B"/>
          <w:sz w:val="23"/>
        </w:rPr>
        <w:t>«En la primera columna comparamos ambos enfoques:</w:t>
        <w:br/>
        <w:br/>
        <w:t>• GitFlow nació para la era del software en cajas con releases trimestrales. Utiliza múltiples ramas de larga duración como develop, release y feature. Su gran debilidad es el infame Merge Hell: cuando los desarrolladores pasan semanas aislados en sus ramas, integrar el código resulta traumático y propenso a errores.</w:t>
        <w:br/>
        <w:br/>
        <w:t>• Frente a esto, Trunk-Based Development es el estándar moderno en la nube. Aquí, todos los desarrolladores integran su trabajo a la rama principal —el trunk— al menos una vez al día, usando ramas efímeras de menos de 24 o 48 horas. Esto elimina los conflictos destructivos y proporciona retroalimentación inmediata.»</w:t>
      </w:r>
    </w:p>
    <w:p>
      <w:pPr>
        <w:spacing w:before="280" w:after="40"/>
      </w:pPr>
      <w:r>
        <w:rPr>
          <w:b/>
          <w:color w:val="0F172A"/>
          <w:sz w:val="24"/>
        </w:rPr>
        <w:t xml:space="preserve">3. Bloque 2: La Evidencia de Accelerate y las Métricas DORA  </w:t>
      </w:r>
      <w:r>
        <w:rPr>
          <w:b/>
          <w:color w:val="0284C7"/>
          <w:sz w:val="20"/>
        </w:rPr>
        <w:t>[00:55 - 01:30]</w:t>
      </w:r>
    </w:p>
    <w:p>
      <w:pPr>
        <w:spacing w:before="0" w:after="80"/>
      </w:pPr>
      <w:r>
        <w:rPr>
          <w:i/>
          <w:color w:val="64748B"/>
          <w:sz w:val="19"/>
        </w:rPr>
        <w:t>(Señalar la columna 2 de la lámina: Métricas DORA)</w:t>
      </w:r>
    </w:p>
    <w:p>
      <w:pPr>
        <w:spacing w:before="40" w:after="200" w:line="324" w:lineRule="auto"/>
      </w:pPr>
      <w:r>
        <w:rPr>
          <w:color w:val="1E293B"/>
          <w:sz w:val="23"/>
        </w:rPr>
        <w:t>«En la columna dos vemos que esto no es una moda, sino ciencia empírica comprobada. Las investigaciones de Nicole Forsgren, Jez Humble y Gene Kim demostraron estadísticamente que Trunk-Based Development es un predictor directo del éxito organizacional.</w:t>
        <w:br/>
        <w:br/>
        <w:t>Ellos definieron las cuatro métricas DORA:</w:t>
        <w:br/>
        <w:t>1. La Frecuencia de Despliegue, donde los equipos élite despliegan múltiples veces al día a demanda.</w:t>
        <w:br/>
        <w:t>2. El Lead Time, o tiempo desde el commit hasta producción, que se reduce a menos de una hora frente a los meses de los equipos tradicionales.</w:t>
        <w:br/>
        <w:t>3. El MTTR, logrando restaurar servicios tras un incidente en menos de una hora.</w:t>
        <w:br/>
        <w:t>4. Y la Tasa de Falla en Cambios, que se mantiene entre el 0 y el 15%, desmintiendo el mito de que desplegar rápido rompe el sistema.»</w:t>
      </w:r>
    </w:p>
    <w:p>
      <w:pPr>
        <w:spacing w:before="280" w:after="40"/>
      </w:pPr>
      <w:r>
        <w:rPr>
          <w:b/>
          <w:color w:val="0F172A"/>
          <w:sz w:val="24"/>
        </w:rPr>
        <w:t xml:space="preserve">4. Bloque 3: Prácticas Clave en TBD y Feature Flags  </w:t>
      </w:r>
      <w:r>
        <w:rPr>
          <w:b/>
          <w:color w:val="0284C7"/>
          <w:sz w:val="20"/>
        </w:rPr>
        <w:t>[01:30 - 02:00]</w:t>
      </w:r>
    </w:p>
    <w:p>
      <w:pPr>
        <w:spacing w:before="0" w:after="80"/>
      </w:pPr>
      <w:r>
        <w:rPr>
          <w:i/>
          <w:color w:val="64748B"/>
          <w:sz w:val="19"/>
        </w:rPr>
        <w:t>(Señalar la columna 3 de la lámina: Prácticas Clave en TBD)</w:t>
      </w:r>
    </w:p>
    <w:p>
      <w:pPr>
        <w:spacing w:before="40" w:after="200" w:line="324" w:lineRule="auto"/>
      </w:pPr>
      <w:r>
        <w:rPr>
          <w:color w:val="1E293B"/>
          <w:sz w:val="23"/>
        </w:rPr>
        <w:t>«¿Cómo logramos integrar código incompleto a diario sin romper producción? Mediante las prácticas de la tercera columna:</w:t>
        <w:br/>
        <w:br/>
        <w:t>• La técnica reina son los Feature Flags o conmutadores de funcionalidad. Como vemos en el código de ejemplo, el Feature Flag nos permite desacoplar el despliegue de la liberación. El código de una nueva función se instala en el servidor en producción, pero permanece apagado para los usuarios hasta que esté 100% maduro.</w:t>
        <w:br/>
        <w:br/>
        <w:t>• Esto se complementa con Micro-Pull Requests de menos de 400 líneas y un pipeline de Integración Continua que responde en menos de 10 minutos.»</w:t>
      </w:r>
    </w:p>
    <w:p>
      <w:pPr>
        <w:spacing w:before="280" w:after="40"/>
      </w:pPr>
      <w:r>
        <w:rPr>
          <w:b/>
          <w:color w:val="0F172A"/>
          <w:sz w:val="24"/>
        </w:rPr>
        <w:t xml:space="preserve">5. Bloque 4: Estrategias Avanzadas de Despliegue Continuo (Zero-Downtime)  </w:t>
      </w:r>
      <w:r>
        <w:rPr>
          <w:b/>
          <w:color w:val="0284C7"/>
          <w:sz w:val="20"/>
        </w:rPr>
        <w:t>[02:00 - 02:25]</w:t>
      </w:r>
    </w:p>
    <w:p>
      <w:pPr>
        <w:spacing w:before="0" w:after="80"/>
      </w:pPr>
      <w:r>
        <w:rPr>
          <w:i/>
          <w:color w:val="64748B"/>
          <w:sz w:val="19"/>
        </w:rPr>
        <w:t>(Señalar la columna 4 de la lámina: Despliegue Continuo)</w:t>
      </w:r>
    </w:p>
    <w:p>
      <w:pPr>
        <w:spacing w:before="40" w:after="200" w:line="324" w:lineRule="auto"/>
      </w:pPr>
      <w:r>
        <w:rPr>
          <w:color w:val="1E293B"/>
          <w:sz w:val="23"/>
        </w:rPr>
        <w:t>«Finalmente, en la cuarta columna implementamos despliegues con cero tiempo de inactividad:</w:t>
        <w:br/>
        <w:br/>
        <w:t>• Blue/Green Deployment, donde mantenemos dos entornos idénticos y el enrutador conmuta el 100% del tráfico instantáneamente, permitiendo un rollback en milisegundos si algo sale mal.</w:t>
        <w:br/>
        <w:t>• Canary Releases, exponiendo la nueva versión progresivamente a un 5% de usuarios, evaluando latencia y errores antes de escalar al 100%.</w:t>
        <w:br/>
        <w:t>• Y los Rolling Updates, actualizando réplicas gradualmente en clústeres como Kubernetes.</w:t>
        <w:br/>
        <w:br/>
        <w:t>En conclusión, Trunk-Based Development junto a estas estrategias de CD transforma la entrega de software en un proceso continuo, predecible y seguro. Muchas gracias.»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