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jc w:val="center"/>
      </w:pPr>
      <w:r>
        <w:rPr>
          <w:rFonts w:ascii="Times New Roman" w:hAnsi="Times New Roman"/>
          <w:b/>
          <w:color w:val="111111"/>
          <w:sz w:val="24"/>
        </w:rPr>
        <w:t>UNIVERSIDAD NACIONAL EXPERIMENTAL DE GUAYANA</w:t>
      </w:r>
    </w:p>
    <w:p>
      <w:pPr>
        <w:spacing w:line="276" w:lineRule="auto" w:before="0" w:after="40"/>
        <w:jc w:val="center"/>
      </w:pPr>
      <w:r>
        <w:rPr>
          <w:rFonts w:ascii="Times New Roman" w:hAnsi="Times New Roman"/>
          <w:b/>
          <w:color w:val="111111"/>
          <w:sz w:val="24"/>
        </w:rPr>
        <w:t>VICERRECTORADO ACADÉMICO</w:t>
      </w:r>
    </w:p>
    <w:p>
      <w:pPr>
        <w:spacing w:line="276" w:lineRule="auto" w:before="0" w:after="40"/>
        <w:jc w:val="center"/>
      </w:pPr>
      <w:r>
        <w:rPr>
          <w:rFonts w:ascii="Times New Roman" w:hAnsi="Times New Roman"/>
          <w:b/>
          <w:color w:val="111111"/>
          <w:sz w:val="24"/>
        </w:rPr>
        <w:t>COORDINACIÓN GENERAL DE PREGRADO</w:t>
      </w:r>
    </w:p>
    <w:p>
      <w:pPr>
        <w:spacing w:line="276" w:lineRule="auto" w:before="0" w:after="40"/>
        <w:jc w:val="center"/>
      </w:pPr>
      <w:r>
        <w:rPr>
          <w:rFonts w:ascii="Times New Roman" w:hAnsi="Times New Roman"/>
          <w:b/>
          <w:color w:val="111111"/>
          <w:sz w:val="24"/>
        </w:rPr>
        <w:t>PROYECTO DE CARRERA: INGENIERÍA EN INFORMÁTICA</w:t>
      </w:r>
    </w:p>
    <w:p>
      <w:pPr>
        <w:spacing w:line="276" w:lineRule="auto" w:before="0" w:after="40"/>
        <w:jc w:val="center"/>
      </w:pPr>
      <w:r>
        <w:rPr>
          <w:rFonts w:ascii="Times New Roman" w:hAnsi="Times New Roman"/>
          <w:b/>
          <w:color w:val="111111"/>
          <w:sz w:val="24"/>
        </w:rPr>
        <w:t>ASIGNATURA: INGENIERÍA DEL SOFTWARE II</w:t>
      </w:r>
    </w:p>
    <w:p>
      <w:pPr>
        <w:spacing w:line="276" w:lineRule="auto" w:before="0" w:after="40"/>
        <w:jc w:val="center"/>
      </w:pPr>
      <w:r>
        <w:rPr>
          <w:rFonts w:ascii="Times New Roman" w:hAnsi="Times New Roman"/>
          <w:b/>
          <w:color w:val="111111"/>
          <w:sz w:val="24"/>
        </w:rPr>
        <w:t>SECCIÓN 1</w:t>
      </w:r>
    </w:p>
    <w:p>
      <w:pPr>
        <w:spacing w:line="240" w:lineRule="auto" w:before="0" w:after="0"/>
      </w:pPr>
    </w:p>
    <w:p>
      <w:pPr>
        <w:spacing w:line="240" w:lineRule="auto" w:before="0" w:after="0"/>
      </w:pPr>
    </w:p>
    <w:p>
      <w:pPr>
        <w:spacing w:line="240" w:lineRule="auto" w:before="0" w:after="0"/>
      </w:pPr>
    </w:p>
    <w:p>
      <w:pPr>
        <w:spacing w:line="240" w:lineRule="auto" w:before="0" w:after="0"/>
      </w:pPr>
    </w:p>
    <w:p>
      <w:pPr>
        <w:spacing w:line="360" w:lineRule="auto" w:before="0" w:after="120"/>
        <w:jc w:val="center"/>
      </w:pPr>
      <w:r>
        <w:rPr>
          <w:rFonts w:ascii="Times New Roman" w:hAnsi="Times New Roman"/>
          <w:b/>
          <w:sz w:val="28"/>
        </w:rPr>
        <w:t>UNIDAD 5: GESTIÓN DE CONFIGURACIÓN, VERSIONAMIENTO Y DEVOPS</w:t>
        <w:br/>
      </w:r>
      <w:r>
        <w:rPr>
          <w:rFonts w:ascii="Times New Roman" w:hAnsi="Times New Roman"/>
          <w:b/>
          <w:sz w:val="26"/>
        </w:rPr>
        <w:t>PRODUCTO V: DEMOSTRACIÓN DE ENFOQUES GIT, CI/CD Y GESTIÓN DE ENTORNOS</w:t>
        <w:br/>
      </w:r>
      <w:r>
        <w:rPr>
          <w:rFonts w:ascii="Times New Roman" w:hAnsi="Times New Roman"/>
          <w:b/>
          <w:sz w:val="26"/>
        </w:rPr>
        <w:t>RESOLUCIÓN DE EJERCICIO 2 Y PREGUNTA 4</w:t>
        <w:br/>
      </w:r>
      <w:r>
        <w:rPr>
          <w:rFonts w:ascii="Times New Roman" w:hAnsi="Times New Roman"/>
          <w:i/>
          <w:sz w:val="24"/>
        </w:rPr>
        <w:t>Everything as Code, Contenedorización Inmutable, Paridad Dev/Prod y Auditoría de SCM Moderna</w:t>
      </w:r>
    </w:p>
    <w:p>
      <w:pPr>
        <w:spacing w:line="240" w:lineRule="auto" w:before="0" w:after="0"/>
      </w:pPr>
    </w:p>
    <w:p>
      <w:pPr>
        <w:spacing w:line="240" w:lineRule="auto" w:before="0" w:after="0"/>
      </w:pPr>
    </w:p>
    <w:p>
      <w:pPr>
        <w:spacing w:line="240" w:lineRule="auto" w:before="0" w:after="0"/>
      </w:pPr>
    </w:p>
    <w:p>
      <w:pPr>
        <w:spacing w:line="240" w:lineRule="auto" w:before="0" w:after="0"/>
      </w:pPr>
    </w:p>
    <w:tbl>
      <w:tblPr>
        <w:tblW w:type="auto" w:w="0"/>
        <w:jc w:val="center"/>
        <w:tblLayout w:type="fixed"/>
        <w:tblLook w:firstColumn="1" w:firstRow="1" w:lastColumn="0" w:lastRow="0" w:noHBand="0" w:noVBand="1" w:val="04A0"/>
      </w:tblPr>
      <w:tblGrid>
        <w:gridCol w:w="4252"/>
        <w:gridCol w:w="5102"/>
      </w:tblGrid>
      <w:tr>
        <w:tc>
          <w:tcPr>
            <w:tcW w:type="dxa" w:w="4759"/>
          </w:tcPr>
          <w:p>
            <w:pPr>
              <w:spacing w:line="312" w:lineRule="auto"/>
            </w:pPr>
            <w:r>
              <w:rPr>
                <w:rFonts w:ascii="Times New Roman" w:hAnsi="Times New Roman"/>
                <w:b/>
                <w:sz w:val="24"/>
              </w:rPr>
              <w:t>Profesor:</w:t>
              <w:br/>
            </w:r>
            <w:r>
              <w:rPr>
                <w:rFonts w:ascii="Times New Roman" w:hAnsi="Times New Roman"/>
                <w:sz w:val="24"/>
              </w:rPr>
              <w:t>Mg. Félix Márquez</w:t>
            </w:r>
          </w:p>
        </w:tc>
        <w:tc>
          <w:tcPr>
            <w:tcW w:type="dxa" w:w="4759"/>
          </w:tcPr>
          <w:p>
            <w:pPr>
              <w:spacing w:line="312" w:lineRule="auto"/>
            </w:pPr>
            <w:r>
              <w:rPr>
                <w:rFonts w:ascii="Times New Roman" w:hAnsi="Times New Roman"/>
                <w:b/>
                <w:sz w:val="24"/>
              </w:rPr>
              <w:t>Equipo 'Ingenio y Código':</w:t>
              <w:br/>
            </w:r>
            <w:r>
              <w:rPr>
                <w:rFonts w:ascii="Times New Roman" w:hAnsi="Times New Roman"/>
                <w:sz w:val="22"/>
              </w:rPr>
              <w:t>Rhixeidys Aguilera   V-30.851.503</w:t>
              <w:br/>
              <w:t>Yonkeiner Bravo      V-30.994.057</w:t>
              <w:br/>
              <w:t>Brayan Carreño       V-32.015.527 (Responsable)</w:t>
              <w:br/>
              <w:t>Nicole García        V-30.809.865</w:t>
            </w:r>
          </w:p>
        </w:tc>
      </w:tr>
    </w:tbl>
    <w:p>
      <w:pPr>
        <w:spacing w:line="240" w:lineRule="auto" w:before="0" w:after="0"/>
      </w:pPr>
    </w:p>
    <w:p>
      <w:pPr>
        <w:spacing w:line="240" w:lineRule="auto" w:before="0" w:after="0"/>
      </w:pPr>
    </w:p>
    <w:p>
      <w:pPr>
        <w:spacing w:line="240" w:lineRule="auto" w:before="0" w:after="0"/>
      </w:pPr>
    </w:p>
    <w:p>
      <w:pPr>
        <w:spacing w:line="240" w:lineRule="auto" w:before="0" w:after="0"/>
      </w:pPr>
    </w:p>
    <w:p>
      <w:pPr>
        <w:spacing w:line="240" w:lineRule="auto"/>
        <w:jc w:val="center"/>
      </w:pPr>
      <w:r>
        <w:rPr>
          <w:rFonts w:ascii="Times New Roman" w:hAnsi="Times New Roman"/>
          <w:sz w:val="24"/>
        </w:rPr>
        <w:t>Ciudad Guayana, septiembre de 2026</w:t>
      </w:r>
    </w:p>
    <w:p>
      <w:r>
        <w:br w:type="page"/>
      </w:r>
    </w:p>
    <w:p>
      <w:pPr>
        <w:keepNext/>
        <w:spacing w:line="360" w:lineRule="auto" w:before="280" w:after="120"/>
        <w:jc w:val="left"/>
      </w:pPr>
      <w:r>
        <w:rPr>
          <w:rFonts w:ascii="Times New Roman" w:hAnsi="Times New Roman"/>
          <w:b/>
          <w:color w:val="1A365D"/>
          <w:sz w:val="28"/>
        </w:rPr>
        <w:t>INTRODUCCIÓN Y REPOSITORIO DE DEMOSTRACIÓN TÉCNICA</w:t>
      </w:r>
    </w:p>
    <w:p>
      <w:pPr>
        <w:spacing w:line="480" w:lineRule="auto" w:before="0" w:after="80"/>
        <w:jc w:val="both"/>
      </w:pPr>
      <w:r>
        <w:rPr>
          <w:rFonts w:ascii="Times New Roman" w:hAnsi="Times New Roman"/>
          <w:b w:val="0"/>
          <w:i w:val="0"/>
          <w:sz w:val="24"/>
        </w:rPr>
        <w:t>El presente informe formal recopila la resolución rigurosa del Ejercicio 2 y la Pregunta 4 correspondientes a la Unidad V de Ingeniería de Software II. En atención directa a las pautas metodológicas fijadas por la cátedra para la acreditación de la evidencia práctica («colocar la dirección del repositorio del proyecto en el cual realizaron su evaluación»), se implementó y desplegó en vivo el proyecto de microservicio desacoplado con pipeline de integración continua y contenedorización determinista.</w:t>
      </w:r>
    </w:p>
    <w:p>
      <w:pPr>
        <w:spacing w:line="480" w:lineRule="auto" w:before="0" w:after="80"/>
        <w:jc w:val="both"/>
      </w:pPr>
      <w:r>
        <w:rPr>
          <w:rFonts w:ascii="Times New Roman" w:hAnsi="Times New Roman"/>
          <w:b/>
          <w:i w:val="0"/>
          <w:color w:val="1A5276"/>
          <w:sz w:val="24"/>
        </w:rPr>
        <w:t>• Repositorio Oficial de Demostración Técnica: https://github.com/Bryd3n/ISII-Everything-as-Code-Demo</w:t>
      </w:r>
    </w:p>
    <w:p>
      <w:pPr>
        <w:spacing w:line="480" w:lineRule="auto" w:before="0" w:after="80"/>
        <w:jc w:val="both"/>
      </w:pPr>
      <w:r>
        <w:rPr>
          <w:rFonts w:ascii="Times New Roman" w:hAnsi="Times New Roman"/>
          <w:b/>
          <w:i w:val="0"/>
          <w:color w:val="1A5276"/>
          <w:sz w:val="24"/>
        </w:rPr>
        <w:t>• Repositorio General de la Asignatura: https://github.com/Rhix227/ISII-Ingenio.y.Codigo</w:t>
      </w:r>
    </w:p>
    <w:p>
      <w:pPr>
        <w:keepNext/>
        <w:spacing w:line="360" w:lineRule="auto" w:before="280" w:after="120"/>
        <w:jc w:val="left"/>
      </w:pPr>
      <w:r>
        <w:rPr>
          <w:rFonts w:ascii="Times New Roman" w:hAnsi="Times New Roman"/>
          <w:b/>
          <w:color w:val="1A365D"/>
          <w:sz w:val="28"/>
        </w:rPr>
        <w:t>1. EJERCICIO 2: EVERYTHING AS CODE Y GESTIÓN DE ENTORNOS</w:t>
      </w:r>
    </w:p>
    <w:p>
      <w:pPr>
        <w:keepNext/>
        <w:spacing w:line="360" w:lineRule="auto" w:before="200" w:after="80"/>
        <w:jc w:val="left"/>
      </w:pPr>
      <w:r>
        <w:rPr>
          <w:rFonts w:ascii="Times New Roman" w:hAnsi="Times New Roman"/>
          <w:b/>
          <w:color w:val="2B4C7E"/>
          <w:sz w:val="26"/>
        </w:rPr>
        <w:t>1.1. Diagnóstico del Problema Operativo y Deriva de Configuración</w:t>
      </w:r>
    </w:p>
    <w:p>
      <w:pPr>
        <w:spacing w:line="480" w:lineRule="auto" w:before="0" w:after="80"/>
        <w:jc w:val="both"/>
      </w:pPr>
      <w:r>
        <w:rPr>
          <w:rFonts w:ascii="Times New Roman" w:hAnsi="Times New Roman"/>
          <w:b w:val="0"/>
          <w:i w:val="0"/>
          <w:sz w:val="24"/>
        </w:rPr>
        <w:t>En el contexto analizado, la organización sufre severamente las repercusiones del síndrome conocido en la industria como «en mi máquina sí funciona». Dicha patología técnica surge a raíz de la ausencia de una línea base formal para los entornos de desarrollo y producción. Cada ingeniero configura manualmente su estación de trabajo con dependencias globales dispersas, versiones no alineadas del runtime de Node.js y parches heterogéneos en el sistema operativo anfitrión. Paralelamente, el departamento de operaciones aprovisiona los servidores mediante scripts de Bash imperativos, no versionados y no idempotentes.</w:t>
      </w:r>
    </w:p>
    <w:p>
      <w:pPr>
        <w:spacing w:line="480" w:lineRule="auto" w:before="0" w:after="80"/>
        <w:jc w:val="both"/>
      </w:pPr>
      <w:r>
        <w:rPr>
          <w:rFonts w:ascii="Times New Roman" w:hAnsi="Times New Roman"/>
          <w:b w:val="0"/>
          <w:i w:val="0"/>
          <w:sz w:val="24"/>
        </w:rPr>
        <w:t>Este desacoplamiento ocasiona la temida deriva de configuración (Configuration Drift): una divergencia no controlada e invisible entre entornos donde los servidores se convierten en «servidores copo de nieve» (snowflake servers). Como consecuencia, artefactos que aprueban los ensayos locales colapsan catastróficamente durante la puesta en producción debido a incompatibilidades de librerías nativas, permisos de socket o variables de entorno no documentadas.</w:t>
      </w:r>
    </w:p>
    <w:p>
      <w:pPr>
        <w:keepNext/>
        <w:spacing w:line="360" w:lineRule="auto" w:before="200" w:after="80"/>
        <w:jc w:val="left"/>
      </w:pPr>
      <w:r>
        <w:rPr>
          <w:rFonts w:ascii="Times New Roman" w:hAnsi="Times New Roman"/>
          <w:b/>
          <w:color w:val="2B4C7E"/>
          <w:sz w:val="26"/>
        </w:rPr>
        <w:t>1.2. Dockerización de la Aplicación Node.js (Puerto 8080)</w:t>
      </w:r>
    </w:p>
    <w:p>
      <w:pPr>
        <w:spacing w:line="480" w:lineRule="auto" w:before="0" w:after="80"/>
        <w:jc w:val="both"/>
      </w:pPr>
      <w:r>
        <w:rPr>
          <w:rFonts w:ascii="Times New Roman" w:hAnsi="Times New Roman"/>
          <w:b w:val="0"/>
          <w:i w:val="0"/>
          <w:sz w:val="24"/>
        </w:rPr>
        <w:t>Para erradicar la variabilidad del entorno y garantizar una entrega determinista, se define la infraestructura como código ejecutable mediante el siguiente Dockerfile, optimizado conforme a los estándares de la SCM moderna y la disciplina DevSecOps:</w:t>
      </w:r>
    </w:p>
    <w:tbl>
      <w:tblPr>
        <w:tblW w:type="auto" w:w="0"/>
        <w:jc w:val="center"/>
        <w:tblLook w:firstColumn="1" w:firstRow="1" w:lastColumn="0" w:lastRow="0" w:noHBand="0" w:noVBand="1" w:val="04A0"/>
      </w:tblPr>
      <w:tblGrid>
        <w:gridCol w:w="9518"/>
      </w:tblGrid>
      <w:tr>
        <w:tc>
          <w:tcPr>
            <w:tcW w:type="dxa" w:w="9518"/>
            <w:shd w:fill="F4F6F7"/>
            <w:tcMar>
              <w:top w:w="140" w:type="dxa"/>
              <w:bottom w:w="140" w:type="dxa"/>
              <w:left w:w="180" w:type="dxa"/>
              <w:right w:w="180" w:type="dxa"/>
            </w:tcMar>
            <w:tcBorders>
              <w:top w:val="none"/>
              <w:bottom w:val="none"/>
              <w:left w:val="single" w:sz="24" w:space="0" w:color="2980B9"/>
              <w:right w:val="none"/>
            </w:tcBorders>
          </w:tcPr>
          <w:p>
            <w:pPr>
              <w:spacing w:line="276" w:lineRule="auto" w:before="0" w:after="0"/>
            </w:pPr>
            <w:r>
              <w:rPr>
                <w:rFonts w:ascii="Consolas" w:hAnsi="Consolas"/>
                <w:color w:val="2C3E50"/>
                <w:sz w:val="19"/>
              </w:rPr>
              <w:t># 1. IMAGEN BASE INMUTABLE:</w:t>
              <w:br/>
              <w:t>FROM node:20.17.0-alpine3.20</w:t>
              <w:br/>
              <w:br/>
              <w:t># 2. METADATOS Y VARIABLES DE ENTORNO:</w:t>
              <w:br/>
              <w:t>ENV NODE_ENV=production \</w:t>
              <w:br/>
              <w:t xml:space="preserve">    PORT=8080</w:t>
              <w:br/>
              <w:br/>
              <w:t># 3. DIRECTORIO DE TRABAJO AISLADO:</w:t>
              <w:br/>
              <w:t>WORKDIR /usr/src/app</w:t>
              <w:br/>
              <w:br/>
              <w:t># 4. OPTIMIZACIÓN DE LA CACHÉ DE CAPAS (BUILD CACHING):</w:t>
              <w:br/>
              <w:t>COPY package*.json ./</w:t>
              <w:br/>
              <w:br/>
              <w:t># 5. INSTALACIÓN LIMPIA Y DETERMINISTA:</w:t>
              <w:br/>
              <w:t>RUN npm ci --only=production &amp;&amp; \</w:t>
              <w:br/>
              <w:t xml:space="preserve">    npm cache clean --force</w:t>
              <w:br/>
              <w:br/>
              <w:t># 6. TRANSFERENCIA DEL CÓDIGO CON PROPIEDAD DE USUARIO:</w:t>
              <w:br/>
              <w:t>COPY --chown=node:node . .</w:t>
              <w:br/>
              <w:br/>
              <w:t># 7. PRINCIPIO DE MENOR PRIVILEGIO (SEGURIDAD DEVSECOPS):</w:t>
              <w:br/>
              <w:t>USER node</w:t>
              <w:br/>
              <w:br/>
              <w:t># 8. DECLARACIÓN FORMAL DE PUERTO:</w:t>
              <w:br/>
              <w:t>EXPOSE 8080</w:t>
              <w:br/>
              <w:br/>
              <w:t># 9. COMPROBACIÓN DE SALUD ACTIVA (HEALTHCHECK):</w:t>
              <w:br/>
              <w:t>HEALTHCHECK --interval=30s --timeout=3s --start-period=5s --retries=3 \</w:t>
              <w:br/>
              <w:t xml:space="preserve">  CMD wget --no-verbose --tries=1 --spider http://localhost:8080/health || exit 1</w:t>
              <w:br/>
              <w:br/>
              <w:t># 10. INVOCACIÓN INMUTABLE DE ENTRADA (SINTAXIS EXEC):</w:t>
              <w:br/>
              <w:t>CMD ["node", "server.js"]</w:t>
            </w:r>
          </w:p>
        </w:tc>
      </w:tr>
    </w:tbl>
    <w:p>
      <w:pPr>
        <w:spacing w:line="240" w:lineRule="auto" w:before="0" w:after="80"/>
      </w:pPr>
    </w:p>
    <w:p>
      <w:pPr>
        <w:keepNext/>
        <w:spacing w:line="360" w:lineRule="auto" w:before="200" w:after="80"/>
        <w:jc w:val="left"/>
      </w:pPr>
      <w:r>
        <w:rPr>
          <w:rFonts w:ascii="Times New Roman" w:hAnsi="Times New Roman"/>
          <w:b/>
          <w:color w:val="2B4C7E"/>
          <w:sz w:val="26"/>
        </w:rPr>
        <w:t>1.3. Mecanismo de Eliminación de la Deriva de Configuración</w:t>
      </w:r>
    </w:p>
    <w:p>
      <w:pPr>
        <w:spacing w:line="480" w:lineRule="auto" w:before="0" w:after="80"/>
        <w:jc w:val="both"/>
      </w:pPr>
      <w:r>
        <w:rPr>
          <w:rFonts w:ascii="Times New Roman" w:hAnsi="Times New Roman"/>
          <w:b w:val="0"/>
          <w:i w:val="0"/>
          <w:sz w:val="24"/>
        </w:rPr>
        <w:t>El archivo Dockerfile resuelve de raíz la deriva de configuración apoyándose en tres principios arquitectónicos de la ingeniería de software moderna:</w:t>
      </w:r>
    </w:p>
    <w:p>
      <w:pPr>
        <w:spacing w:line="480" w:lineRule="auto" w:before="0" w:after="80"/>
        <w:jc w:val="both"/>
      </w:pPr>
      <w:r>
        <w:rPr>
          <w:rFonts w:ascii="Times New Roman" w:hAnsi="Times New Roman"/>
          <w:b w:val="0"/>
          <w:i w:val="0"/>
          <w:sz w:val="24"/>
        </w:rPr>
        <w:t>1. Inmutabilidad del Entorno de Ejecución (Immutable Infrastructure): En la administración tradicional de servidores, los entornos eran tratados como entidades mutables («mascotas») sobre las cuales se aplicaban parches en caliente. Con Docker, el entorno se concibe como infraestructura descartable («ganado»). La imagen generada es un objeto binario de sólo lectura, sellado criptográficamente por capas mediante hashes SHA-256. Todo cambio en el runtime exige la construcción de una nueva imagen versionada, eliminando modificaciones manuales en caliente.</w:t>
      </w:r>
    </w:p>
    <w:p>
      <w:pPr>
        <w:spacing w:line="480" w:lineRule="auto" w:before="0" w:after="80"/>
        <w:jc w:val="both"/>
      </w:pPr>
      <w:r>
        <w:rPr>
          <w:rFonts w:ascii="Times New Roman" w:hAnsi="Times New Roman"/>
          <w:b w:val="0"/>
          <w:i w:val="0"/>
          <w:sz w:val="24"/>
        </w:rPr>
        <w:t>2. Encapsulamiento Holístico y Autosuficiente: A diferencia de los scripts de Bash que dependen del estado previo del host, el contenedor encapsula absolutamente todas las dependencias requeridas para la ejecución: la versión exacta del kernel compatible, la distribución mínima de Alpine Linux (3.20), el intérprete de Node.js (v20.17.0), las librerías dinámicas del sistema, los manifiestos de NPM y el código fuente. La aplicación ya no interactúa con el sistema operativo host de forma acoplada.</w:t>
      </w:r>
    </w:p>
    <w:p>
      <w:pPr>
        <w:spacing w:line="480" w:lineRule="auto" w:before="0" w:after="80"/>
        <w:jc w:val="both"/>
      </w:pPr>
      <w:r>
        <w:rPr>
          <w:rFonts w:ascii="Times New Roman" w:hAnsi="Times New Roman"/>
          <w:b w:val="0"/>
          <w:i w:val="0"/>
          <w:sz w:val="24"/>
        </w:rPr>
        <w:t>3. Paridad Estricta entre Desarrollo y Producción (Dev/Prod Parity): Conforme al décimo principio del manifiesto The Twelve-Factor App, la distancia entre el ambiente local del programador y el cluster de producción se reduce a cero. El mismo paquete binario que el desarrollador prueba en su máquina es idéntico bit por bit al que se ejecuta en el servidor de pruebas y en el entorno productivo.</w:t>
      </w:r>
    </w:p>
    <w:p>
      <w:pPr>
        <w:keepNext/>
        <w:spacing w:line="360" w:lineRule="auto" w:before="200" w:after="80"/>
        <w:jc w:val="left"/>
      </w:pPr>
      <w:r>
        <w:rPr>
          <w:rFonts w:ascii="Times New Roman" w:hAnsi="Times New Roman"/>
          <w:b/>
          <w:color w:val="2B4C7E"/>
          <w:sz w:val="26"/>
        </w:rPr>
        <w:t>1.4. Reflexión SCM: Ventajas de Trazabilidad y Auditoría de IaC en Git vs. Logs Manuales</w:t>
      </w:r>
    </w:p>
    <w:p>
      <w:pPr>
        <w:spacing w:line="480" w:lineRule="auto" w:before="0" w:after="80"/>
        <w:jc w:val="both"/>
      </w:pPr>
      <w:r>
        <w:rPr>
          <w:rFonts w:ascii="Times New Roman" w:hAnsi="Times New Roman"/>
          <w:b w:val="0"/>
          <w:i w:val="0"/>
          <w:sz w:val="24"/>
        </w:rPr>
        <w:t>Bajo los marcos de referencia de la SCM clásica (IEEE Std 828 e IEEE SWEBOK V4), la integridad de un sistema se fundamenta en la Trazabilidad (capacidad de asociar cualquier cambio a un requerimiento y a una versión formal) y en la Auditoría de Configuración (verificación independiente de que el producto desplegado cumple con su especificación formal).</w:t>
      </w:r>
    </w:p>
    <w:p>
      <w:pPr>
        <w:spacing w:line="480" w:lineRule="auto" w:before="0" w:after="80"/>
        <w:jc w:val="both"/>
      </w:pPr>
      <w:r>
        <w:rPr>
          <w:rFonts w:ascii="Times New Roman" w:hAnsi="Times New Roman"/>
          <w:b w:val="0"/>
          <w:i w:val="0"/>
          <w:sz w:val="24"/>
        </w:rPr>
        <w:t>Al comparar la Infraestructura como Código (IaC) gobernada por Git frente a los logs manuales y scripts Bash no versionados de un SysAdmin, emergen diferencias concluyentes:</w:t>
      </w:r>
    </w:p>
    <w:tbl>
      <w:tblPr>
        <w:tblW w:type="auto" w:w="0"/>
        <w:jc w:val="center"/>
        <w:tblLook w:firstColumn="1" w:firstRow="1" w:lastColumn="0" w:lastRow="0" w:noHBand="0" w:noVBand="1" w:val="04A0"/>
      </w:tblPr>
      <w:tblGrid>
        <w:gridCol w:w="3173"/>
        <w:gridCol w:w="3173"/>
        <w:gridCol w:w="3173"/>
      </w:tblGrid>
      <w:tr>
        <w:tc>
          <w:tcPr>
            <w:tcW w:type="dxa" w:w="2160"/>
            <w:shd w:fill="2B3E50"/>
            <w:tcMar>
              <w:top w:w="140" w:type="dxa"/>
              <w:bottom w:w="140" w:type="dxa"/>
              <w:left w:w="140" w:type="dxa"/>
              <w:right w:w="140" w:type="dxa"/>
            </w:tcMar>
            <w:tcBorders>
              <w:top w:val="single" w:sz="4" w:space="0" w:color="2B3E50"/>
              <w:bottom w:val="single" w:sz="4" w:space="0" w:color="2B3E50"/>
              <w:left w:val="none" w:sz="4" w:space="0" w:color="auto"/>
              <w:right w:val="none" w:sz="4" w:space="0" w:color="auto"/>
            </w:tcBorders>
          </w:tcPr>
          <w:p>
            <w:pPr>
              <w:spacing w:line="276" w:lineRule="auto" w:before="0" w:after="0"/>
              <w:jc w:val="center"/>
            </w:pPr>
            <w:r>
              <w:rPr>
                <w:rFonts w:ascii="Times New Roman" w:hAnsi="Times New Roman"/>
                <w:b/>
                <w:color w:val="FFFFFF"/>
                <w:sz w:val="20"/>
              </w:rPr>
              <w:t>Dimensión SCM</w:t>
            </w:r>
          </w:p>
        </w:tc>
        <w:tc>
          <w:tcPr>
            <w:tcW w:type="dxa" w:w="3600"/>
            <w:shd w:fill="2B3E50"/>
            <w:tcMar>
              <w:top w:w="140" w:type="dxa"/>
              <w:bottom w:w="140" w:type="dxa"/>
              <w:left w:w="140" w:type="dxa"/>
              <w:right w:w="140" w:type="dxa"/>
            </w:tcMar>
            <w:tcBorders>
              <w:top w:val="single" w:sz="4" w:space="0" w:color="2B3E50"/>
              <w:bottom w:val="single" w:sz="4" w:space="0" w:color="2B3E50"/>
              <w:left w:val="none" w:sz="4" w:space="0" w:color="auto"/>
              <w:right w:val="none" w:sz="4" w:space="0" w:color="auto"/>
            </w:tcBorders>
          </w:tcPr>
          <w:p>
            <w:pPr>
              <w:spacing w:line="276" w:lineRule="auto" w:before="0" w:after="0"/>
              <w:jc w:val="center"/>
            </w:pPr>
            <w:r>
              <w:rPr>
                <w:rFonts w:ascii="Times New Roman" w:hAnsi="Times New Roman"/>
                <w:b/>
                <w:color w:val="FFFFFF"/>
                <w:sz w:val="20"/>
              </w:rPr>
              <w:t>Administración Tradicional (Bash y Logs Manuales)</w:t>
            </w:r>
          </w:p>
        </w:tc>
        <w:tc>
          <w:tcPr>
            <w:tcW w:type="dxa" w:w="3744"/>
            <w:shd w:fill="2B3E50"/>
            <w:tcMar>
              <w:top w:w="140" w:type="dxa"/>
              <w:bottom w:w="140" w:type="dxa"/>
              <w:left w:w="140" w:type="dxa"/>
              <w:right w:w="140" w:type="dxa"/>
            </w:tcMar>
            <w:tcBorders>
              <w:top w:val="single" w:sz="4" w:space="0" w:color="2B3E50"/>
              <w:bottom w:val="single" w:sz="4" w:space="0" w:color="2B3E50"/>
              <w:left w:val="none" w:sz="4" w:space="0" w:color="auto"/>
              <w:right w:val="none" w:sz="4" w:space="0" w:color="auto"/>
            </w:tcBorders>
          </w:tcPr>
          <w:p>
            <w:pPr>
              <w:spacing w:line="276" w:lineRule="auto" w:before="0" w:after="0"/>
              <w:jc w:val="center"/>
            </w:pPr>
            <w:r>
              <w:rPr>
                <w:rFonts w:ascii="Times New Roman" w:hAnsi="Times New Roman"/>
                <w:b/>
                <w:color w:val="FFFFFF"/>
                <w:sz w:val="20"/>
              </w:rPr>
              <w:t>Infraestructura como Código en Git (IaC)</w:t>
            </w:r>
          </w:p>
        </w:tc>
      </w:tr>
      <w:tr>
        <w:tc>
          <w:tcPr>
            <w:tcW w:type="dxa" w:w="2160"/>
            <w:shd w:fill="F8F9F9"/>
            <w:tcMar>
              <w:top w:w="100" w:type="dxa"/>
              <w:bottom w:w="100" w:type="dxa"/>
              <w:left w:w="120" w:type="dxa"/>
              <w:right w:w="120" w:type="dxa"/>
            </w:tcMar>
            <w:tcBorders>
              <w:top w:val="single" w:sz="4" w:space="0" w:color="E5E7E9"/>
              <w:bottom w:val="single" w:sz="4" w:space="0" w:color="E5E7E9"/>
              <w:left w:val="none" w:sz="4" w:space="0" w:color="auto"/>
              <w:right w:val="none" w:sz="4" w:space="0" w:color="auto"/>
            </w:tcBorders>
          </w:tcPr>
          <w:p>
            <w:pPr>
              <w:spacing w:line="276" w:lineRule="auto" w:before="0" w:after="0"/>
              <w:jc w:val="center"/>
            </w:pPr>
            <w:r>
              <w:rPr>
                <w:rFonts w:ascii="Times New Roman" w:hAnsi="Times New Roman"/>
                <w:b/>
                <w:color w:val="222222"/>
                <w:sz w:val="19"/>
              </w:rPr>
              <w:t>Definición de Línea Base</w:t>
            </w:r>
          </w:p>
        </w:tc>
        <w:tc>
          <w:tcPr>
            <w:tcW w:type="dxa" w:w="3600"/>
            <w:shd w:fill="F8F9F9"/>
            <w:tcMar>
              <w:top w:w="100" w:type="dxa"/>
              <w:bottom w:w="100" w:type="dxa"/>
              <w:left w:w="120" w:type="dxa"/>
              <w:right w:w="120" w:type="dxa"/>
            </w:tcMar>
            <w:tcBorders>
              <w:top w:val="single" w:sz="4" w:space="0" w:color="E5E7E9"/>
              <w:bottom w:val="single" w:sz="4" w:space="0" w:color="E5E7E9"/>
              <w:left w:val="none" w:sz="4" w:space="0" w:color="auto"/>
              <w:right w:val="none" w:sz="4" w:space="0" w:color="auto"/>
            </w:tcBorders>
          </w:tcPr>
          <w:p>
            <w:pPr>
              <w:spacing w:line="276" w:lineRule="auto" w:before="0" w:after="0"/>
              <w:jc w:val="left"/>
            </w:pPr>
            <w:r>
              <w:rPr>
                <w:rFonts w:ascii="Times New Roman" w:hAnsi="Times New Roman"/>
                <w:b w:val="0"/>
                <w:color w:val="222222"/>
                <w:sz w:val="19"/>
              </w:rPr>
              <w:t>Ambigua y mutable. La línea base es el estado acumulado en el disco del servidor tras meses de comandos manuales no documentados.</w:t>
            </w:r>
          </w:p>
        </w:tc>
        <w:tc>
          <w:tcPr>
            <w:tcW w:type="dxa" w:w="3744"/>
            <w:shd w:fill="F8F9F9"/>
            <w:tcMar>
              <w:top w:w="100" w:type="dxa"/>
              <w:bottom w:w="100" w:type="dxa"/>
              <w:left w:w="120" w:type="dxa"/>
              <w:right w:w="120" w:type="dxa"/>
            </w:tcMar>
            <w:tcBorders>
              <w:top w:val="single" w:sz="4" w:space="0" w:color="E5E7E9"/>
              <w:bottom w:val="single" w:sz="4" w:space="0" w:color="E5E7E9"/>
              <w:left w:val="none" w:sz="4" w:space="0" w:color="auto"/>
              <w:right w:val="none" w:sz="4" w:space="0" w:color="auto"/>
            </w:tcBorders>
          </w:tcPr>
          <w:p>
            <w:pPr>
              <w:spacing w:line="276" w:lineRule="auto" w:before="0" w:after="0"/>
              <w:jc w:val="left"/>
            </w:pPr>
            <w:r>
              <w:rPr>
                <w:rFonts w:ascii="Times New Roman" w:hAnsi="Times New Roman"/>
                <w:b w:val="0"/>
                <w:color w:val="222222"/>
                <w:sz w:val="19"/>
              </w:rPr>
              <w:t>Declarativa y unívoca. La línea base es el hash del commit en Git. Cualquier modificación queda registrada en la historia formal.</w:t>
            </w:r>
          </w:p>
        </w:tc>
      </w:tr>
      <w:tr>
        <w:tc>
          <w:tcPr>
            <w:tcW w:type="dxa" w:w="2160"/>
            <w:shd w:fill="FFFFFF"/>
            <w:tcMar>
              <w:top w:w="100" w:type="dxa"/>
              <w:bottom w:w="100" w:type="dxa"/>
              <w:left w:w="120" w:type="dxa"/>
              <w:right w:w="120" w:type="dxa"/>
            </w:tcMar>
            <w:tcBorders>
              <w:top w:val="single" w:sz="4" w:space="0" w:color="E5E7E9"/>
              <w:bottom w:val="single" w:sz="4" w:space="0" w:color="E5E7E9"/>
              <w:left w:val="none" w:sz="4" w:space="0" w:color="auto"/>
              <w:right w:val="none" w:sz="4" w:space="0" w:color="auto"/>
            </w:tcBorders>
          </w:tcPr>
          <w:p>
            <w:pPr>
              <w:spacing w:line="276" w:lineRule="auto" w:before="0" w:after="0"/>
              <w:jc w:val="center"/>
            </w:pPr>
            <w:r>
              <w:rPr>
                <w:rFonts w:ascii="Times New Roman" w:hAnsi="Times New Roman"/>
                <w:b/>
                <w:color w:val="222222"/>
                <w:sz w:val="19"/>
              </w:rPr>
              <w:t>Trazabilidad de Cambios</w:t>
            </w:r>
          </w:p>
        </w:tc>
        <w:tc>
          <w:tcPr>
            <w:tcW w:type="dxa" w:w="3600"/>
            <w:shd w:fill="FFFFFF"/>
            <w:tcMar>
              <w:top w:w="100" w:type="dxa"/>
              <w:bottom w:w="100" w:type="dxa"/>
              <w:left w:w="120" w:type="dxa"/>
              <w:right w:w="120" w:type="dxa"/>
            </w:tcMar>
            <w:tcBorders>
              <w:top w:val="single" w:sz="4" w:space="0" w:color="E5E7E9"/>
              <w:bottom w:val="single" w:sz="4" w:space="0" w:color="E5E7E9"/>
              <w:left w:val="none" w:sz="4" w:space="0" w:color="auto"/>
              <w:right w:val="none" w:sz="4" w:space="0" w:color="auto"/>
            </w:tcBorders>
          </w:tcPr>
          <w:p>
            <w:pPr>
              <w:spacing w:line="276" w:lineRule="auto" w:before="0" w:after="0"/>
              <w:jc w:val="left"/>
            </w:pPr>
            <w:r>
              <w:rPr>
                <w:rFonts w:ascii="Times New Roman" w:hAnsi="Times New Roman"/>
                <w:b w:val="0"/>
                <w:color w:val="222222"/>
                <w:sz w:val="19"/>
              </w:rPr>
              <w:t>Fragmentada y vulnerable. Los comandos quedan en bitácoras manuales o .bash_history, susceptibles de alteración o borrado accidental.</w:t>
            </w:r>
          </w:p>
        </w:tc>
        <w:tc>
          <w:tcPr>
            <w:tcW w:type="dxa" w:w="3744"/>
            <w:shd w:fill="FFFFFF"/>
            <w:tcMar>
              <w:top w:w="100" w:type="dxa"/>
              <w:bottom w:w="100" w:type="dxa"/>
              <w:left w:w="120" w:type="dxa"/>
              <w:right w:w="120" w:type="dxa"/>
            </w:tcMar>
            <w:tcBorders>
              <w:top w:val="single" w:sz="4" w:space="0" w:color="E5E7E9"/>
              <w:bottom w:val="single" w:sz="4" w:space="0" w:color="E5E7E9"/>
              <w:left w:val="none" w:sz="4" w:space="0" w:color="auto"/>
              <w:right w:val="none" w:sz="4" w:space="0" w:color="auto"/>
            </w:tcBorders>
          </w:tcPr>
          <w:p>
            <w:pPr>
              <w:spacing w:line="276" w:lineRule="auto" w:before="0" w:after="0"/>
              <w:jc w:val="left"/>
            </w:pPr>
            <w:r>
              <w:rPr>
                <w:rFonts w:ascii="Times New Roman" w:hAnsi="Times New Roman"/>
                <w:b w:val="0"/>
                <w:color w:val="222222"/>
                <w:sz w:val="19"/>
              </w:rPr>
              <w:t>Criptográfica e inmutable. Se conoce con certeza quién modificó el archivo (Author), cuándo (Timestamp) y por qué motivo (Commit Message y Pull Request).</w:t>
            </w:r>
          </w:p>
        </w:tc>
      </w:tr>
      <w:tr>
        <w:tc>
          <w:tcPr>
            <w:tcW w:type="dxa" w:w="2160"/>
            <w:shd w:fill="F8F9F9"/>
            <w:tcMar>
              <w:top w:w="100" w:type="dxa"/>
              <w:bottom w:w="100" w:type="dxa"/>
              <w:left w:w="120" w:type="dxa"/>
              <w:right w:w="120" w:type="dxa"/>
            </w:tcMar>
            <w:tcBorders>
              <w:top w:val="single" w:sz="4" w:space="0" w:color="E5E7E9"/>
              <w:bottom w:val="single" w:sz="4" w:space="0" w:color="E5E7E9"/>
              <w:left w:val="none" w:sz="4" w:space="0" w:color="auto"/>
              <w:right w:val="none" w:sz="4" w:space="0" w:color="auto"/>
            </w:tcBorders>
          </w:tcPr>
          <w:p>
            <w:pPr>
              <w:spacing w:line="276" w:lineRule="auto" w:before="0" w:after="0"/>
              <w:jc w:val="center"/>
            </w:pPr>
            <w:r>
              <w:rPr>
                <w:rFonts w:ascii="Times New Roman" w:hAnsi="Times New Roman"/>
                <w:b/>
                <w:color w:val="222222"/>
                <w:sz w:val="19"/>
              </w:rPr>
              <w:t>Aprobación del Cambio</w:t>
            </w:r>
          </w:p>
        </w:tc>
        <w:tc>
          <w:tcPr>
            <w:tcW w:type="dxa" w:w="3600"/>
            <w:shd w:fill="F8F9F9"/>
            <w:tcMar>
              <w:top w:w="100" w:type="dxa"/>
              <w:bottom w:w="100" w:type="dxa"/>
              <w:left w:w="120" w:type="dxa"/>
              <w:right w:w="120" w:type="dxa"/>
            </w:tcMar>
            <w:tcBorders>
              <w:top w:val="single" w:sz="4" w:space="0" w:color="E5E7E9"/>
              <w:bottom w:val="single" w:sz="4" w:space="0" w:color="E5E7E9"/>
              <w:left w:val="none" w:sz="4" w:space="0" w:color="auto"/>
              <w:right w:val="none" w:sz="4" w:space="0" w:color="auto"/>
            </w:tcBorders>
          </w:tcPr>
          <w:p>
            <w:pPr>
              <w:spacing w:line="276" w:lineRule="auto" w:before="0" w:after="0"/>
              <w:jc w:val="left"/>
            </w:pPr>
            <w:r>
              <w:rPr>
                <w:rFonts w:ascii="Times New Roman" w:hAnsi="Times New Roman"/>
                <w:b w:val="0"/>
                <w:color w:val="222222"/>
                <w:sz w:val="19"/>
              </w:rPr>
              <w:t>Burocrática y a posteriori. Se ejecuta el cambio en caliente y luego se elabora el informe, imposibilitando la validación preventiva.</w:t>
            </w:r>
          </w:p>
        </w:tc>
        <w:tc>
          <w:tcPr>
            <w:tcW w:type="dxa" w:w="3744"/>
            <w:shd w:fill="F8F9F9"/>
            <w:tcMar>
              <w:top w:w="100" w:type="dxa"/>
              <w:bottom w:w="100" w:type="dxa"/>
              <w:left w:w="120" w:type="dxa"/>
              <w:right w:w="120" w:type="dxa"/>
            </w:tcMar>
            <w:tcBorders>
              <w:top w:val="single" w:sz="4" w:space="0" w:color="E5E7E9"/>
              <w:bottom w:val="single" w:sz="4" w:space="0" w:color="E5E7E9"/>
              <w:left w:val="none" w:sz="4" w:space="0" w:color="auto"/>
              <w:right w:val="none" w:sz="4" w:space="0" w:color="auto"/>
            </w:tcBorders>
          </w:tcPr>
          <w:p>
            <w:pPr>
              <w:spacing w:line="276" w:lineRule="auto" w:before="0" w:after="0"/>
              <w:jc w:val="left"/>
            </w:pPr>
            <w:r>
              <w:rPr>
                <w:rFonts w:ascii="Times New Roman" w:hAnsi="Times New Roman"/>
                <w:b w:val="0"/>
                <w:color w:val="222222"/>
                <w:sz w:val="19"/>
              </w:rPr>
              <w:t>Preventiva y automatizada. Los cambios en IaC se someten a revisión por pares (Peer Review) y a pruebas automatizadas en CI antes del merge.</w:t>
            </w:r>
          </w:p>
        </w:tc>
      </w:tr>
      <w:tr>
        <w:tc>
          <w:tcPr>
            <w:tcW w:type="dxa" w:w="2160"/>
            <w:shd w:fill="FFFFFF"/>
            <w:tcMar>
              <w:top w:w="100" w:type="dxa"/>
              <w:bottom w:w="100" w:type="dxa"/>
              <w:left w:w="120" w:type="dxa"/>
              <w:right w:w="120" w:type="dxa"/>
            </w:tcMar>
            <w:tcBorders>
              <w:top w:val="single" w:sz="4" w:space="0" w:color="E5E7E9"/>
              <w:bottom w:val="single" w:sz="4" w:space="0" w:color="E5E7E9"/>
              <w:left w:val="none" w:sz="4" w:space="0" w:color="auto"/>
              <w:right w:val="none" w:sz="4" w:space="0" w:color="auto"/>
            </w:tcBorders>
          </w:tcPr>
          <w:p>
            <w:pPr>
              <w:spacing w:line="276" w:lineRule="auto" w:before="0" w:after="0"/>
              <w:jc w:val="center"/>
            </w:pPr>
            <w:r>
              <w:rPr>
                <w:rFonts w:ascii="Times New Roman" w:hAnsi="Times New Roman"/>
                <w:b/>
                <w:color w:val="222222"/>
                <w:sz w:val="19"/>
              </w:rPr>
              <w:t>Idempotencia</w:t>
            </w:r>
          </w:p>
        </w:tc>
        <w:tc>
          <w:tcPr>
            <w:tcW w:type="dxa" w:w="3600"/>
            <w:shd w:fill="FFFFFF"/>
            <w:tcMar>
              <w:top w:w="100" w:type="dxa"/>
              <w:bottom w:w="100" w:type="dxa"/>
              <w:left w:w="120" w:type="dxa"/>
              <w:right w:w="120" w:type="dxa"/>
            </w:tcMar>
            <w:tcBorders>
              <w:top w:val="single" w:sz="4" w:space="0" w:color="E5E7E9"/>
              <w:bottom w:val="single" w:sz="4" w:space="0" w:color="E5E7E9"/>
              <w:left w:val="none" w:sz="4" w:space="0" w:color="auto"/>
              <w:right w:val="none" w:sz="4" w:space="0" w:color="auto"/>
            </w:tcBorders>
          </w:tcPr>
          <w:p>
            <w:pPr>
              <w:spacing w:line="276" w:lineRule="auto" w:before="0" w:after="0"/>
              <w:jc w:val="left"/>
            </w:pPr>
            <w:r>
              <w:rPr>
                <w:rFonts w:ascii="Times New Roman" w:hAnsi="Times New Roman"/>
                <w:b w:val="0"/>
                <w:color w:val="222222"/>
                <w:sz w:val="19"/>
              </w:rPr>
              <w:t>No idempotente. Reejecutar un script de Bash sobre un servidor previamente alterado genera efectos colaterales y colisiones.</w:t>
            </w:r>
          </w:p>
        </w:tc>
        <w:tc>
          <w:tcPr>
            <w:tcW w:type="dxa" w:w="3744"/>
            <w:shd w:fill="FFFFFF"/>
            <w:tcMar>
              <w:top w:w="100" w:type="dxa"/>
              <w:bottom w:w="100" w:type="dxa"/>
              <w:left w:w="120" w:type="dxa"/>
              <w:right w:w="120" w:type="dxa"/>
            </w:tcMar>
            <w:tcBorders>
              <w:top w:val="single" w:sz="4" w:space="0" w:color="E5E7E9"/>
              <w:bottom w:val="single" w:sz="4" w:space="0" w:color="E5E7E9"/>
              <w:left w:val="none" w:sz="4" w:space="0" w:color="auto"/>
              <w:right w:val="none" w:sz="4" w:space="0" w:color="auto"/>
            </w:tcBorders>
          </w:tcPr>
          <w:p>
            <w:pPr>
              <w:spacing w:line="276" w:lineRule="auto" w:before="0" w:after="0"/>
              <w:jc w:val="left"/>
            </w:pPr>
            <w:r>
              <w:rPr>
                <w:rFonts w:ascii="Times New Roman" w:hAnsi="Times New Roman"/>
                <w:b w:val="0"/>
                <w:color w:val="222222"/>
                <w:sz w:val="19"/>
              </w:rPr>
              <w:t>Totalmente idempotente. El manifiesto declarativo especifica el estado final requerido; el motor de contenedores garantiza resultados idénticos.</w:t>
            </w:r>
          </w:p>
        </w:tc>
      </w:tr>
      <w:tr>
        <w:tc>
          <w:tcPr>
            <w:tcW w:type="dxa" w:w="2160"/>
            <w:shd w:fill="F8F9F9"/>
            <w:tcMar>
              <w:top w:w="100" w:type="dxa"/>
              <w:bottom w:w="100" w:type="dxa"/>
              <w:left w:w="120" w:type="dxa"/>
              <w:right w:w="120" w:type="dxa"/>
            </w:tcMar>
            <w:tcBorders>
              <w:top w:val="single" w:sz="4" w:space="0" w:color="E5E7E9"/>
              <w:bottom w:val="single" w:sz="4" w:space="0" w:color="E5E7E9"/>
              <w:left w:val="none" w:sz="4" w:space="0" w:color="auto"/>
              <w:right w:val="none" w:sz="4" w:space="0" w:color="auto"/>
            </w:tcBorders>
          </w:tcPr>
          <w:p>
            <w:pPr>
              <w:spacing w:line="276" w:lineRule="auto" w:before="0" w:after="0"/>
              <w:jc w:val="center"/>
            </w:pPr>
            <w:r>
              <w:rPr>
                <w:rFonts w:ascii="Times New Roman" w:hAnsi="Times New Roman"/>
                <w:b/>
                <w:color w:val="222222"/>
                <w:sz w:val="19"/>
              </w:rPr>
              <w:t>Recuperación ante Desastres (MTTR)</w:t>
            </w:r>
          </w:p>
        </w:tc>
        <w:tc>
          <w:tcPr>
            <w:tcW w:type="dxa" w:w="3600"/>
            <w:shd w:fill="F8F9F9"/>
            <w:tcMar>
              <w:top w:w="100" w:type="dxa"/>
              <w:bottom w:w="100" w:type="dxa"/>
              <w:left w:w="120" w:type="dxa"/>
              <w:right w:w="120" w:type="dxa"/>
            </w:tcMar>
            <w:tcBorders>
              <w:top w:val="single" w:sz="4" w:space="0" w:color="E5E7E9"/>
              <w:bottom w:val="single" w:sz="4" w:space="0" w:color="E5E7E9"/>
              <w:left w:val="none" w:sz="4" w:space="0" w:color="auto"/>
              <w:right w:val="none" w:sz="4" w:space="0" w:color="auto"/>
            </w:tcBorders>
          </w:tcPr>
          <w:p>
            <w:pPr>
              <w:spacing w:line="276" w:lineRule="auto" w:before="0" w:after="0"/>
              <w:jc w:val="left"/>
            </w:pPr>
            <w:r>
              <w:rPr>
                <w:rFonts w:ascii="Times New Roman" w:hAnsi="Times New Roman"/>
                <w:b w:val="0"/>
                <w:color w:val="222222"/>
                <w:sz w:val="19"/>
              </w:rPr>
              <w:t>Manual y prolongada. Reconstruir un nodo exige reinstalar dependencias paso a paso, aumentando drásticamente el tiempo de caída.</w:t>
            </w:r>
          </w:p>
        </w:tc>
        <w:tc>
          <w:tcPr>
            <w:tcW w:type="dxa" w:w="3744"/>
            <w:shd w:fill="F8F9F9"/>
            <w:tcMar>
              <w:top w:w="100" w:type="dxa"/>
              <w:bottom w:w="100" w:type="dxa"/>
              <w:left w:w="120" w:type="dxa"/>
              <w:right w:w="120" w:type="dxa"/>
            </w:tcMar>
            <w:tcBorders>
              <w:top w:val="single" w:sz="4" w:space="0" w:color="E5E7E9"/>
              <w:bottom w:val="single" w:sz="4" w:space="0" w:color="E5E7E9"/>
              <w:left w:val="none" w:sz="4" w:space="0" w:color="auto"/>
              <w:right w:val="none" w:sz="4" w:space="0" w:color="auto"/>
            </w:tcBorders>
          </w:tcPr>
          <w:p>
            <w:pPr>
              <w:spacing w:line="276" w:lineRule="auto" w:before="0" w:after="0"/>
              <w:jc w:val="left"/>
            </w:pPr>
            <w:r>
              <w:rPr>
                <w:rFonts w:ascii="Times New Roman" w:hAnsi="Times New Roman"/>
                <w:b w:val="0"/>
                <w:color w:val="222222"/>
                <w:sz w:val="19"/>
              </w:rPr>
              <w:t>Inmediata y automatizada. Un nuevo clúster se aprovisiona en minutos ejecutando el pipeline de CI/CD desde el repositorio Git (GitOps).</w:t>
            </w:r>
          </w:p>
        </w:tc>
      </w:tr>
      <w:tr>
        <w:tc>
          <w:tcPr>
            <w:tcW w:type="dxa" w:w="2160"/>
            <w:shd w:fill="FFFFFF"/>
            <w:tcMar>
              <w:top w:w="100" w:type="dxa"/>
              <w:bottom w:w="100" w:type="dxa"/>
              <w:left w:w="120" w:type="dxa"/>
              <w:right w:w="120" w:type="dxa"/>
            </w:tcMar>
            <w:tcBorders>
              <w:top w:val="single" w:sz="4" w:space="0" w:color="E5E7E9"/>
              <w:bottom w:val="single" w:sz="4" w:space="0" w:color="E5E7E9"/>
              <w:left w:val="none" w:sz="4" w:space="0" w:color="auto"/>
              <w:right w:val="none" w:sz="4" w:space="0" w:color="auto"/>
            </w:tcBorders>
          </w:tcPr>
          <w:p>
            <w:pPr>
              <w:spacing w:line="276" w:lineRule="auto" w:before="0" w:after="0"/>
              <w:jc w:val="center"/>
            </w:pPr>
            <w:r>
              <w:rPr>
                <w:rFonts w:ascii="Times New Roman" w:hAnsi="Times New Roman"/>
                <w:b/>
                <w:color w:val="222222"/>
                <w:sz w:val="19"/>
              </w:rPr>
              <w:t>Auditoría Funcional y Física</w:t>
            </w:r>
          </w:p>
        </w:tc>
        <w:tc>
          <w:tcPr>
            <w:tcW w:type="dxa" w:w="3600"/>
            <w:shd w:fill="FFFFFF"/>
            <w:tcMar>
              <w:top w:w="100" w:type="dxa"/>
              <w:bottom w:w="100" w:type="dxa"/>
              <w:left w:w="120" w:type="dxa"/>
              <w:right w:w="120" w:type="dxa"/>
            </w:tcMar>
            <w:tcBorders>
              <w:top w:val="single" w:sz="4" w:space="0" w:color="E5E7E9"/>
              <w:bottom w:val="single" w:sz="4" w:space="0" w:color="E5E7E9"/>
              <w:left w:val="none" w:sz="4" w:space="0" w:color="auto"/>
              <w:right w:val="none" w:sz="4" w:space="0" w:color="auto"/>
            </w:tcBorders>
          </w:tcPr>
          <w:p>
            <w:pPr>
              <w:spacing w:line="276" w:lineRule="auto" w:before="0" w:after="0"/>
              <w:jc w:val="left"/>
            </w:pPr>
            <w:r>
              <w:rPr>
                <w:rFonts w:ascii="Times New Roman" w:hAnsi="Times New Roman"/>
                <w:b w:val="0"/>
                <w:color w:val="222222"/>
                <w:sz w:val="19"/>
              </w:rPr>
              <w:t>Inviable formalmente. No hay mecanismo objetivo para certificar qué parches o binarios residen en el sistema de archivos.</w:t>
            </w:r>
          </w:p>
        </w:tc>
        <w:tc>
          <w:tcPr>
            <w:tcW w:type="dxa" w:w="3744"/>
            <w:shd w:fill="FFFFFF"/>
            <w:tcMar>
              <w:top w:w="100" w:type="dxa"/>
              <w:bottom w:w="100" w:type="dxa"/>
              <w:left w:w="120" w:type="dxa"/>
              <w:right w:w="120" w:type="dxa"/>
            </w:tcMar>
            <w:tcBorders>
              <w:top w:val="single" w:sz="4" w:space="0" w:color="E5E7E9"/>
              <w:bottom w:val="single" w:sz="4" w:space="0" w:color="E5E7E9"/>
              <w:left w:val="none" w:sz="4" w:space="0" w:color="auto"/>
              <w:right w:val="none" w:sz="4" w:space="0" w:color="auto"/>
            </w:tcBorders>
          </w:tcPr>
          <w:p>
            <w:pPr>
              <w:spacing w:line="276" w:lineRule="auto" w:before="0" w:after="0"/>
              <w:jc w:val="left"/>
            </w:pPr>
            <w:r>
              <w:rPr>
                <w:rFonts w:ascii="Times New Roman" w:hAnsi="Times New Roman"/>
                <w:b w:val="0"/>
                <w:color w:val="222222"/>
                <w:sz w:val="19"/>
              </w:rPr>
              <w:t>Continua y verificable. Se audita en tiempo real comparando la firma criptográfica del contenedor en producción con el hash en Git.</w:t>
            </w:r>
          </w:p>
        </w:tc>
      </w:tr>
    </w:tbl>
    <w:p>
      <w:pPr>
        <w:spacing w:after="160"/>
      </w:pPr>
    </w:p>
    <w:p>
      <w:pPr>
        <w:keepNext/>
        <w:spacing w:line="360" w:lineRule="auto" w:before="280" w:after="120"/>
        <w:jc w:val="left"/>
      </w:pPr>
      <w:r>
        <w:rPr>
          <w:rFonts w:ascii="Times New Roman" w:hAnsi="Times New Roman"/>
          <w:b/>
          <w:color w:val="1A365D"/>
          <w:sz w:val="28"/>
        </w:rPr>
        <w:t>2. PREGUNTA 4: ARTEFACTOS MODERNOS Y AUDITORÍA EN SCM</w:t>
      </w:r>
    </w:p>
    <w:p>
      <w:pPr>
        <w:keepNext/>
        <w:spacing w:line="360" w:lineRule="auto" w:before="200" w:after="80"/>
        <w:jc w:val="left"/>
      </w:pPr>
      <w:r>
        <w:rPr>
          <w:rFonts w:ascii="Times New Roman" w:hAnsi="Times New Roman"/>
          <w:b/>
          <w:color w:val="2B4C7E"/>
          <w:sz w:val="26"/>
        </w:rPr>
        <w:t>2.1. La Evolución Paradigmática: Del Plan en Word a los Manifiestos de Repositorio</w:t>
      </w:r>
    </w:p>
    <w:p>
      <w:pPr>
        <w:spacing w:line="480" w:lineRule="auto" w:before="0" w:after="80"/>
        <w:jc w:val="both"/>
      </w:pPr>
      <w:r>
        <w:rPr>
          <w:rFonts w:ascii="Times New Roman" w:hAnsi="Times New Roman"/>
          <w:b w:val="0"/>
          <w:i w:val="0"/>
          <w:sz w:val="24"/>
        </w:rPr>
        <w:t>En las etapas formativas de la Ingeniería de Software, la gestión de configuración descansaba sobre el «Plan de Gestión de Configuraciones del Software» (SCMP, por sus siglas en inglés), formalizado bajo normativas como IEEE Std 828. Este artefacto solía ser un documento estático de procesador de texto (Microsoft Word) de decenas o cientos de páginas que describía exhaustivamente las convenciones de nomenclatura, las herramientas de construcción permitidas, el organigrama de la Junta de Control de Cambios (CCB) y los procedimientos manuales de auditoría.</w:t>
      </w:r>
    </w:p>
    <w:p>
      <w:pPr>
        <w:spacing w:line="480" w:lineRule="auto" w:before="0" w:after="80"/>
        <w:jc w:val="both"/>
      </w:pPr>
      <w:r>
        <w:rPr>
          <w:rFonts w:ascii="Times New Roman" w:hAnsi="Times New Roman"/>
          <w:b w:val="0"/>
          <w:i w:val="0"/>
          <w:sz w:val="24"/>
        </w:rPr>
        <w:t>No obstante, dicho modelo presentaba una debilidad operativa insalvable: el divorcio absoluto entre el documento y la realidad del código fuente. Por ser un artefacto redactado en lenguaje natural pasivo, envejecía irremediablemente a las pocas semanas de iniciado el proyecto. La disciplina DevOps y el enfoque Everything as Code (EaC) superaron esta brecha reemplazando la prosa burocrática por especificaciones declarativas legibles por máquina que residen en la raíz del mismo repositorio.</w:t>
      </w:r>
    </w:p>
    <w:p>
      <w:pPr>
        <w:keepNext/>
        <w:spacing w:line="360" w:lineRule="auto" w:before="200" w:after="80"/>
        <w:jc w:val="left"/>
      </w:pPr>
      <w:r>
        <w:rPr>
          <w:rFonts w:ascii="Times New Roman" w:hAnsi="Times New Roman"/>
          <w:b/>
          <w:color w:val="2B4C7E"/>
          <w:sz w:val="26"/>
        </w:rPr>
        <w:t>2.2. Identificación y Análisis de los Cuatro Artefactos Clave de SCM</w:t>
      </w:r>
    </w:p>
    <w:p>
      <w:pPr>
        <w:spacing w:line="480" w:lineRule="auto" w:before="0" w:after="80"/>
        <w:jc w:val="both"/>
      </w:pPr>
      <w:r>
        <w:rPr>
          <w:rFonts w:ascii="Times New Roman" w:hAnsi="Times New Roman"/>
          <w:b w:val="0"/>
          <w:i w:val="0"/>
          <w:sz w:val="24"/>
        </w:rPr>
        <w:t>En la actualidad, la integridad y el control de un Ítem de Configuración de Software (SCI) se preservan mediante los siguientes cuatro archivos declarativos:</w:t>
      </w:r>
    </w:p>
    <w:p>
      <w:pPr>
        <w:keepNext/>
        <w:spacing w:line="360" w:lineRule="auto" w:before="160" w:after="40"/>
        <w:jc w:val="left"/>
      </w:pPr>
      <w:r>
        <w:rPr>
          <w:rFonts w:ascii="Times New Roman" w:hAnsi="Times New Roman"/>
          <w:b/>
          <w:i/>
          <w:color w:val="333333"/>
          <w:sz w:val="24"/>
        </w:rPr>
        <w:t>1. Manifiesto .gitignore: El Filtro de Integridad de la Línea Base</w:t>
      </w:r>
    </w:p>
    <w:p>
      <w:pPr>
        <w:spacing w:line="480" w:lineRule="auto" w:before="0" w:after="80"/>
        <w:jc w:val="both"/>
      </w:pPr>
      <w:r>
        <w:rPr>
          <w:rFonts w:ascii="Times New Roman" w:hAnsi="Times New Roman"/>
          <w:b w:val="0"/>
          <w:i w:val="0"/>
          <w:sz w:val="24"/>
        </w:rPr>
        <w:t>El archivo .gitignore es la primera línea de defensa de la SCM moderna. Su propósito es definir patrones de exclusión de manera que archivos volátiles, binarios generados o información confidencial no sean indexados en el área de preparación (staging area) ni queden registrados en el historial de Git.</w:t>
      </w:r>
    </w:p>
    <w:p>
      <w:pPr>
        <w:spacing w:line="480" w:lineRule="auto" w:before="0" w:after="80"/>
        <w:jc w:val="both"/>
      </w:pPr>
      <w:r>
        <w:rPr>
          <w:rFonts w:ascii="Times New Roman" w:hAnsi="Times New Roman"/>
          <w:b w:val="0"/>
          <w:i w:val="0"/>
          <w:sz w:val="24"/>
        </w:rPr>
        <w:t>• Integridad de la Línea Base: Evita que dependencias reproducibles masivas (como la carpeta node_modules/) contaminen el repositorio, conservando el grafo de Git liviano y libre de conflictos de mezcla generados por binarios externos.</w:t>
      </w:r>
    </w:p>
    <w:p>
      <w:pPr>
        <w:spacing w:line="480" w:lineRule="auto" w:before="0" w:after="80"/>
        <w:jc w:val="both"/>
      </w:pPr>
      <w:r>
        <w:rPr>
          <w:rFonts w:ascii="Times New Roman" w:hAnsi="Times New Roman"/>
          <w:b w:val="0"/>
          <w:i w:val="0"/>
          <w:sz w:val="24"/>
        </w:rPr>
        <w:t>• Seguridad y Gobernanza DevSecOps: Impide la fuga catastrófica de secretos corporativos, tales como claves privadas RSA (.pem), certificados SSL o archivos de variables de entorno locales (.env), garantizando que las credenciales no penetren en el historial distribuido.</w:t>
      </w:r>
    </w:p>
    <w:p>
      <w:pPr>
        <w:spacing w:line="480" w:lineRule="auto" w:before="0" w:after="80"/>
        <w:jc w:val="both"/>
      </w:pPr>
      <w:r>
        <w:rPr>
          <w:rFonts w:ascii="Times New Roman" w:hAnsi="Times New Roman"/>
          <w:b w:val="0"/>
          <w:i w:val="0"/>
          <w:sz w:val="24"/>
        </w:rPr>
        <w:t>• Neutralidad del Entorno: Excluye artefactos transitorios propios del IDE o del sistema operativo del desarrollador (.DS_Store, carpetas .vscode/), asegurando que las preferencias personales no alteren la línea base colectiva.</w:t>
      </w:r>
    </w:p>
    <w:p>
      <w:pPr>
        <w:keepNext/>
        <w:spacing w:line="360" w:lineRule="auto" w:before="160" w:after="40"/>
        <w:jc w:val="left"/>
      </w:pPr>
      <w:r>
        <w:rPr>
          <w:rFonts w:ascii="Times New Roman" w:hAnsi="Times New Roman"/>
          <w:b/>
          <w:i/>
          <w:color w:val="333333"/>
          <w:sz w:val="24"/>
        </w:rPr>
        <w:t>2. Manifiesto Dockerfile: La Especificación Inmutable del Entorno de Ejecución</w:t>
      </w:r>
    </w:p>
    <w:p>
      <w:pPr>
        <w:spacing w:line="480" w:lineRule="auto" w:before="0" w:after="80"/>
        <w:jc w:val="both"/>
      </w:pPr>
      <w:r>
        <w:rPr>
          <w:rFonts w:ascii="Times New Roman" w:hAnsi="Times New Roman"/>
          <w:b w:val="0"/>
          <w:i w:val="0"/>
          <w:sz w:val="24"/>
        </w:rPr>
        <w:t>El Dockerfile encapsula la receta declarativa de ensamblaje del entorno de cómputo. En la SCM clásica, auditar si un servidor poseía los parches correctos requería inventarios manuales tediosos. El Dockerfile convierte todo ese estado de infraestructura en un objeto versionado junto al código.</w:t>
      </w:r>
    </w:p>
    <w:p>
      <w:pPr>
        <w:spacing w:line="480" w:lineRule="auto" w:before="0" w:after="80"/>
        <w:jc w:val="both"/>
      </w:pPr>
      <w:r>
        <w:rPr>
          <w:rFonts w:ascii="Times New Roman" w:hAnsi="Times New Roman"/>
          <w:b w:val="0"/>
          <w:i w:val="0"/>
          <w:sz w:val="24"/>
        </w:rPr>
        <w:t>• Identificación Rigurosa del SCI: La imagen compilada a partir del Dockerfile actúa como una unidad sellada identificable por su hash SHA-256 inmutable, permitiendo a los auditores cotejar en milisegundos si la imagen activa en producción corresponde exactamente a la aprobada.</w:t>
      </w:r>
    </w:p>
    <w:p>
      <w:pPr>
        <w:spacing w:line="480" w:lineRule="auto" w:before="0" w:after="80"/>
        <w:jc w:val="both"/>
      </w:pPr>
      <w:r>
        <w:rPr>
          <w:rFonts w:ascii="Times New Roman" w:hAnsi="Times New Roman"/>
          <w:b w:val="0"/>
          <w:i w:val="0"/>
          <w:sz w:val="24"/>
        </w:rPr>
        <w:t>• Reproducibilidad Extrema: Al fijar etiquetas específicas de dependencias y emplear comandos limpios de instalación (npm ci), garantiza que la construcción sea determinista e idéntica sin importar en qué fecha o servidor se ejecute.</w:t>
      </w:r>
    </w:p>
    <w:p>
      <w:pPr>
        <w:keepNext/>
        <w:spacing w:line="360" w:lineRule="auto" w:before="160" w:after="40"/>
        <w:jc w:val="left"/>
      </w:pPr>
      <w:r>
        <w:rPr>
          <w:rFonts w:ascii="Times New Roman" w:hAnsi="Times New Roman"/>
          <w:b/>
          <w:i/>
          <w:color w:val="333333"/>
          <w:sz w:val="24"/>
        </w:rPr>
        <w:t>3. Pipeline Declarativo .github/workflows/ci.yml: El Control de Cambios Automatizado</w:t>
      </w:r>
    </w:p>
    <w:p>
      <w:pPr>
        <w:spacing w:line="480" w:lineRule="auto" w:before="0" w:after="80"/>
        <w:jc w:val="both"/>
      </w:pPr>
      <w:r>
        <w:rPr>
          <w:rFonts w:ascii="Times New Roman" w:hAnsi="Times New Roman"/>
          <w:b w:val="0"/>
          <w:i w:val="0"/>
          <w:sz w:val="24"/>
        </w:rPr>
        <w:t>Este archivo en formato YAML formaliza la arquitectura del pipeline de Integración Continua (CI). Representa la digitalización y automatización estricta de la antigua Junta de Control de Cambios (CCB).</w:t>
      </w:r>
    </w:p>
    <w:p>
      <w:pPr>
        <w:spacing w:line="480" w:lineRule="auto" w:before="0" w:after="80"/>
        <w:jc w:val="both"/>
      </w:pPr>
      <w:r>
        <w:rPr>
          <w:rFonts w:ascii="Times New Roman" w:hAnsi="Times New Roman"/>
          <w:b w:val="0"/>
          <w:i w:val="0"/>
          <w:sz w:val="24"/>
        </w:rPr>
        <w:t>• Calidad Continua y Quality Gates: Codifica las condiciones innegociables para admitir un cambio en la línea base: ejecución impecable de pruebas unitarias, análisis estático de vulnerabilidades (SAST), validación de estilos de codificación y verificación de construcción del contenedor.</w:t>
      </w:r>
    </w:p>
    <w:p>
      <w:pPr>
        <w:spacing w:line="480" w:lineRule="auto" w:before="0" w:after="80"/>
        <w:jc w:val="both"/>
      </w:pPr>
      <w:r>
        <w:rPr>
          <w:rFonts w:ascii="Times New Roman" w:hAnsi="Times New Roman"/>
          <w:b w:val="0"/>
          <w:i w:val="0"/>
          <w:sz w:val="24"/>
        </w:rPr>
        <w:t>• Trazabilidad y Bloqueo Algorítmico: Git vincula la ejecución del workflow directamente al hash del commit y al Pull Request correspondiente. Si alguna prueba falla, el sistema inhabilita técnicamente la opción de Merge, eliminando la complacencia humana en el control de calidad.</w:t>
      </w:r>
    </w:p>
    <w:p>
      <w:pPr>
        <w:keepNext/>
        <w:spacing w:line="360" w:lineRule="auto" w:before="160" w:after="40"/>
        <w:jc w:val="left"/>
      </w:pPr>
      <w:r>
        <w:rPr>
          <w:rFonts w:ascii="Times New Roman" w:hAnsi="Times New Roman"/>
          <w:b/>
          <w:i/>
          <w:color w:val="333333"/>
          <w:sz w:val="24"/>
        </w:rPr>
        <w:t>4. Manifiesto docker-compose.yml: La Topología de Configuración Multicapa</w:t>
      </w:r>
    </w:p>
    <w:p>
      <w:pPr>
        <w:spacing w:line="480" w:lineRule="auto" w:before="0" w:after="80"/>
        <w:jc w:val="both"/>
      </w:pPr>
      <w:r>
        <w:rPr>
          <w:rFonts w:ascii="Times New Roman" w:hAnsi="Times New Roman"/>
          <w:b w:val="0"/>
          <w:i w:val="0"/>
          <w:sz w:val="24"/>
        </w:rPr>
        <w:t>Mientras el Dockerfile define un servicio aislado, docker-compose.yml formaliza la arquitectura del sistema distribuido completo (backend, frontend, base de datos relacional y broker de eventos).</w:t>
      </w:r>
    </w:p>
    <w:p>
      <w:pPr>
        <w:spacing w:line="480" w:lineRule="auto" w:before="0" w:after="80"/>
        <w:jc w:val="both"/>
      </w:pPr>
      <w:r>
        <w:rPr>
          <w:rFonts w:ascii="Times New Roman" w:hAnsi="Times New Roman"/>
          <w:b w:val="0"/>
          <w:i w:val="0"/>
          <w:sz w:val="24"/>
        </w:rPr>
        <w:t>• Integridad de la Arquitectura de Red y Servicios: Sustituye los diagramas estáticos de arquitectura por una especificación ejecutable. Formaliza los puertos expuestos, el aislamiento mediante subredes virtuales privadas, el orden riguroso de inicio de microservicios (depends_on con healthchecks) y el mapeo de volúmenes persistentes.</w:t>
      </w:r>
    </w:p>
    <w:p>
      <w:pPr>
        <w:spacing w:line="480" w:lineRule="auto" w:before="0" w:after="80"/>
        <w:jc w:val="both"/>
      </w:pPr>
      <w:r>
        <w:rPr>
          <w:rFonts w:ascii="Times New Roman" w:hAnsi="Times New Roman"/>
          <w:b w:val="0"/>
          <w:i w:val="0"/>
          <w:sz w:val="24"/>
        </w:rPr>
        <w:t>• Reproducibilidad del Ecosistema Completo: Confiere a cualquier miembro del equipo la capacidad de aprovisionar con un único comando un ambiente local de pruebas idéntico al clúster productivo, resolviendo las colisiones de red mediante DNS interno automatizado.</w:t>
      </w:r>
    </w:p>
    <w:p>
      <w:pPr>
        <w:keepNext/>
        <w:spacing w:line="360" w:lineRule="auto" w:before="200" w:after="80"/>
        <w:jc w:val="left"/>
      </w:pPr>
      <w:r>
        <w:rPr>
          <w:rFonts w:ascii="Times New Roman" w:hAnsi="Times New Roman"/>
          <w:b/>
          <w:color w:val="2B4C7E"/>
          <w:sz w:val="26"/>
        </w:rPr>
        <w:t>2.3. Matriz de Garantías de SCM: Integridad, Reproducibilidad y Control</w:t>
      </w:r>
    </w:p>
    <w:p>
      <w:pPr>
        <w:spacing w:line="480" w:lineRule="auto" w:before="0" w:after="80"/>
        <w:jc w:val="both"/>
      </w:pPr>
      <w:r>
        <w:rPr>
          <w:rFonts w:ascii="Times New Roman" w:hAnsi="Times New Roman"/>
          <w:b w:val="0"/>
          <w:i w:val="0"/>
          <w:sz w:val="24"/>
        </w:rPr>
        <w:t>La siguiente matriz resume de forma concluyente cómo cada uno de estos cuatro artefactos responde ante los tres requerimientos fundamentales de la disciplina de Gestión de Configuración:</w:t>
      </w:r>
    </w:p>
    <w:tbl>
      <w:tblPr>
        <w:tblW w:type="auto" w:w="0"/>
        <w:jc w:val="center"/>
        <w:tblLook w:firstColumn="1" w:firstRow="1" w:lastColumn="0" w:lastRow="0" w:noHBand="0" w:noVBand="1" w:val="04A0"/>
      </w:tblPr>
      <w:tblGrid>
        <w:gridCol w:w="2379"/>
        <w:gridCol w:w="2379"/>
        <w:gridCol w:w="2379"/>
        <w:gridCol w:w="2379"/>
      </w:tblGrid>
      <w:tr>
        <w:tc>
          <w:tcPr>
            <w:tcW w:type="dxa" w:w="2016"/>
            <w:shd w:fill="2B3E50"/>
            <w:tcMar>
              <w:top w:w="140" w:type="dxa"/>
              <w:bottom w:w="140" w:type="dxa"/>
              <w:left w:w="120" w:type="dxa"/>
              <w:right w:w="120" w:type="dxa"/>
            </w:tcMar>
            <w:tcBorders>
              <w:top w:val="single" w:sz="4" w:space="0" w:color="2B3E50"/>
              <w:bottom w:val="single" w:sz="4" w:space="0" w:color="2B3E50"/>
              <w:left w:val="none" w:sz="4" w:space="0" w:color="auto"/>
              <w:right w:val="none" w:sz="4" w:space="0" w:color="auto"/>
            </w:tcBorders>
          </w:tcPr>
          <w:p>
            <w:pPr>
              <w:spacing w:line="276" w:lineRule="auto" w:before="0" w:after="0"/>
              <w:jc w:val="center"/>
            </w:pPr>
            <w:r>
              <w:rPr>
                <w:rFonts w:ascii="Times New Roman" w:hAnsi="Times New Roman"/>
                <w:b/>
                <w:color w:val="FFFFFF"/>
                <w:sz w:val="19"/>
              </w:rPr>
              <w:t>Artefacto Moderno</w:t>
            </w:r>
          </w:p>
        </w:tc>
        <w:tc>
          <w:tcPr>
            <w:tcW w:type="dxa" w:w="2448"/>
            <w:shd w:fill="2B3E50"/>
            <w:tcMar>
              <w:top w:w="140" w:type="dxa"/>
              <w:bottom w:w="140" w:type="dxa"/>
              <w:left w:w="120" w:type="dxa"/>
              <w:right w:w="120" w:type="dxa"/>
            </w:tcMar>
            <w:tcBorders>
              <w:top w:val="single" w:sz="4" w:space="0" w:color="2B3E50"/>
              <w:bottom w:val="single" w:sz="4" w:space="0" w:color="2B3E50"/>
              <w:left w:val="none" w:sz="4" w:space="0" w:color="auto"/>
              <w:right w:val="none" w:sz="4" w:space="0" w:color="auto"/>
            </w:tcBorders>
          </w:tcPr>
          <w:p>
            <w:pPr>
              <w:spacing w:line="276" w:lineRule="auto" w:before="0" w:after="0"/>
              <w:jc w:val="center"/>
            </w:pPr>
            <w:r>
              <w:rPr>
                <w:rFonts w:ascii="Times New Roman" w:hAnsi="Times New Roman"/>
                <w:b/>
                <w:color w:val="FFFFFF"/>
                <w:sz w:val="19"/>
              </w:rPr>
              <w:t>Garantía de Integridad</w:t>
            </w:r>
          </w:p>
        </w:tc>
        <w:tc>
          <w:tcPr>
            <w:tcW w:type="dxa" w:w="2448"/>
            <w:shd w:fill="2B3E50"/>
            <w:tcMar>
              <w:top w:w="140" w:type="dxa"/>
              <w:bottom w:w="140" w:type="dxa"/>
              <w:left w:w="120" w:type="dxa"/>
              <w:right w:w="120" w:type="dxa"/>
            </w:tcMar>
            <w:tcBorders>
              <w:top w:val="single" w:sz="4" w:space="0" w:color="2B3E50"/>
              <w:bottom w:val="single" w:sz="4" w:space="0" w:color="2B3E50"/>
              <w:left w:val="none" w:sz="4" w:space="0" w:color="auto"/>
              <w:right w:val="none" w:sz="4" w:space="0" w:color="auto"/>
            </w:tcBorders>
          </w:tcPr>
          <w:p>
            <w:pPr>
              <w:spacing w:line="276" w:lineRule="auto" w:before="0" w:after="0"/>
              <w:jc w:val="center"/>
            </w:pPr>
            <w:r>
              <w:rPr>
                <w:rFonts w:ascii="Times New Roman" w:hAnsi="Times New Roman"/>
                <w:b/>
                <w:color w:val="FFFFFF"/>
                <w:sz w:val="19"/>
              </w:rPr>
              <w:t>Garantía de Reproducibilidad</w:t>
            </w:r>
          </w:p>
        </w:tc>
        <w:tc>
          <w:tcPr>
            <w:tcW w:type="dxa" w:w="2592"/>
            <w:shd w:fill="2B3E50"/>
            <w:tcMar>
              <w:top w:w="140" w:type="dxa"/>
              <w:bottom w:w="140" w:type="dxa"/>
              <w:left w:w="120" w:type="dxa"/>
              <w:right w:w="120" w:type="dxa"/>
            </w:tcMar>
            <w:tcBorders>
              <w:top w:val="single" w:sz="4" w:space="0" w:color="2B3E50"/>
              <w:bottom w:val="single" w:sz="4" w:space="0" w:color="2B3E50"/>
              <w:left w:val="none" w:sz="4" w:space="0" w:color="auto"/>
              <w:right w:val="none" w:sz="4" w:space="0" w:color="auto"/>
            </w:tcBorders>
          </w:tcPr>
          <w:p>
            <w:pPr>
              <w:spacing w:line="276" w:lineRule="auto" w:before="0" w:after="0"/>
              <w:jc w:val="center"/>
            </w:pPr>
            <w:r>
              <w:rPr>
                <w:rFonts w:ascii="Times New Roman" w:hAnsi="Times New Roman"/>
                <w:b/>
                <w:color w:val="FFFFFF"/>
                <w:sz w:val="19"/>
              </w:rPr>
              <w:t>Garantía de Control</w:t>
            </w:r>
          </w:p>
        </w:tc>
      </w:tr>
      <w:tr>
        <w:tc>
          <w:tcPr>
            <w:tcW w:type="dxa" w:w="2016"/>
            <w:shd w:fill="F8F9F9"/>
            <w:tcMar>
              <w:top w:w="100" w:type="dxa"/>
              <w:bottom w:w="100" w:type="dxa"/>
              <w:left w:w="100" w:type="dxa"/>
              <w:right w:w="100" w:type="dxa"/>
            </w:tcMar>
            <w:tcBorders>
              <w:top w:val="single" w:sz="4" w:space="0" w:color="E5E7E9"/>
              <w:bottom w:val="single" w:sz="4" w:space="0" w:color="E5E7E9"/>
              <w:left w:val="none" w:sz="4" w:space="0" w:color="auto"/>
              <w:right w:val="none" w:sz="4" w:space="0" w:color="auto"/>
            </w:tcBorders>
          </w:tcPr>
          <w:p>
            <w:pPr>
              <w:spacing w:line="276" w:lineRule="auto" w:before="0" w:after="0"/>
              <w:jc w:val="center"/>
            </w:pPr>
            <w:r>
              <w:rPr>
                <w:rFonts w:ascii="Times New Roman" w:hAnsi="Times New Roman"/>
                <w:b/>
                <w:color w:val="222222"/>
                <w:sz w:val="18"/>
              </w:rPr>
              <w:t>.gitignore</w:t>
            </w:r>
          </w:p>
        </w:tc>
        <w:tc>
          <w:tcPr>
            <w:tcW w:type="dxa" w:w="2448"/>
            <w:shd w:fill="F8F9F9"/>
            <w:tcMar>
              <w:top w:w="100" w:type="dxa"/>
              <w:bottom w:w="100" w:type="dxa"/>
              <w:left w:w="100" w:type="dxa"/>
              <w:right w:w="100" w:type="dxa"/>
            </w:tcMar>
            <w:tcBorders>
              <w:top w:val="single" w:sz="4" w:space="0" w:color="E5E7E9"/>
              <w:bottom w:val="single" w:sz="4" w:space="0" w:color="E5E7E9"/>
              <w:left w:val="none" w:sz="4" w:space="0" w:color="auto"/>
              <w:right w:val="none" w:sz="4" w:space="0" w:color="auto"/>
            </w:tcBorders>
          </w:tcPr>
          <w:p>
            <w:pPr>
              <w:spacing w:line="276" w:lineRule="auto" w:before="0" w:after="0"/>
              <w:jc w:val="left"/>
            </w:pPr>
            <w:r>
              <w:rPr>
                <w:rFonts w:ascii="Times New Roman" w:hAnsi="Times New Roman"/>
                <w:b w:val="0"/>
                <w:color w:val="222222"/>
                <w:sz w:val="18"/>
              </w:rPr>
              <w:t>Mantiene la base de código pura, libre de binarios locales volátiles y previene la exposición de credenciales.</w:t>
            </w:r>
          </w:p>
        </w:tc>
        <w:tc>
          <w:tcPr>
            <w:tcW w:type="dxa" w:w="2448"/>
            <w:shd w:fill="F8F9F9"/>
            <w:tcMar>
              <w:top w:w="100" w:type="dxa"/>
              <w:bottom w:w="100" w:type="dxa"/>
              <w:left w:w="100" w:type="dxa"/>
              <w:right w:w="100" w:type="dxa"/>
            </w:tcMar>
            <w:tcBorders>
              <w:top w:val="single" w:sz="4" w:space="0" w:color="E5E7E9"/>
              <w:bottom w:val="single" w:sz="4" w:space="0" w:color="E5E7E9"/>
              <w:left w:val="none" w:sz="4" w:space="0" w:color="auto"/>
              <w:right w:val="none" w:sz="4" w:space="0" w:color="auto"/>
            </w:tcBorders>
          </w:tcPr>
          <w:p>
            <w:pPr>
              <w:spacing w:line="276" w:lineRule="auto" w:before="0" w:after="0"/>
              <w:jc w:val="left"/>
            </w:pPr>
            <w:r>
              <w:rPr>
                <w:rFonts w:ascii="Times New Roman" w:hAnsi="Times New Roman"/>
                <w:b w:val="0"/>
                <w:color w:val="222222"/>
                <w:sz w:val="18"/>
              </w:rPr>
              <w:t>Asegura que el repo almacene solo código primario; las dependencias se reconstruyen limpiamente sin artefactos ajenos.</w:t>
            </w:r>
          </w:p>
        </w:tc>
        <w:tc>
          <w:tcPr>
            <w:tcW w:type="dxa" w:w="2592"/>
            <w:shd w:fill="F8F9F9"/>
            <w:tcMar>
              <w:top w:w="100" w:type="dxa"/>
              <w:bottom w:w="100" w:type="dxa"/>
              <w:left w:w="100" w:type="dxa"/>
              <w:right w:w="100" w:type="dxa"/>
            </w:tcMar>
            <w:tcBorders>
              <w:top w:val="single" w:sz="4" w:space="0" w:color="E5E7E9"/>
              <w:bottom w:val="single" w:sz="4" w:space="0" w:color="E5E7E9"/>
              <w:left w:val="none" w:sz="4" w:space="0" w:color="auto"/>
              <w:right w:val="none" w:sz="4" w:space="0" w:color="auto"/>
            </w:tcBorders>
          </w:tcPr>
          <w:p>
            <w:pPr>
              <w:spacing w:line="276" w:lineRule="auto" w:before="0" w:after="0"/>
              <w:jc w:val="left"/>
            </w:pPr>
            <w:r>
              <w:rPr>
                <w:rFonts w:ascii="Times New Roman" w:hAnsi="Times New Roman"/>
                <w:b w:val="0"/>
                <w:color w:val="222222"/>
                <w:sz w:val="18"/>
              </w:rPr>
              <w:t>Delimita formalmente las fronteras del Ítem de Configuración que se encuentra bajo el control de versiones de Git.</w:t>
            </w:r>
          </w:p>
        </w:tc>
      </w:tr>
      <w:tr>
        <w:tc>
          <w:tcPr>
            <w:tcW w:type="dxa" w:w="2016"/>
            <w:shd w:fill="FFFFFF"/>
            <w:tcMar>
              <w:top w:w="100" w:type="dxa"/>
              <w:bottom w:w="100" w:type="dxa"/>
              <w:left w:w="100" w:type="dxa"/>
              <w:right w:w="100" w:type="dxa"/>
            </w:tcMar>
            <w:tcBorders>
              <w:top w:val="single" w:sz="4" w:space="0" w:color="E5E7E9"/>
              <w:bottom w:val="single" w:sz="4" w:space="0" w:color="E5E7E9"/>
              <w:left w:val="none" w:sz="4" w:space="0" w:color="auto"/>
              <w:right w:val="none" w:sz="4" w:space="0" w:color="auto"/>
            </w:tcBorders>
          </w:tcPr>
          <w:p>
            <w:pPr>
              <w:spacing w:line="276" w:lineRule="auto" w:before="0" w:after="0"/>
              <w:jc w:val="center"/>
            </w:pPr>
            <w:r>
              <w:rPr>
                <w:rFonts w:ascii="Times New Roman" w:hAnsi="Times New Roman"/>
                <w:b/>
                <w:color w:val="222222"/>
                <w:sz w:val="18"/>
              </w:rPr>
              <w:t>Dockerfile</w:t>
            </w:r>
          </w:p>
        </w:tc>
        <w:tc>
          <w:tcPr>
            <w:tcW w:type="dxa" w:w="2448"/>
            <w:shd w:fill="FFFFFF"/>
            <w:tcMar>
              <w:top w:w="100" w:type="dxa"/>
              <w:bottom w:w="100" w:type="dxa"/>
              <w:left w:w="100" w:type="dxa"/>
              <w:right w:w="100" w:type="dxa"/>
            </w:tcMar>
            <w:tcBorders>
              <w:top w:val="single" w:sz="4" w:space="0" w:color="E5E7E9"/>
              <w:bottom w:val="single" w:sz="4" w:space="0" w:color="E5E7E9"/>
              <w:left w:val="none" w:sz="4" w:space="0" w:color="auto"/>
              <w:right w:val="none" w:sz="4" w:space="0" w:color="auto"/>
            </w:tcBorders>
          </w:tcPr>
          <w:p>
            <w:pPr>
              <w:spacing w:line="276" w:lineRule="auto" w:before="0" w:after="0"/>
              <w:jc w:val="left"/>
            </w:pPr>
            <w:r>
              <w:rPr>
                <w:rFonts w:ascii="Times New Roman" w:hAnsi="Times New Roman"/>
                <w:b w:val="0"/>
                <w:color w:val="222222"/>
                <w:sz w:val="18"/>
              </w:rPr>
              <w:t>Sella el sistema operativo, el runtime y la aplicación en un contenedor inmutable contra alteraciones ad-hoc.</w:t>
            </w:r>
          </w:p>
        </w:tc>
        <w:tc>
          <w:tcPr>
            <w:tcW w:type="dxa" w:w="2448"/>
            <w:shd w:fill="FFFFFF"/>
            <w:tcMar>
              <w:top w:w="100" w:type="dxa"/>
              <w:bottom w:w="100" w:type="dxa"/>
              <w:left w:w="100" w:type="dxa"/>
              <w:right w:w="100" w:type="dxa"/>
            </w:tcMar>
            <w:tcBorders>
              <w:top w:val="single" w:sz="4" w:space="0" w:color="E5E7E9"/>
              <w:bottom w:val="single" w:sz="4" w:space="0" w:color="E5E7E9"/>
              <w:left w:val="none" w:sz="4" w:space="0" w:color="auto"/>
              <w:right w:val="none" w:sz="4" w:space="0" w:color="auto"/>
            </w:tcBorders>
          </w:tcPr>
          <w:p>
            <w:pPr>
              <w:spacing w:line="276" w:lineRule="auto" w:before="0" w:after="0"/>
              <w:jc w:val="left"/>
            </w:pPr>
            <w:r>
              <w:rPr>
                <w:rFonts w:ascii="Times New Roman" w:hAnsi="Times New Roman"/>
                <w:b w:val="0"/>
                <w:color w:val="222222"/>
                <w:sz w:val="18"/>
              </w:rPr>
              <w:t>Construcción determinista gracias a tags base fijados y comandos de instalación estricta (npm ci).</w:t>
            </w:r>
          </w:p>
        </w:tc>
        <w:tc>
          <w:tcPr>
            <w:tcW w:type="dxa" w:w="2592"/>
            <w:shd w:fill="FFFFFF"/>
            <w:tcMar>
              <w:top w:w="100" w:type="dxa"/>
              <w:bottom w:w="100" w:type="dxa"/>
              <w:left w:w="100" w:type="dxa"/>
              <w:right w:w="100" w:type="dxa"/>
            </w:tcMar>
            <w:tcBorders>
              <w:top w:val="single" w:sz="4" w:space="0" w:color="E5E7E9"/>
              <w:bottom w:val="single" w:sz="4" w:space="0" w:color="E5E7E9"/>
              <w:left w:val="none" w:sz="4" w:space="0" w:color="auto"/>
              <w:right w:val="none" w:sz="4" w:space="0" w:color="auto"/>
            </w:tcBorders>
          </w:tcPr>
          <w:p>
            <w:pPr>
              <w:spacing w:line="276" w:lineRule="auto" w:before="0" w:after="0"/>
              <w:jc w:val="left"/>
            </w:pPr>
            <w:r>
              <w:rPr>
                <w:rFonts w:ascii="Times New Roman" w:hAnsi="Times New Roman"/>
                <w:b w:val="0"/>
                <w:color w:val="222222"/>
                <w:sz w:val="18"/>
              </w:rPr>
              <w:t>Cada cambio de infraestructura requiere un commit auditable en Git con revisión de código antes de su despliegue.</w:t>
            </w:r>
          </w:p>
        </w:tc>
      </w:tr>
      <w:tr>
        <w:tc>
          <w:tcPr>
            <w:tcW w:type="dxa" w:w="2016"/>
            <w:shd w:fill="F8F9F9"/>
            <w:tcMar>
              <w:top w:w="100" w:type="dxa"/>
              <w:bottom w:w="100" w:type="dxa"/>
              <w:left w:w="100" w:type="dxa"/>
              <w:right w:w="100" w:type="dxa"/>
            </w:tcMar>
            <w:tcBorders>
              <w:top w:val="single" w:sz="4" w:space="0" w:color="E5E7E9"/>
              <w:bottom w:val="single" w:sz="4" w:space="0" w:color="E5E7E9"/>
              <w:left w:val="none" w:sz="4" w:space="0" w:color="auto"/>
              <w:right w:val="none" w:sz="4" w:space="0" w:color="auto"/>
            </w:tcBorders>
          </w:tcPr>
          <w:p>
            <w:pPr>
              <w:spacing w:line="276" w:lineRule="auto" w:before="0" w:after="0"/>
              <w:jc w:val="center"/>
            </w:pPr>
            <w:r>
              <w:rPr>
                <w:rFonts w:ascii="Times New Roman" w:hAnsi="Times New Roman"/>
                <w:b/>
                <w:color w:val="222222"/>
                <w:sz w:val="18"/>
              </w:rPr>
              <w:t>.github/workflows/ci.yml</w:t>
            </w:r>
          </w:p>
        </w:tc>
        <w:tc>
          <w:tcPr>
            <w:tcW w:type="dxa" w:w="2448"/>
            <w:shd w:fill="F8F9F9"/>
            <w:tcMar>
              <w:top w:w="100" w:type="dxa"/>
              <w:bottom w:w="100" w:type="dxa"/>
              <w:left w:w="100" w:type="dxa"/>
              <w:right w:w="100" w:type="dxa"/>
            </w:tcMar>
            <w:tcBorders>
              <w:top w:val="single" w:sz="4" w:space="0" w:color="E5E7E9"/>
              <w:bottom w:val="single" w:sz="4" w:space="0" w:color="E5E7E9"/>
              <w:left w:val="none" w:sz="4" w:space="0" w:color="auto"/>
              <w:right w:val="none" w:sz="4" w:space="0" w:color="auto"/>
            </w:tcBorders>
          </w:tcPr>
          <w:p>
            <w:pPr>
              <w:spacing w:line="276" w:lineRule="auto" w:before="0" w:after="0"/>
              <w:jc w:val="left"/>
            </w:pPr>
            <w:r>
              <w:rPr>
                <w:rFonts w:ascii="Times New Roman" w:hAnsi="Times New Roman"/>
                <w:b w:val="0"/>
                <w:color w:val="222222"/>
                <w:sz w:val="18"/>
              </w:rPr>
              <w:t>Aplica barreras de calidad automatizadas (Quality Gates), pruebas y escaneos antes de autorizar la integración.</w:t>
            </w:r>
          </w:p>
        </w:tc>
        <w:tc>
          <w:tcPr>
            <w:tcW w:type="dxa" w:w="2448"/>
            <w:shd w:fill="F8F9F9"/>
            <w:tcMar>
              <w:top w:w="100" w:type="dxa"/>
              <w:bottom w:w="100" w:type="dxa"/>
              <w:left w:w="100" w:type="dxa"/>
              <w:right w:w="100" w:type="dxa"/>
            </w:tcMar>
            <w:tcBorders>
              <w:top w:val="single" w:sz="4" w:space="0" w:color="E5E7E9"/>
              <w:bottom w:val="single" w:sz="4" w:space="0" w:color="E5E7E9"/>
              <w:left w:val="none" w:sz="4" w:space="0" w:color="auto"/>
              <w:right w:val="none" w:sz="4" w:space="0" w:color="auto"/>
            </w:tcBorders>
          </w:tcPr>
          <w:p>
            <w:pPr>
              <w:spacing w:line="276" w:lineRule="auto" w:before="0" w:after="0"/>
              <w:jc w:val="left"/>
            </w:pPr>
            <w:r>
              <w:rPr>
                <w:rFonts w:ascii="Times New Roman" w:hAnsi="Times New Roman"/>
                <w:b w:val="0"/>
                <w:color w:val="222222"/>
                <w:sz w:val="18"/>
              </w:rPr>
              <w:t>El proceso de compilación y verificación corre sobre máquinas limpias y homogéneas en cada commit.</w:t>
            </w:r>
          </w:p>
        </w:tc>
        <w:tc>
          <w:tcPr>
            <w:tcW w:type="dxa" w:w="2592"/>
            <w:shd w:fill="F8F9F9"/>
            <w:tcMar>
              <w:top w:w="100" w:type="dxa"/>
              <w:bottom w:w="100" w:type="dxa"/>
              <w:left w:w="100" w:type="dxa"/>
              <w:right w:w="100" w:type="dxa"/>
            </w:tcMar>
            <w:tcBorders>
              <w:top w:val="single" w:sz="4" w:space="0" w:color="E5E7E9"/>
              <w:bottom w:val="single" w:sz="4" w:space="0" w:color="E5E7E9"/>
              <w:left w:val="none" w:sz="4" w:space="0" w:color="auto"/>
              <w:right w:val="none" w:sz="4" w:space="0" w:color="auto"/>
            </w:tcBorders>
          </w:tcPr>
          <w:p>
            <w:pPr>
              <w:spacing w:line="276" w:lineRule="auto" w:before="0" w:after="0"/>
              <w:jc w:val="left"/>
            </w:pPr>
            <w:r>
              <w:rPr>
                <w:rFonts w:ascii="Times New Roman" w:hAnsi="Times New Roman"/>
                <w:b w:val="0"/>
                <w:color w:val="222222"/>
                <w:sz w:val="18"/>
              </w:rPr>
              <w:t>Reemplaza la firma de un comité por un árbitro algorítmico verificable que bloquea el merge ante cualquier error.</w:t>
            </w:r>
          </w:p>
        </w:tc>
      </w:tr>
      <w:tr>
        <w:tc>
          <w:tcPr>
            <w:tcW w:type="dxa" w:w="2016"/>
            <w:shd w:fill="FFFFFF"/>
            <w:tcMar>
              <w:top w:w="100" w:type="dxa"/>
              <w:bottom w:w="100" w:type="dxa"/>
              <w:left w:w="100" w:type="dxa"/>
              <w:right w:w="100" w:type="dxa"/>
            </w:tcMar>
            <w:tcBorders>
              <w:top w:val="single" w:sz="4" w:space="0" w:color="E5E7E9"/>
              <w:bottom w:val="single" w:sz="4" w:space="0" w:color="E5E7E9"/>
              <w:left w:val="none" w:sz="4" w:space="0" w:color="auto"/>
              <w:right w:val="none" w:sz="4" w:space="0" w:color="auto"/>
            </w:tcBorders>
          </w:tcPr>
          <w:p>
            <w:pPr>
              <w:spacing w:line="276" w:lineRule="auto" w:before="0" w:after="0"/>
              <w:jc w:val="center"/>
            </w:pPr>
            <w:r>
              <w:rPr>
                <w:rFonts w:ascii="Times New Roman" w:hAnsi="Times New Roman"/>
                <w:b/>
                <w:color w:val="222222"/>
                <w:sz w:val="18"/>
              </w:rPr>
              <w:t>docker-compose.yml</w:t>
            </w:r>
          </w:p>
        </w:tc>
        <w:tc>
          <w:tcPr>
            <w:tcW w:type="dxa" w:w="2448"/>
            <w:shd w:fill="FFFFFF"/>
            <w:tcMar>
              <w:top w:w="100" w:type="dxa"/>
              <w:bottom w:w="100" w:type="dxa"/>
              <w:left w:w="100" w:type="dxa"/>
              <w:right w:w="100" w:type="dxa"/>
            </w:tcMar>
            <w:tcBorders>
              <w:top w:val="single" w:sz="4" w:space="0" w:color="E5E7E9"/>
              <w:bottom w:val="single" w:sz="4" w:space="0" w:color="E5E7E9"/>
              <w:left w:val="none" w:sz="4" w:space="0" w:color="auto"/>
              <w:right w:val="none" w:sz="4" w:space="0" w:color="auto"/>
            </w:tcBorders>
          </w:tcPr>
          <w:p>
            <w:pPr>
              <w:spacing w:line="276" w:lineRule="auto" w:before="0" w:after="0"/>
              <w:jc w:val="left"/>
            </w:pPr>
            <w:r>
              <w:rPr>
                <w:rFonts w:ascii="Times New Roman" w:hAnsi="Times New Roman"/>
                <w:b w:val="0"/>
                <w:color w:val="222222"/>
                <w:sz w:val="18"/>
              </w:rPr>
              <w:t>Formaliza la topología de red, aislamiento de servicios y límites de hardware, blindando la cohesión del sistema.</w:t>
            </w:r>
          </w:p>
        </w:tc>
        <w:tc>
          <w:tcPr>
            <w:tcW w:type="dxa" w:w="2448"/>
            <w:shd w:fill="FFFFFF"/>
            <w:tcMar>
              <w:top w:w="100" w:type="dxa"/>
              <w:bottom w:w="100" w:type="dxa"/>
              <w:left w:w="100" w:type="dxa"/>
              <w:right w:w="100" w:type="dxa"/>
            </w:tcMar>
            <w:tcBorders>
              <w:top w:val="single" w:sz="4" w:space="0" w:color="E5E7E9"/>
              <w:bottom w:val="single" w:sz="4" w:space="0" w:color="E5E7E9"/>
              <w:left w:val="none" w:sz="4" w:space="0" w:color="auto"/>
              <w:right w:val="none" w:sz="4" w:space="0" w:color="auto"/>
            </w:tcBorders>
          </w:tcPr>
          <w:p>
            <w:pPr>
              <w:spacing w:line="276" w:lineRule="auto" w:before="0" w:after="0"/>
              <w:jc w:val="left"/>
            </w:pPr>
            <w:r>
              <w:rPr>
                <w:rFonts w:ascii="Times New Roman" w:hAnsi="Times New Roman"/>
                <w:b w:val="0"/>
                <w:color w:val="222222"/>
                <w:sz w:val="18"/>
              </w:rPr>
              <w:t>Todo el ecosistema multicapa se despliega idéntico en cualquier máquina anfitriona mediante una instrucción declarativa.</w:t>
            </w:r>
          </w:p>
        </w:tc>
        <w:tc>
          <w:tcPr>
            <w:tcW w:type="dxa" w:w="2592"/>
            <w:shd w:fill="FFFFFF"/>
            <w:tcMar>
              <w:top w:w="100" w:type="dxa"/>
              <w:bottom w:w="100" w:type="dxa"/>
              <w:left w:w="100" w:type="dxa"/>
              <w:right w:w="100" w:type="dxa"/>
            </w:tcMar>
            <w:tcBorders>
              <w:top w:val="single" w:sz="4" w:space="0" w:color="E5E7E9"/>
              <w:bottom w:val="single" w:sz="4" w:space="0" w:color="E5E7E9"/>
              <w:left w:val="none" w:sz="4" w:space="0" w:color="auto"/>
              <w:right w:val="none" w:sz="4" w:space="0" w:color="auto"/>
            </w:tcBorders>
          </w:tcPr>
          <w:p>
            <w:pPr>
              <w:spacing w:line="276" w:lineRule="auto" w:before="0" w:after="0"/>
              <w:jc w:val="left"/>
            </w:pPr>
            <w:r>
              <w:rPr>
                <w:rFonts w:ascii="Times New Roman" w:hAnsi="Times New Roman"/>
                <w:b w:val="0"/>
                <w:color w:val="222222"/>
                <w:sz w:val="18"/>
              </w:rPr>
              <w:t>Centraliza en un archivo versionable las políticas de enlace y las variables de conexión entre microservicios.</w:t>
            </w:r>
          </w:p>
        </w:tc>
      </w:tr>
    </w:tbl>
    <w:p>
      <w:pPr>
        <w:spacing w:after="160"/>
      </w:pPr>
    </w:p>
    <w:p>
      <w:pPr>
        <w:keepNext/>
        <w:spacing w:line="360" w:lineRule="auto" w:before="280" w:after="120"/>
        <w:jc w:val="left"/>
      </w:pPr>
      <w:r>
        <w:rPr>
          <w:rFonts w:ascii="Times New Roman" w:hAnsi="Times New Roman"/>
          <w:b/>
          <w:color w:val="1A365D"/>
          <w:sz w:val="28"/>
        </w:rPr>
        <w:t>3. CONCLUSIONES Y SÍNTESIS ACADÉMICA</w:t>
      </w:r>
    </w:p>
    <w:p>
      <w:pPr>
        <w:spacing w:line="480" w:lineRule="auto" w:before="0" w:after="80"/>
        <w:jc w:val="both"/>
      </w:pPr>
      <w:r>
        <w:rPr>
          <w:rFonts w:ascii="Times New Roman" w:hAnsi="Times New Roman"/>
          <w:b w:val="0"/>
          <w:i w:val="0"/>
          <w:sz w:val="24"/>
        </w:rPr>
        <w:t>La evolución desde el Plan de Gestión de Configuraciones en papel hacia el paradigma Everything as Code (EaC) constituye una de las transformaciones metodológicas y operativas más significativas de la ingeniería moderna de software. Al codificar las políticas de configuración en archivos declarativos dentro de Git, la gobernanza del software abandona la burocracia documental para convertirse en un mecanismo vivo, ejecutable, determinista y auditado de forma continua.</w:t>
      </w:r>
    </w:p>
    <w:p>
      <w:pPr>
        <w:keepNext/>
        <w:spacing w:line="360" w:lineRule="auto" w:before="280" w:after="120"/>
        <w:jc w:val="left"/>
      </w:pPr>
      <w:r>
        <w:rPr>
          <w:rFonts w:ascii="Times New Roman" w:hAnsi="Times New Roman"/>
          <w:b/>
          <w:color w:val="1A365D"/>
          <w:sz w:val="28"/>
        </w:rPr>
        <w:t>4. REFERENCIAS BIBLIOGRÁFICAS (NORMATIVA APA)</w:t>
      </w:r>
    </w:p>
    <w:p>
      <w:pPr>
        <w:spacing w:line="480" w:lineRule="auto" w:before="0" w:after="80"/>
        <w:jc w:val="both"/>
      </w:pPr>
      <w:r>
        <w:rPr>
          <w:rFonts w:ascii="Times New Roman" w:hAnsi="Times New Roman"/>
          <w:b w:val="0"/>
          <w:i w:val="0"/>
          <w:sz w:val="24"/>
        </w:rPr>
        <w:t>Bass, L., Clements, P., &amp; Kazman, R. (2021). Software Architecture in Practice (4th ed.). Addison-Wesley.</w:t>
      </w:r>
    </w:p>
    <w:p>
      <w:pPr>
        <w:spacing w:line="480" w:lineRule="auto" w:before="0" w:after="80"/>
        <w:jc w:val="both"/>
      </w:pPr>
      <w:r>
        <w:rPr>
          <w:rFonts w:ascii="Times New Roman" w:hAnsi="Times New Roman"/>
          <w:b w:val="0"/>
          <w:i w:val="0"/>
          <w:sz w:val="24"/>
        </w:rPr>
        <w:t>Driessen, V. (2010). A successful Git branching model. nvie.com.</w:t>
      </w:r>
    </w:p>
    <w:p>
      <w:pPr>
        <w:spacing w:line="480" w:lineRule="auto" w:before="0" w:after="80"/>
        <w:jc w:val="both"/>
      </w:pPr>
      <w:r>
        <w:rPr>
          <w:rFonts w:ascii="Times New Roman" w:hAnsi="Times New Roman"/>
          <w:b w:val="0"/>
          <w:i w:val="0"/>
          <w:sz w:val="24"/>
        </w:rPr>
        <w:t>Forsgren, N., Humble, J., &amp; Kim, G. (2018). Accelerate: The Science of Lean Software and DevOps: Building and Scaling High Performing Technology Organizations. IT Revolution Press.</w:t>
      </w:r>
    </w:p>
    <w:p>
      <w:pPr>
        <w:spacing w:line="480" w:lineRule="auto" w:before="0" w:after="80"/>
        <w:jc w:val="both"/>
      </w:pPr>
      <w:r>
        <w:rPr>
          <w:rFonts w:ascii="Times New Roman" w:hAnsi="Times New Roman"/>
          <w:b w:val="0"/>
          <w:i w:val="0"/>
          <w:sz w:val="24"/>
        </w:rPr>
        <w:t>Humble, J., &amp; Farley, D. (2010). Continuous Delivery: Reliable Software Releases through Build, Test, and Deployment Automation. Addison-Wesley.</w:t>
      </w:r>
    </w:p>
    <w:p>
      <w:pPr>
        <w:spacing w:line="480" w:lineRule="auto" w:before="0" w:after="80"/>
        <w:jc w:val="both"/>
      </w:pPr>
      <w:r>
        <w:rPr>
          <w:rFonts w:ascii="Times New Roman" w:hAnsi="Times New Roman"/>
          <w:b w:val="0"/>
          <w:i w:val="0"/>
          <w:sz w:val="24"/>
        </w:rPr>
        <w:t>IEEE Computer Society. (2014). Guide to the Software Engineering Body of Knowledge (SWEBOK V3/V4). IEEE.</w:t>
      </w:r>
    </w:p>
    <w:p>
      <w:pPr>
        <w:spacing w:line="480" w:lineRule="auto" w:before="0" w:after="80"/>
        <w:jc w:val="both"/>
      </w:pPr>
      <w:r>
        <w:rPr>
          <w:rFonts w:ascii="Times New Roman" w:hAnsi="Times New Roman"/>
          <w:b w:val="0"/>
          <w:i w:val="0"/>
          <w:sz w:val="24"/>
        </w:rPr>
        <w:t>Prokic, S. (2021). Infrastructure as Code: Dynamic Infrastructure with Terraform and Docker. Packt Publishing.</w:t>
      </w:r>
    </w:p>
    <w:sectPr w:rsidR="00FC693F" w:rsidRPr="0006063C" w:rsidSect="00034616">
      <w:pgSz w:w="12240" w:h="15840"/>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80" w:before="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