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A365D"/>
          <w:sz w:val="22"/>
        </w:rPr>
        <w:t>UNIVERSIDAD NACIONAL EXPERIMENTAL DE GUAYANA</w:t>
        <w:br/>
      </w:r>
      <w:r>
        <w:rPr>
          <w:color w:val="4A5568"/>
          <w:sz w:val="19"/>
        </w:rPr>
        <w:t>VICERRECTORADO ACADÉMICO | INGENIERÍA EN INFORMÁTICA</w:t>
        <w:br/>
        <w:t>INGENIERÍA DE SOFTWARE II – PROF. MG. FÉLIX MÁRQUEZ</w:t>
      </w:r>
    </w:p>
    <w:p>
      <w:pPr>
        <w:spacing w:before="240" w:after="80"/>
      </w:pPr>
      <w:r>
        <w:rPr>
          <w:b/>
          <w:color w:val="0F172A"/>
          <w:sz w:val="32"/>
        </w:rPr>
        <w:t>Guión de Defensa Oral – Caso 2 (Parte A)</w:t>
      </w:r>
    </w:p>
    <w:p>
      <w:pPr>
        <w:spacing w:before="0" w:after="280"/>
      </w:pPr>
      <w:r>
        <w:rPr>
          <w:b/>
          <w:color w:val="0284C7"/>
          <w:sz w:val="24"/>
        </w:rPr>
        <w:t>Diagnóstico de Seguridad Psicológica y Mediación de Conflicto con CNV</w:t>
        <w:br/>
      </w:r>
      <w:r>
        <w:rPr>
          <w:i/>
          <w:color w:val="64748B"/>
          <w:sz w:val="20"/>
        </w:rPr>
        <w:t>Presentador: Brayan Carreño (Integrante 3)  |  Equipo: Ingenio y Código  |  Duración: 2 min 20 seg (~360 palabras)</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b/>
                <w:color w:val="FFFFFF"/>
                <w:sz w:val="19"/>
              </w:rPr>
              <w:t>Bloque</w:t>
            </w:r>
          </w:p>
        </w:tc>
        <w:tc>
          <w:tcPr>
            <w:tcW w:type="dxa" w:w="2340"/>
            <w:shd w:fill="0F172A"/>
          </w:tcPr>
          <w:p>
            <w:r>
              <w:rPr>
                <w:b/>
                <w:color w:val="FFFFFF"/>
                <w:sz w:val="19"/>
              </w:rPr>
              <w:t>Tiempo</w:t>
            </w:r>
          </w:p>
        </w:tc>
        <w:tc>
          <w:tcPr>
            <w:tcW w:type="dxa" w:w="2340"/>
            <w:shd w:fill="0F172A"/>
          </w:tcPr>
          <w:p>
            <w:r>
              <w:rPr>
                <w:b/>
                <w:color w:val="FFFFFF"/>
                <w:sz w:val="19"/>
              </w:rPr>
              <w:t>Tema Clave</w:t>
            </w:r>
          </w:p>
        </w:tc>
        <w:tc>
          <w:tcPr>
            <w:tcW w:type="dxa" w:w="2340"/>
            <w:shd w:fill="0F172A"/>
          </w:tcPr>
          <w:p>
            <w:r>
              <w:rPr>
                <w:b/>
                <w:color w:val="FFFFFF"/>
                <w:sz w:val="19"/>
              </w:rPr>
              <w:t>Enfoque Técnico</w:t>
            </w:r>
          </w:p>
        </w:tc>
      </w:tr>
      <w:tr>
        <w:tc>
          <w:tcPr>
            <w:tcW w:type="dxa" w:w="2340"/>
          </w:tcPr>
          <w:p>
            <w:r>
              <w:rPr>
                <w:sz w:val="18"/>
              </w:rPr>
              <w:t>I. Introducción</w:t>
            </w:r>
          </w:p>
        </w:tc>
        <w:tc>
          <w:tcPr>
            <w:tcW w:type="dxa" w:w="2340"/>
          </w:tcPr>
          <w:p>
            <w:r>
              <w:rPr>
                <w:sz w:val="18"/>
              </w:rPr>
              <w:t>00:00 - 00:25</w:t>
            </w:r>
          </w:p>
        </w:tc>
        <w:tc>
          <w:tcPr>
            <w:tcW w:type="dxa" w:w="2340"/>
          </w:tcPr>
          <w:p>
            <w:r>
              <w:rPr>
                <w:sz w:val="18"/>
              </w:rPr>
              <w:t>Presentación del Caso</w:t>
            </w:r>
          </w:p>
        </w:tc>
        <w:tc>
          <w:tcPr>
            <w:tcW w:type="dxa" w:w="2340"/>
          </w:tcPr>
          <w:p>
            <w:r>
              <w:rPr>
                <w:sz w:val="18"/>
              </w:rPr>
              <w:t>Rol de Agile Coach / Tech Lead ante la crisis de clima y velocidad.</w:t>
            </w:r>
          </w:p>
        </w:tc>
      </w:tr>
      <w:tr>
        <w:tc>
          <w:tcPr>
            <w:tcW w:type="dxa" w:w="2340"/>
            <w:shd w:fill="F8FAFC"/>
          </w:tcPr>
          <w:p>
            <w:r>
              <w:rPr>
                <w:sz w:val="18"/>
              </w:rPr>
              <w:t>II. Diagnóstico</w:t>
            </w:r>
          </w:p>
        </w:tc>
        <w:tc>
          <w:tcPr>
            <w:tcW w:type="dxa" w:w="2340"/>
            <w:shd w:fill="F8FAFC"/>
          </w:tcPr>
          <w:p>
            <w:r>
              <w:rPr>
                <w:sz w:val="18"/>
              </w:rPr>
              <w:t>00:25 - 00:55</w:t>
            </w:r>
          </w:p>
        </w:tc>
        <w:tc>
          <w:tcPr>
            <w:tcW w:type="dxa" w:w="2340"/>
            <w:shd w:fill="F8FAFC"/>
          </w:tcPr>
          <w:p>
            <w:r>
              <w:rPr>
                <w:sz w:val="18"/>
              </w:rPr>
              <w:t>Matriz de Edmondson</w:t>
            </w:r>
          </w:p>
        </w:tc>
        <w:tc>
          <w:tcPr>
            <w:tcW w:type="dxa" w:w="2340"/>
            <w:shd w:fill="F8FAFC"/>
          </w:tcPr>
          <w:p>
            <w:r>
              <w:rPr>
                <w:sz w:val="18"/>
              </w:rPr>
              <w:t>Seguridad psicológica, Google Aristotle, Zona de Ansiedad y silencio defensivo.</w:t>
            </w:r>
          </w:p>
        </w:tc>
      </w:tr>
      <w:tr>
        <w:tc>
          <w:tcPr>
            <w:tcW w:type="dxa" w:w="2340"/>
          </w:tcPr>
          <w:p>
            <w:r>
              <w:rPr>
                <w:sz w:val="18"/>
              </w:rPr>
              <w:t>III. Impacto Técnico</w:t>
            </w:r>
          </w:p>
        </w:tc>
        <w:tc>
          <w:tcPr>
            <w:tcW w:type="dxa" w:w="2340"/>
          </w:tcPr>
          <w:p>
            <w:r>
              <w:rPr>
                <w:sz w:val="18"/>
              </w:rPr>
              <w:t>00:55 - 01:35</w:t>
            </w:r>
          </w:p>
        </w:tc>
        <w:tc>
          <w:tcPr>
            <w:tcW w:type="dxa" w:w="2340"/>
          </w:tcPr>
          <w:p>
            <w:r>
              <w:rPr>
                <w:sz w:val="18"/>
              </w:rPr>
              <w:t>Riesgos a Largo Plazo</w:t>
            </w:r>
          </w:p>
        </w:tc>
        <w:tc>
          <w:tcPr>
            <w:tcW w:type="dxa" w:w="2340"/>
          </w:tcPr>
          <w:p>
            <w:r>
              <w:rPr>
                <w:sz w:val="18"/>
              </w:rPr>
              <w:t>Ocultamiento de deuda técnica, caída de DORA y deserción de juniors.</w:t>
            </w:r>
          </w:p>
        </w:tc>
      </w:tr>
      <w:tr>
        <w:tc>
          <w:tcPr>
            <w:tcW w:type="dxa" w:w="2340"/>
            <w:shd w:fill="F8FAFC"/>
          </w:tcPr>
          <w:p>
            <w:r>
              <w:rPr>
                <w:sz w:val="18"/>
              </w:rPr>
              <w:t>IV. Intervención CNV</w:t>
            </w:r>
          </w:p>
        </w:tc>
        <w:tc>
          <w:tcPr>
            <w:tcW w:type="dxa" w:w="2340"/>
            <w:shd w:fill="F8FAFC"/>
          </w:tcPr>
          <w:p>
            <w:r>
              <w:rPr>
                <w:sz w:val="18"/>
              </w:rPr>
              <w:t>01:35 - 02:20</w:t>
            </w:r>
          </w:p>
        </w:tc>
        <w:tc>
          <w:tcPr>
            <w:tcW w:type="dxa" w:w="2340"/>
            <w:shd w:fill="F8FAFC"/>
          </w:tcPr>
          <w:p>
            <w:r>
              <w:rPr>
                <w:sz w:val="18"/>
              </w:rPr>
              <w:t>Mediación en Privado</w:t>
            </w:r>
          </w:p>
        </w:tc>
        <w:tc>
          <w:tcPr>
            <w:tcW w:type="dxa" w:w="2340"/>
            <w:shd w:fill="F8FAFC"/>
          </w:tcPr>
          <w:p>
            <w:r>
              <w:rPr>
                <w:sz w:val="18"/>
              </w:rPr>
              <w:t>Liderazgo de Servicio y los 4 pasos de la Comunicación No Violenta (Rosenberg).</w:t>
            </w:r>
          </w:p>
        </w:tc>
      </w:tr>
    </w:tbl>
    <w:p>
      <w:pPr>
        <w:spacing w:before="160"/>
      </w:pPr>
    </w:p>
    <w:p>
      <w:pPr>
        <w:spacing w:before="280" w:after="40"/>
      </w:pPr>
      <w:r>
        <w:rPr>
          <w:b/>
          <w:color w:val="0F172A"/>
          <w:sz w:val="24"/>
        </w:rPr>
        <w:t xml:space="preserve">1. Introducción: El Rol del Líder Técnico ante el Conflicto  </w:t>
      </w:r>
      <w:r>
        <w:rPr>
          <w:b/>
          <w:color w:val="0284C7"/>
          <w:sz w:val="20"/>
        </w:rPr>
        <w:t>[00:00 - 00:25]</w:t>
      </w:r>
    </w:p>
    <w:p>
      <w:pPr>
        <w:spacing w:before="0" w:after="80"/>
      </w:pPr>
      <w:r>
        <w:rPr>
          <w:i/>
          <w:color w:val="64748B"/>
          <w:sz w:val="19"/>
        </w:rPr>
        <w:t>(Mirada firme a la cámara, tono pausado y empático)</w:t>
      </w:r>
    </w:p>
    <w:p>
      <w:pPr>
        <w:spacing w:before="40" w:after="200" w:line="324" w:lineRule="auto"/>
      </w:pPr>
      <w:r>
        <w:rPr>
          <w:color w:val="1E293B"/>
          <w:sz w:val="23"/>
        </w:rPr>
        <w:t>«Saludos cordiales, profesor Félix Márquez y compañeros. Mi nombre es Brayan Carreño, y como Integrante 3 asumo el rol de nuevo Agile Coach y Líder Técnico para abordar la Parte A del Caso 2: Liderazgo, Conflicto y Seguridad Psicológica.</w:t>
        <w:br/>
        <w:br/>
        <w:t>Nos enfrentamos a un dilema clásico en la industria de software: un Arquitecto Principal técnicamente brillante, pero cuyos comentarios sarcásticos en los Pull Requests han destruido la confianza del equipo, silenciado a los desarrolladores juniors y desplomado la velocidad de entrega.»</w:t>
      </w:r>
    </w:p>
    <w:p>
      <w:pPr>
        <w:spacing w:before="280" w:after="40"/>
      </w:pPr>
      <w:r>
        <w:rPr>
          <w:b/>
          <w:color w:val="0F172A"/>
          <w:sz w:val="24"/>
        </w:rPr>
        <w:t xml:space="preserve">2. Bloque 1: Diagnóstico con la Matriz de Seguridad Psicológica  </w:t>
      </w:r>
      <w:r>
        <w:rPr>
          <w:b/>
          <w:color w:val="0284C7"/>
          <w:sz w:val="20"/>
        </w:rPr>
        <w:t>[00:25 - 00:55]</w:t>
      </w:r>
    </w:p>
    <w:p>
      <w:pPr>
        <w:spacing w:before="0" w:after="80"/>
      </w:pPr>
      <w:r>
        <w:rPr>
          <w:i/>
          <w:color w:val="64748B"/>
          <w:sz w:val="19"/>
        </w:rPr>
        <w:t>(Señalar las columnas 1 y 2 de la lámina: Diagnóstico y Matriz de Edmondson)</w:t>
      </w:r>
    </w:p>
    <w:p>
      <w:pPr>
        <w:spacing w:before="40" w:after="200" w:line="324" w:lineRule="auto"/>
      </w:pPr>
      <w:r>
        <w:rPr>
          <w:color w:val="1E293B"/>
          <w:sz w:val="23"/>
        </w:rPr>
        <w:t>«En la primera y segunda columna diagnosticamos la raíz del problema mediante el concepto de Seguridad Psicológica de la doctora Amy Edmondson, validado por el Proyecto Aristotle de Google, que demostró que este factor es el predictor estadístico número uno del éxito en ingeniería.</w:t>
        <w:br/>
        <w:br/>
        <w:t>La Seguridad Psicológica es la certeza de que nadie será humillado o castigado por admitir dudas, cometer errores o proponer ideas. Al recibir comentarios como ¿En serio vas a usar este patrón? Es de principiantes, el equipo fue empujado bruscamente de la Zona de Aprendizaje a la Zona de Ansiedad. El silencio de los juniors en las retrospectivas no es desinterés: es un mecanismo biológico de autopreservación ante la amenaza del escarnio público.»</w:t>
      </w:r>
    </w:p>
    <w:p>
      <w:pPr>
        <w:spacing w:before="280" w:after="40"/>
      </w:pPr>
      <w:r>
        <w:rPr>
          <w:b/>
          <w:color w:val="0F172A"/>
          <w:sz w:val="24"/>
        </w:rPr>
        <w:t xml:space="preserve">3. Bloque 2: Impacto Técnico a Largo Plazo  </w:t>
      </w:r>
      <w:r>
        <w:rPr>
          <w:b/>
          <w:color w:val="0284C7"/>
          <w:sz w:val="20"/>
        </w:rPr>
        <w:t>[00:55 - 01:35]</w:t>
      </w:r>
    </w:p>
    <w:p>
      <w:pPr>
        <w:spacing w:before="0" w:after="80"/>
      </w:pPr>
      <w:r>
        <w:rPr>
          <w:i/>
          <w:color w:val="64748B"/>
          <w:sz w:val="19"/>
        </w:rPr>
        <w:t>(Señalar la columna 3 de la lámina: Impacto Operacional)</w:t>
      </w:r>
    </w:p>
    <w:p>
      <w:pPr>
        <w:spacing w:before="40" w:after="200" w:line="324" w:lineRule="auto"/>
      </w:pPr>
      <w:r>
        <w:rPr>
          <w:color w:val="1E293B"/>
          <w:sz w:val="23"/>
        </w:rPr>
        <w:t>«En la tercera columna observamos que el costo técnico de no intervenir es catastrófico:</w:t>
        <w:br/>
        <w:br/>
        <w:t>• Primero, se genera un ocultamiento sistemático de deuda técnica y bugs. Cuando los desarrolladores temen preguntar, parchan el código a escondidas, incubando fallos invisibles que tarde o temprano estallan en producción.</w:t>
        <w:br/>
        <w:t>• Segundo, colapsan las métricas DORA: el Lead Time for Changes se infla porque los juniors tardan días en atreverse a abrir un PR.</w:t>
        <w:br/>
        <w:t>• Y tercero, se desata la parálisis de la innovación y la fuga inevitable de talento, donde los ingenieros renuncian no por la tecnología, sino por la toxicidad del entorno.»</w:t>
      </w:r>
    </w:p>
    <w:p>
      <w:pPr>
        <w:spacing w:before="280" w:after="40"/>
      </w:pPr>
      <w:r>
        <w:rPr>
          <w:b/>
          <w:color w:val="0F172A"/>
          <w:sz w:val="24"/>
        </w:rPr>
        <w:t xml:space="preserve">4. Bloque 3: Estrategia de Intervención en Privado (CNV)  </w:t>
      </w:r>
      <w:r>
        <w:rPr>
          <w:b/>
          <w:color w:val="0284C7"/>
          <w:sz w:val="20"/>
        </w:rPr>
        <w:t>[01:35 - 02:20]</w:t>
      </w:r>
    </w:p>
    <w:p>
      <w:pPr>
        <w:spacing w:before="0" w:after="80"/>
      </w:pPr>
      <w:r>
        <w:rPr>
          <w:i/>
          <w:color w:val="64748B"/>
          <w:sz w:val="19"/>
        </w:rPr>
        <w:t>(Señalar la columna 4 de la lámina: Intervención en Privado)</w:t>
      </w:r>
    </w:p>
    <w:p>
      <w:pPr>
        <w:spacing w:before="40" w:after="200" w:line="324" w:lineRule="auto"/>
      </w:pPr>
      <w:r>
        <w:rPr>
          <w:color w:val="1E293B"/>
          <w:sz w:val="23"/>
        </w:rPr>
        <w:t>«Para resolverlo, no recurrimos al castigo ni a una lucha de egos. Aplicamos Liderazgo de Servicio de Greenleaf y los 4 pasos de la Comunicación No Violenta de Marshall Rosenberg en una sesión privada 1 a 1 con el Arquitecto:</w:t>
        <w:br/>
        <w:br/>
        <w:t>1. Iniciamos con Hechos Objetivos: citamos el comentario textual en el PR sin juzgar su persona ni usar etiquetas agresivas.</w:t>
        <w:br/>
        <w:t>2. Expresamos Sentimientos: compartimos genuina preocupación por el silencio de los juniors y la caída en el cierre de historias.</w:t>
        <w:br/>
        <w:t>3. Alineamos Necesidades Compartidas: reconocemos que ambos deseamos código de clase mundial, pero aclaramos que la excelencia requiere que el equipo crezca con autonomía y sin miedo.</w:t>
        <w:br/>
        <w:t>4. Y cerramos con una Petición Concreta: le pedimos transformar su brillantez en mentoría, sustituyendo el juicio por sugerencias pedagógicas y apoyándonos a co-diseñar un nuevo estándar de revisión de código, el cual explicará mi compañera Nicole García a continuación. Muchas gracias.»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