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color w:val="E85A1B"/>
          <w:sz w:val="72"/>
          <w:szCs w:val="72"/>
        </w:rPr>
        <w:t xml:space="preserve">SY HOMES</w:t>
      </w:r>
    </w:p>
    <w:p>
      <w:pPr>
        <w:spacing w:after="120"/>
        <w:jc w:val="center"/>
      </w:pPr>
      <w:r>
        <w:rPr>
          <w:rFonts w:ascii="Arial" w:cs="Arial" w:eastAsia="Arial" w:hAnsi="Arial"/>
          <w:color w:val="1F2D3D"/>
          <w:sz w:val="40"/>
          <w:szCs w:val="40"/>
        </w:rPr>
        <w:t xml:space="preserve">Custom Platform — Narrative Specification</w:t>
      </w:r>
    </w:p>
    <w:p>
      <w:pPr>
        <w:spacing w:after="1200"/>
        <w:jc w:val="center"/>
      </w:pPr>
      <w:r>
        <w:rPr>
          <w:rFonts w:ascii="Arial" w:cs="Arial" w:eastAsia="Arial" w:hAnsi="Arial"/>
          <w:i/>
          <w:iCs/>
          <w:color w:val="777777"/>
          <w:sz w:val="28"/>
          <w:szCs w:val="28"/>
        </w:rPr>
        <w:t xml:space="preserve">Phase 1 Foundation</w:t>
      </w:r>
    </w:p>
    <w:p>
      <w:pPr>
        <w:spacing w:after="120"/>
        <w:jc w:val="center"/>
      </w:pPr>
      <w:r>
        <w:rPr>
          <w:rFonts w:ascii="Arial" w:cs="Arial" w:eastAsia="Arial" w:hAnsi="Arial"/>
          <w:color w:val="777777"/>
          <w:sz w:val="22"/>
          <w:szCs w:val="22"/>
        </w:rPr>
        <w:t xml:space="preserve">Version 1.0  ·  April 2026</w:t>
      </w:r>
    </w:p>
    <w:p>
      <w:pPr>
        <w:jc w:val="center"/>
      </w:pPr>
      <w:r>
        <w:rPr>
          <w:rFonts w:ascii="Arial" w:cs="Arial" w:eastAsia="Arial" w:hAnsi="Arial"/>
          <w:i/>
          <w:iCs/>
          <w:color w:val="777777"/>
          <w:sz w:val="20"/>
          <w:szCs w:val="20"/>
        </w:rPr>
        <w:t xml:space="preserve">Complementary to SY_Homes_Data_Model.xlsx</w:t>
      </w:r>
    </w:p>
    <w:p>
      <w:r>
        <w:br w:type="page"/>
      </w:r>
    </w:p>
    <w:p>
      <w:pPr>
        <w:pStyle w:val="Heading1"/>
        <w:spacing w:after="200" w:before="400"/>
      </w:pPr>
      <w:r>
        <w:rPr>
          <w:rFonts w:ascii="Arial" w:cs="Arial" w:eastAsia="Arial" w:hAnsi="Arial"/>
          <w:b/>
          <w:bCs/>
          <w:color w:val="1F2D3D"/>
          <w:sz w:val="36"/>
          <w:szCs w:val="36"/>
        </w:rPr>
        <w:t xml:space="preserve">Executive Summary</w:t>
      </w:r>
    </w:p>
    <w:p>
      <w:pPr>
        <w:spacing w:after="120" w:before="0"/>
        <w:jc w:val="left"/>
      </w:pPr>
      <w:r>
        <w:rPr>
          <w:rFonts w:ascii="Arial" w:cs="Arial" w:eastAsia="Arial" w:hAnsi="Arial"/>
          <w:sz w:val="22"/>
          <w:szCs w:val="22"/>
        </w:rPr>
        <w:t xml:space="preserve">This document is the narrative companion to the SY Homes data model specification. The data model is held in SY_Homes_Data_Model.xlsx — 77 tables, 1,288 fields, fully specified with types, requirements, relationships and seed data. This document explains the reasoning behind the design: how modules fit together, the calculations that matter, the business rules that shape the data, and the architecture that holds it together.</w:t>
      </w:r>
    </w:p>
    <w:p>
      <w:pPr>
        <w:spacing w:after="120" w:before="0"/>
        <w:jc w:val="left"/>
      </w:pPr>
      <w:r>
        <w:rPr>
          <w:rFonts w:ascii="Arial" w:cs="Arial" w:eastAsia="Arial" w:hAnsi="Arial"/>
          <w:sz w:val="22"/>
          <w:szCs w:val="22"/>
        </w:rPr>
        <w:t xml:space="preserve">The platform being specified replaces a patchwork of spreadsheets, WhatsApp threads, and Buildertrend with a single system of record for SY Homes's development and contracting operations. It is designed to work for a small, hands-on team — not for a 500-person PLC — but with the structural integrity to scale as the business grows.</w:t>
      </w:r>
    </w:p>
    <w:p>
      <w:pPr>
        <w:pStyle w:val="Heading2"/>
        <w:spacing w:after="150" w:before="300"/>
      </w:pPr>
      <w:r>
        <w:rPr>
          <w:rFonts w:ascii="Arial" w:cs="Arial" w:eastAsia="Arial" w:hAnsi="Arial"/>
          <w:b/>
          <w:bCs/>
          <w:color w:val="E85A1B"/>
          <w:sz w:val="28"/>
          <w:szCs w:val="28"/>
        </w:rPr>
        <w:t xml:space="preserve">The business context</w:t>
      </w:r>
    </w:p>
    <w:p>
      <w:pPr>
        <w:spacing w:after="120" w:before="0"/>
        <w:jc w:val="left"/>
      </w:pPr>
      <w:r>
        <w:rPr>
          <w:rFonts w:ascii="Arial" w:cs="Arial" w:eastAsia="Arial" w:hAnsi="Arial"/>
          <w:sz w:val="22"/>
          <w:szCs w:val="22"/>
        </w:rPr>
        <w:t xml:space="preserve">SY Homes runs three entity types: a parent (SY Homes Ltd), site SPVs (SY Homes Shrewsbury Ltd and future), and a construction company (SY Homes Construction Ltd). Across these entities, five distinct project types happen — pure development (acquire, plan, sell), development + build (full cycle), D&amp;B contracting for housing associations, joint ventures, and occasional main contracting tenders. No two sites are the same.</w:t>
      </w:r>
    </w:p>
    <w:p>
      <w:pPr>
        <w:spacing w:after="120" w:before="0"/>
        <w:jc w:val="left"/>
      </w:pPr>
      <w:r>
        <w:rPr>
          <w:rFonts w:ascii="Arial" w:cs="Arial" w:eastAsia="Arial" w:hAnsi="Arial"/>
          <w:sz w:val="22"/>
          <w:szCs w:val="22"/>
        </w:rPr>
        <w:t xml:space="preserve">The platform must handle this variety without becoming a generic "one size fits all" system. That's why Phase 1 prioritises flexibility in project structure (project_type, land_ownership_method, planning_type, tenure all drive conditional behaviour) while standardising the financial model (cost codes, appraisals, budgets, cash flow) so that every project rolls up consistently to the group view.</w:t>
      </w:r>
    </w:p>
    <w:p>
      <w:pPr>
        <w:pStyle w:val="Heading2"/>
        <w:spacing w:after="150" w:before="300"/>
      </w:pPr>
      <w:r>
        <w:rPr>
          <w:rFonts w:ascii="Arial" w:cs="Arial" w:eastAsia="Arial" w:hAnsi="Arial"/>
          <w:b/>
          <w:bCs/>
          <w:color w:val="E85A1B"/>
          <w:sz w:val="28"/>
          <w:szCs w:val="28"/>
        </w:rPr>
        <w:t xml:space="preserve">The phase 1 scope</w:t>
      </w:r>
    </w:p>
    <w:p>
      <w:pPr>
        <w:spacing w:after="120" w:before="0"/>
        <w:jc w:val="left"/>
      </w:pPr>
      <w:r>
        <w:rPr>
          <w:rFonts w:ascii="Arial" w:cs="Arial" w:eastAsia="Arial" w:hAnsi="Arial"/>
          <w:sz w:val="22"/>
          <w:szCs w:val="22"/>
        </w:rPr>
        <w:t xml:space="preserve">Phase 1 delivers the spine of the platform across ten modules:</w:t>
      </w:r>
    </w:p>
    <w:p>
      <w:pPr>
        <w:pStyle w:val="ListParagraph"/>
        <w:numPr>
          <w:ilvl w:val="0"/>
          <w:numId w:val="2"/>
        </w:numPr>
        <w:spacing w:after="80"/>
      </w:pPr>
      <w:r>
        <w:rPr>
          <w:rFonts w:ascii="Arial" w:cs="Arial" w:eastAsia="Arial" w:hAnsi="Arial"/>
          <w:sz w:val="22"/>
          <w:szCs w:val="22"/>
        </w:rPr>
        <w:t xml:space="preserve">Foundation — entities, projects, users, permissions, audit (21 tables).</w:t>
      </w:r>
    </w:p>
    <w:p>
      <w:pPr>
        <w:pStyle w:val="ListParagraph"/>
        <w:numPr>
          <w:ilvl w:val="0"/>
          <w:numId w:val="2"/>
        </w:numPr>
        <w:spacing w:after="80"/>
      </w:pPr>
      <w:r>
        <w:rPr>
          <w:rFonts w:ascii="Arial" w:cs="Arial" w:eastAsia="Arial" w:hAnsi="Arial"/>
          <w:sz w:val="22"/>
          <w:szCs w:val="22"/>
        </w:rPr>
        <w:t xml:space="preserve">Cost Codes — 19-prefix coding structure, 120+ codes, entity-aware mapping (5 tables).</w:t>
      </w:r>
    </w:p>
    <w:p>
      <w:pPr>
        <w:pStyle w:val="ListParagraph"/>
        <w:numPr>
          <w:ilvl w:val="0"/>
          <w:numId w:val="2"/>
        </w:numPr>
        <w:spacing w:after="80"/>
      </w:pPr>
      <w:r>
        <w:rPr>
          <w:rFonts w:ascii="Arial" w:cs="Arial" w:eastAsia="Arial" w:hAnsi="Arial"/>
          <w:sz w:val="22"/>
          <w:szCs w:val="22"/>
        </w:rPr>
        <w:t xml:space="preserve">Appraisal — feasibility modelling with SDLT / RLV / finance engines (9 tables).</w:t>
      </w:r>
    </w:p>
    <w:p>
      <w:pPr>
        <w:pStyle w:val="ListParagraph"/>
        <w:numPr>
          <w:ilvl w:val="0"/>
          <w:numId w:val="2"/>
        </w:numPr>
        <w:spacing w:after="80"/>
      </w:pPr>
      <w:r>
        <w:rPr>
          <w:rFonts w:ascii="Arial" w:cs="Arial" w:eastAsia="Arial" w:hAnsi="Arial"/>
          <w:sz w:val="22"/>
          <w:szCs w:val="22"/>
        </w:rPr>
        <w:t xml:space="preserve">Budget — live cost control with change management and forecast final cost (8 tables).</w:t>
      </w:r>
    </w:p>
    <w:p>
      <w:pPr>
        <w:pStyle w:val="ListParagraph"/>
        <w:numPr>
          <w:ilvl w:val="0"/>
          <w:numId w:val="2"/>
        </w:numPr>
        <w:spacing w:after="80"/>
      </w:pPr>
      <w:r>
        <w:rPr>
          <w:rFonts w:ascii="Arial" w:cs="Arial" w:eastAsia="Arial" w:hAnsi="Arial"/>
          <w:sz w:val="22"/>
          <w:szCs w:val="22"/>
        </w:rPr>
        <w:t xml:space="preserve">Cash Flow — month-by-month forecast vs actual, multi-entity rollup (5 tables).</w:t>
      </w:r>
    </w:p>
    <w:p>
      <w:pPr>
        <w:pStyle w:val="ListParagraph"/>
        <w:numPr>
          <w:ilvl w:val="0"/>
          <w:numId w:val="2"/>
        </w:numPr>
        <w:spacing w:after="80"/>
      </w:pPr>
      <w:r>
        <w:rPr>
          <w:rFonts w:ascii="Arial" w:cs="Arial" w:eastAsia="Arial" w:hAnsi="Arial"/>
          <w:sz w:val="22"/>
          <w:szCs w:val="22"/>
        </w:rPr>
        <w:t xml:space="preserve">Programme — templated schedules, critical path, baselines, alerts (10 tables).</w:t>
      </w:r>
    </w:p>
    <w:p>
      <w:pPr>
        <w:pStyle w:val="ListParagraph"/>
        <w:numPr>
          <w:ilvl w:val="0"/>
          <w:numId w:val="2"/>
        </w:numPr>
        <w:spacing w:after="80"/>
      </w:pPr>
      <w:r>
        <w:rPr>
          <w:rFonts w:ascii="Arial" w:cs="Arial" w:eastAsia="Arial" w:hAnsi="Arial"/>
          <w:sz w:val="22"/>
          <w:szCs w:val="22"/>
        </w:rPr>
        <w:t xml:space="preserve">QA &amp; Documents — document store with compliance registers for CDM, BSA, Part L/O/Q, fire, warranty, GDPR (7 tables).</w:t>
      </w:r>
    </w:p>
    <w:p>
      <w:pPr>
        <w:pStyle w:val="ListParagraph"/>
        <w:numPr>
          <w:ilvl w:val="0"/>
          <w:numId w:val="2"/>
        </w:numPr>
        <w:spacing w:after="80"/>
      </w:pPr>
      <w:r>
        <w:rPr>
          <w:rFonts w:ascii="Arial" w:cs="Arial" w:eastAsia="Arial" w:hAnsi="Arial"/>
          <w:sz w:val="22"/>
          <w:szCs w:val="22"/>
        </w:rPr>
        <w:t xml:space="preserve">Xero Integration — bidirectional sync with OAuth, webhooks, reconciliation (15 tables).</w:t>
      </w:r>
    </w:p>
    <w:p>
      <w:pPr>
        <w:pStyle w:val="ListParagraph"/>
        <w:numPr>
          <w:ilvl w:val="0"/>
          <w:numId w:val="2"/>
        </w:numPr>
        <w:spacing w:after="80"/>
      </w:pPr>
      <w:r>
        <w:rPr>
          <w:rFonts w:ascii="Arial" w:cs="Arial" w:eastAsia="Arial" w:hAnsi="Arial"/>
          <w:sz w:val="22"/>
          <w:szCs w:val="22"/>
        </w:rPr>
        <w:t xml:space="preserve">Cross-cutting — system config and user notifications (2 tables).</w:t>
      </w:r>
    </w:p>
    <w:p>
      <w:pPr>
        <w:spacing w:after="120" w:before="0"/>
        <w:jc w:val="left"/>
      </w:pPr>
      <w:r>
        <w:rPr>
          <w:rFonts w:ascii="Arial" w:cs="Arial" w:eastAsia="Arial" w:hAnsi="Arial"/>
          <w:sz w:val="22"/>
          <w:szCs w:val="22"/>
        </w:rPr>
        <w:t xml:space="preserve">Phase 2 onwards will add: deal pipeline, planning conditions management, subcontractor database and CIS, tender module, subcontract valuations, variations, plot management, buyer pipeline, post-completion (retentions, defects, DLP), and document workflow for ISO 19650 CDE integration.</w:t>
      </w:r>
    </w:p>
    <w:p>
      <w:r>
        <w:br w:type="page"/>
      </w:r>
    </w:p>
    <w:p>
      <w:pPr>
        <w:pStyle w:val="Heading1"/>
        <w:spacing w:after="200" w:before="400"/>
      </w:pPr>
      <w:r>
        <w:rPr>
          <w:rFonts w:ascii="Arial" w:cs="Arial" w:eastAsia="Arial" w:hAnsi="Arial"/>
          <w:b/>
          <w:bCs/>
          <w:color w:val="1F2D3D"/>
          <w:sz w:val="36"/>
          <w:szCs w:val="36"/>
        </w:rPr>
        <w:t xml:space="preserve">Design Principles</w:t>
      </w:r>
    </w:p>
    <w:p>
      <w:pPr>
        <w:spacing w:after="120" w:before="0"/>
        <w:jc w:val="left"/>
      </w:pPr>
      <w:r>
        <w:rPr>
          <w:rFonts w:ascii="Arial" w:cs="Arial" w:eastAsia="Arial" w:hAnsi="Arial"/>
          <w:sz w:val="22"/>
          <w:szCs w:val="22"/>
        </w:rPr>
        <w:t xml:space="preserve">Every table, field and workflow in this specification was chosen against these principles. When design choices conflict, these principles arbitrate.</w:t>
      </w:r>
    </w:p>
    <w:p>
      <w:pPr>
        <w:pStyle w:val="Heading2"/>
        <w:spacing w:after="150" w:before="300"/>
      </w:pPr>
      <w:r>
        <w:rPr>
          <w:rFonts w:ascii="Arial" w:cs="Arial" w:eastAsia="Arial" w:hAnsi="Arial"/>
          <w:b/>
          <w:bCs/>
          <w:color w:val="E85A1B"/>
          <w:sz w:val="28"/>
          <w:szCs w:val="28"/>
        </w:rPr>
        <w:t xml:space="preserve">1. One place for every fact</w:t>
      </w:r>
    </w:p>
    <w:p>
      <w:pPr>
        <w:spacing w:after="120" w:before="0"/>
        <w:jc w:val="left"/>
      </w:pPr>
      <w:r>
        <w:rPr>
          <w:rFonts w:ascii="Arial" w:cs="Arial" w:eastAsia="Arial" w:hAnsi="Arial"/>
          <w:sz w:val="22"/>
          <w:szCs w:val="22"/>
        </w:rPr>
        <w:t xml:space="preserve">Data has one system of record. If a fact lives in multiple places, they will diverge. Examples:</w:t>
      </w:r>
    </w:p>
    <w:p>
      <w:pPr>
        <w:pStyle w:val="ListParagraph"/>
        <w:numPr>
          <w:ilvl w:val="0"/>
          <w:numId w:val="2"/>
        </w:numPr>
        <w:spacing w:after="80"/>
      </w:pPr>
      <w:r>
        <w:rPr>
          <w:rFonts w:ascii="Arial" w:cs="Arial" w:eastAsia="Arial" w:hAnsi="Arial"/>
          <w:sz w:val="22"/>
          <w:szCs w:val="22"/>
        </w:rPr>
        <w:t xml:space="preserve">Project cost actuals live in the actuals table. Aggregations (sum per budget line, sum per project) are cached for speed but refresh from actuals.</w:t>
      </w:r>
    </w:p>
    <w:p>
      <w:pPr>
        <w:pStyle w:val="ListParagraph"/>
        <w:numPr>
          <w:ilvl w:val="0"/>
          <w:numId w:val="2"/>
        </w:numPr>
        <w:spacing w:after="80"/>
      </w:pPr>
      <w:r>
        <w:rPr>
          <w:rFonts w:ascii="Arial" w:cs="Arial" w:eastAsia="Arial" w:hAnsi="Arial"/>
          <w:sz w:val="22"/>
          <w:szCs w:val="22"/>
        </w:rPr>
        <w:t xml:space="preserve">The ledger (bills, invoices, bank lines) lives in Xero. The platform mirrors, tags, and reports — it does not replace.</w:t>
      </w:r>
    </w:p>
    <w:p>
      <w:pPr>
        <w:pStyle w:val="ListParagraph"/>
        <w:numPr>
          <w:ilvl w:val="0"/>
          <w:numId w:val="2"/>
        </w:numPr>
        <w:spacing w:after="80"/>
      </w:pPr>
      <w:r>
        <w:rPr>
          <w:rFonts w:ascii="Arial" w:cs="Arial" w:eastAsia="Arial" w:hAnsi="Arial"/>
          <w:sz w:val="22"/>
          <w:szCs w:val="22"/>
        </w:rPr>
        <w:t xml:space="preserve">Programme tasks are the single source of truth for dates. Budget-line percentage-complete can optionally derive from linked programme tasks rather than be re-entered.</w:t>
      </w:r>
    </w:p>
    <w:p>
      <w:pPr>
        <w:pStyle w:val="Heading2"/>
        <w:spacing w:after="150" w:before="300"/>
      </w:pPr>
      <w:r>
        <w:rPr>
          <w:rFonts w:ascii="Arial" w:cs="Arial" w:eastAsia="Arial" w:hAnsi="Arial"/>
          <w:b/>
          <w:bCs/>
          <w:color w:val="E85A1B"/>
          <w:sz w:val="28"/>
          <w:szCs w:val="28"/>
        </w:rPr>
        <w:t xml:space="preserve">2. Tag once, report everywhere</w:t>
      </w:r>
    </w:p>
    <w:p>
      <w:pPr>
        <w:spacing w:after="120" w:before="0"/>
        <w:jc w:val="left"/>
      </w:pPr>
      <w:r>
        <w:rPr>
          <w:rFonts w:ascii="Arial" w:cs="Arial" w:eastAsia="Arial" w:hAnsi="Arial"/>
          <w:sz w:val="22"/>
          <w:szCs w:val="22"/>
        </w:rPr>
        <w:t xml:space="preserve">Every cost line and income line carries project + cost_code + entity + VAT treatment. These four tags let the same record roll up into (a) project P&amp;L, (b) group P&amp;L, (c) cash flow by period, (d) VAT return, (e) CIS300, (f) variance report, without any data being re-entered. Xero tracking categories mirror this so the platform and Xero agree without manual reconciliation.</w:t>
      </w:r>
    </w:p>
    <w:p>
      <w:pPr>
        <w:pStyle w:val="Heading2"/>
        <w:spacing w:after="150" w:before="300"/>
      </w:pPr>
      <w:r>
        <w:rPr>
          <w:rFonts w:ascii="Arial" w:cs="Arial" w:eastAsia="Arial" w:hAnsi="Arial"/>
          <w:b/>
          <w:bCs/>
          <w:color w:val="E85A1B"/>
          <w:sz w:val="28"/>
          <w:szCs w:val="28"/>
        </w:rPr>
        <w:t xml:space="preserve">3. Immutable history, editable state</w:t>
      </w:r>
    </w:p>
    <w:p>
      <w:pPr>
        <w:spacing w:after="120" w:before="0"/>
        <w:jc w:val="left"/>
      </w:pPr>
      <w:r>
        <w:rPr>
          <w:rFonts w:ascii="Arial" w:cs="Arial" w:eastAsia="Arial" w:hAnsi="Arial"/>
          <w:sz w:val="22"/>
          <w:szCs w:val="22"/>
        </w:rPr>
        <w:t xml:space="preserve">Financial records and decisions are immutable once posted. Corrections happen via credits, journals or new versions, not by overwriting. This protects the audit trail and makes the business defensible under HMRC, lender, or investor scrutiny.</w:t>
      </w:r>
    </w:p>
    <w:p>
      <w:pPr>
        <w:spacing w:after="120" w:before="0"/>
        <w:jc w:val="left"/>
      </w:pPr>
      <w:r>
        <w:rPr>
          <w:rFonts w:ascii="Arial" w:cs="Arial" w:eastAsia="Arial" w:hAnsi="Arial"/>
          <w:sz w:val="22"/>
          <w:szCs w:val="22"/>
        </w:rPr>
        <w:t xml:space="preserve">Specifically:</w:t>
      </w:r>
    </w:p>
    <w:p>
      <w:pPr>
        <w:pStyle w:val="ListParagraph"/>
        <w:numPr>
          <w:ilvl w:val="0"/>
          <w:numId w:val="2"/>
        </w:numPr>
        <w:spacing w:after="80"/>
      </w:pPr>
      <w:r>
        <w:rPr>
          <w:rFonts w:ascii="Arial" w:cs="Arial" w:eastAsia="Arial" w:hAnsi="Arial"/>
          <w:sz w:val="22"/>
          <w:szCs w:val="22"/>
        </w:rPr>
        <w:t xml:space="preserve">Posted actuals are core-immutable. Corrections via credit notes or journals with reason.</w:t>
      </w:r>
    </w:p>
    <w:p>
      <w:pPr>
        <w:pStyle w:val="ListParagraph"/>
        <w:numPr>
          <w:ilvl w:val="0"/>
          <w:numId w:val="2"/>
        </w:numPr>
        <w:spacing w:after="80"/>
      </w:pPr>
      <w:r>
        <w:rPr>
          <w:rFonts w:ascii="Arial" w:cs="Arial" w:eastAsia="Arial" w:hAnsi="Arial"/>
          <w:sz w:val="22"/>
          <w:szCs w:val="22"/>
        </w:rPr>
        <w:t xml:space="preserve">Appraisals are versioned — approval locks the version; new appraisal = new version.</w:t>
      </w:r>
    </w:p>
    <w:p>
      <w:pPr>
        <w:pStyle w:val="ListParagraph"/>
        <w:numPr>
          <w:ilvl w:val="0"/>
          <w:numId w:val="2"/>
        </w:numPr>
        <w:spacing w:after="80"/>
      </w:pPr>
      <w:r>
        <w:rPr>
          <w:rFonts w:ascii="Arial" w:cs="Arial" w:eastAsia="Arial" w:hAnsi="Arial"/>
          <w:sz w:val="22"/>
          <w:szCs w:val="22"/>
        </w:rPr>
        <w:t xml:space="preserve">Budgets lock at baseline. Changes flow through the change control workflow with approval thresholds.</w:t>
      </w:r>
    </w:p>
    <w:p>
      <w:pPr>
        <w:pStyle w:val="ListParagraph"/>
        <w:numPr>
          <w:ilvl w:val="0"/>
          <w:numId w:val="2"/>
        </w:numPr>
        <w:spacing w:after="80"/>
      </w:pPr>
      <w:r>
        <w:rPr>
          <w:rFonts w:ascii="Arial" w:cs="Arial" w:eastAsia="Arial" w:hAnsi="Arial"/>
          <w:sz w:val="22"/>
          <w:szCs w:val="22"/>
        </w:rPr>
        <w:t xml:space="preserve">Documents version on every edit. Old versions remain as Superseded.</w:t>
      </w:r>
    </w:p>
    <w:p>
      <w:pPr>
        <w:pStyle w:val="ListParagraph"/>
        <w:numPr>
          <w:ilvl w:val="0"/>
          <w:numId w:val="2"/>
        </w:numPr>
        <w:spacing w:after="80"/>
      </w:pPr>
      <w:r>
        <w:rPr>
          <w:rFonts w:ascii="Arial" w:cs="Arial" w:eastAsia="Arial" w:hAnsi="Arial"/>
          <w:sz w:val="22"/>
          <w:szCs w:val="22"/>
        </w:rPr>
        <w:t xml:space="preserve">Audit_log is append-only, enforced by DB trigger. No updates, no deletes.</w:t>
      </w:r>
    </w:p>
    <w:p>
      <w:pPr>
        <w:pStyle w:val="Heading2"/>
        <w:spacing w:after="150" w:before="300"/>
      </w:pPr>
      <w:r>
        <w:rPr>
          <w:rFonts w:ascii="Arial" w:cs="Arial" w:eastAsia="Arial" w:hAnsi="Arial"/>
          <w:b/>
          <w:bCs/>
          <w:color w:val="E85A1B"/>
          <w:sz w:val="28"/>
          <w:szCs w:val="28"/>
        </w:rPr>
        <w:t xml:space="preserve">4. Everything auditable</w:t>
      </w:r>
    </w:p>
    <w:p>
      <w:pPr>
        <w:spacing w:after="120" w:before="0"/>
        <w:jc w:val="left"/>
      </w:pPr>
      <w:r>
        <w:rPr>
          <w:rFonts w:ascii="Arial" w:cs="Arial" w:eastAsia="Arial" w:hAnsi="Arial"/>
          <w:sz w:val="22"/>
          <w:szCs w:val="22"/>
        </w:rPr>
        <w:t xml:space="preserve">Every significant write creates an audit_log entry: actor, timestamp, action, resource, changes, IP, session. This is the forensic spine of the system — used for regulatory compliance, lender due diligence, and internal dispute resolution. Sensitive fields (passwords, tokens, MFA secrets) are redacted from the log.</w:t>
      </w:r>
    </w:p>
    <w:p>
      <w:pPr>
        <w:spacing w:after="120" w:before="0"/>
        <w:jc w:val="left"/>
      </w:pPr>
      <w:r>
        <w:rPr>
          <w:rFonts w:ascii="Arial" w:cs="Arial" w:eastAsia="Arial" w:hAnsi="Arial"/>
          <w:sz w:val="22"/>
          <w:szCs w:val="22"/>
        </w:rPr>
        <w:t xml:space="preserve">Separation of duty is soft-enforced: where the creator of a record is also the approver, the system shows a confirmation modal and flags the approval with a self_approval flag in audit metadata. This leaves policy to the business rather than blocking necessary approvals in a small team.</w:t>
      </w:r>
    </w:p>
    <w:p>
      <w:pPr>
        <w:pStyle w:val="Heading2"/>
        <w:spacing w:after="150" w:before="300"/>
      </w:pPr>
      <w:r>
        <w:rPr>
          <w:rFonts w:ascii="Arial" w:cs="Arial" w:eastAsia="Arial" w:hAnsi="Arial"/>
          <w:b/>
          <w:bCs/>
          <w:color w:val="E85A1B"/>
          <w:sz w:val="28"/>
          <w:szCs w:val="28"/>
        </w:rPr>
        <w:t xml:space="preserve">5. Performance through caching, integrity through source of truth</w:t>
      </w:r>
    </w:p>
    <w:p>
      <w:pPr>
        <w:spacing w:after="120" w:before="0"/>
        <w:jc w:val="left"/>
      </w:pPr>
      <w:r>
        <w:rPr>
          <w:rFonts w:ascii="Arial" w:cs="Arial" w:eastAsia="Arial" w:hAnsi="Arial"/>
          <w:sz w:val="22"/>
          <w:szCs w:val="22"/>
        </w:rPr>
        <w:t xml:space="preserve">Dashboards must be fast. Financial integrity must be absolute. These goals are met by a deliberate split:</w:t>
      </w:r>
    </w:p>
    <w:p>
      <w:pPr>
        <w:pStyle w:val="ListParagraph"/>
        <w:numPr>
          <w:ilvl w:val="0"/>
          <w:numId w:val="2"/>
        </w:numPr>
        <w:spacing w:after="80"/>
      </w:pPr>
      <w:r>
        <w:rPr>
          <w:rFonts w:ascii="Arial" w:cs="Arial" w:eastAsia="Arial" w:hAnsi="Arial"/>
          <w:sz w:val="22"/>
          <w:szCs w:val="22"/>
        </w:rPr>
        <w:t xml:space="preserve">Source-of-truth records (actuals, budget lines, programme tasks) carry the authoritative numbers.</w:t>
      </w:r>
    </w:p>
    <w:p>
      <w:pPr>
        <w:pStyle w:val="ListParagraph"/>
        <w:numPr>
          <w:ilvl w:val="0"/>
          <w:numId w:val="2"/>
        </w:numPr>
        <w:spacing w:after="80"/>
      </w:pPr>
      <w:r>
        <w:rPr>
          <w:rFonts w:ascii="Arial" w:cs="Arial" w:eastAsia="Arial" w:hAnsi="Arial"/>
          <w:sz w:val="22"/>
          <w:szCs w:val="22"/>
        </w:rPr>
        <w:t xml:space="preserve">Cached rollups (project.gdv_actual, budget.total_actuals, cash_flow_summaries) are computed and stored for fast dashboard reads.</w:t>
      </w:r>
    </w:p>
    <w:p>
      <w:pPr>
        <w:pStyle w:val="ListParagraph"/>
        <w:numPr>
          <w:ilvl w:val="0"/>
          <w:numId w:val="2"/>
        </w:numPr>
        <w:spacing w:after="80"/>
      </w:pPr>
      <w:r>
        <w:rPr>
          <w:rFonts w:ascii="Arial" w:cs="Arial" w:eastAsia="Arial" w:hAnsi="Arial"/>
          <w:sz w:val="22"/>
          <w:szCs w:val="22"/>
        </w:rPr>
        <w:t xml:space="preserve">Caches refresh on source writes, with background catch-up for resilience. The cached values are never the target of edits — edits go to the source record.</w:t>
      </w:r>
    </w:p>
    <w:p>
      <w:pPr>
        <w:pStyle w:val="Heading2"/>
        <w:spacing w:after="150" w:before="300"/>
      </w:pPr>
      <w:r>
        <w:rPr>
          <w:rFonts w:ascii="Arial" w:cs="Arial" w:eastAsia="Arial" w:hAnsi="Arial"/>
          <w:b/>
          <w:bCs/>
          <w:color w:val="E85A1B"/>
          <w:sz w:val="28"/>
          <w:szCs w:val="28"/>
        </w:rPr>
        <w:t xml:space="preserve">6. Multi-tenancy native</w:t>
      </w:r>
    </w:p>
    <w:p>
      <w:pPr>
        <w:spacing w:after="120" w:before="0"/>
        <w:jc w:val="left"/>
      </w:pPr>
      <w:r>
        <w:rPr>
          <w:rFonts w:ascii="Arial" w:cs="Arial" w:eastAsia="Arial" w:hAnsi="Arial"/>
          <w:sz w:val="22"/>
          <w:szCs w:val="22"/>
        </w:rPr>
        <w:t xml:space="preserve">Every financial, programme and document record is scoped to an entity (and usually a project). The platform is architected to serve the SY Homes group; if needed, it can scale to serve multiple unrelated property businesses in future by extending the entity hierarchy. Role-based access control is entity-aware — a user can have director-level access to one entity and none to another.</w:t>
      </w:r>
    </w:p>
    <w:p>
      <w:pPr>
        <w:pStyle w:val="Heading2"/>
        <w:spacing w:after="150" w:before="300"/>
      </w:pPr>
      <w:r>
        <w:rPr>
          <w:rFonts w:ascii="Arial" w:cs="Arial" w:eastAsia="Arial" w:hAnsi="Arial"/>
          <w:b/>
          <w:bCs/>
          <w:color w:val="E85A1B"/>
          <w:sz w:val="28"/>
          <w:szCs w:val="28"/>
        </w:rPr>
        <w:t xml:space="preserve">7. Fail visibly, recover cleanly</w:t>
      </w:r>
    </w:p>
    <w:p>
      <w:pPr>
        <w:spacing w:after="120" w:before="0"/>
        <w:jc w:val="left"/>
      </w:pPr>
      <w:r>
        <w:rPr>
          <w:rFonts w:ascii="Arial" w:cs="Arial" w:eastAsia="Arial" w:hAnsi="Arial"/>
          <w:sz w:val="22"/>
          <w:szCs w:val="22"/>
        </w:rPr>
        <w:t xml:space="preserve">Integration failures (Xero auth expired, webhook lost, bill un-tagged) are surfaced, not hidden. The xero_sync_queue drives everything with retry, dead-letter, and escalation. No data is silently dropped. No error is silently logged and forgotten. Every error has a designated owner and resolution path.</w:t>
      </w:r>
    </w:p>
    <w:p>
      <w:r>
        <w:br w:type="page"/>
      </w:r>
    </w:p>
    <w:p>
      <w:pPr>
        <w:pStyle w:val="Heading1"/>
        <w:spacing w:after="200" w:before="400"/>
      </w:pPr>
      <w:r>
        <w:rPr>
          <w:rFonts w:ascii="Arial" w:cs="Arial" w:eastAsia="Arial" w:hAnsi="Arial"/>
          <w:b/>
          <w:bCs/>
          <w:color w:val="1F2D3D"/>
          <w:sz w:val="36"/>
          <w:szCs w:val="36"/>
        </w:rPr>
        <w:t xml:space="preserve">Foundation Module</w:t>
      </w:r>
    </w:p>
    <w:p>
      <w:pPr>
        <w:spacing w:after="120" w:before="0"/>
        <w:jc w:val="left"/>
      </w:pPr>
      <w:r>
        <w:rPr>
          <w:rFonts w:ascii="Arial" w:cs="Arial" w:eastAsia="Arial" w:hAnsi="Arial"/>
          <w:sz w:val="22"/>
          <w:szCs w:val="22"/>
        </w:rPr>
        <w:t xml:space="preserve">The foundation module holds the records that everything else depends on: entities, projects, users, permissions, audit. Get this wrong and nothing above it can work reliably.</w:t>
      </w:r>
    </w:p>
    <w:p>
      <w:pPr>
        <w:pStyle w:val="Heading2"/>
        <w:spacing w:after="150" w:before="300"/>
      </w:pPr>
      <w:r>
        <w:rPr>
          <w:rFonts w:ascii="Arial" w:cs="Arial" w:eastAsia="Arial" w:hAnsi="Arial"/>
          <w:b/>
          <w:bCs/>
          <w:color w:val="E85A1B"/>
          <w:sz w:val="28"/>
          <w:szCs w:val="28"/>
        </w:rPr>
        <w:t xml:space="preserve">Entities</w:t>
      </w:r>
    </w:p>
    <w:p>
      <w:pPr>
        <w:spacing w:after="120" w:before="0"/>
        <w:jc w:val="left"/>
      </w:pPr>
      <w:r>
        <w:rPr>
          <w:rFonts w:ascii="Arial" w:cs="Arial" w:eastAsia="Arial" w:hAnsi="Arial"/>
          <w:sz w:val="22"/>
          <w:szCs w:val="22"/>
        </w:rPr>
        <w:t xml:space="preserve">Entities are the legal companies in the group. Each entity has its own Companies House record, VAT registration, CIS status, insurance policies, and Xero organisation. Every financial record — bill, invoice, actual, commitment, valuation — is scoped to an entity.</w:t>
      </w:r>
    </w:p>
    <w:p>
      <w:pPr>
        <w:spacing w:after="120" w:before="0"/>
        <w:jc w:val="left"/>
      </w:pPr>
      <w:r>
        <w:rPr>
          <w:rFonts w:ascii="Arial" w:cs="Arial" w:eastAsia="Arial" w:hAnsi="Arial"/>
          <w:sz w:val="22"/>
          <w:szCs w:val="22"/>
        </w:rPr>
        <w:t xml:space="preserve">The group hierarchy is expressed via parent_entity_id (self-reference). SY Homes Ltd is the parent; SPVs and ConstructionCo sit under it. This hierarchy drives the group consolidation view — rolling up entity-level P&amp;Ls into a group P&amp;L while netting off intercompany transactions.</w:t>
      </w:r>
    </w:p>
    <w:p>
      <w:pPr>
        <w:spacing w:after="120" w:before="0"/>
        <w:jc w:val="left"/>
      </w:pPr>
      <w:r>
        <w:rPr>
          <w:rFonts w:ascii="Arial" w:cs="Arial" w:eastAsia="Arial" w:hAnsi="Arial"/>
          <w:sz w:val="22"/>
          <w:szCs w:val="22"/>
        </w:rPr>
        <w:t xml:space="preserve">Each entity carries its VAT scheme (Standard Quarterly / Monthly / Cash / Flat Rate / Not Registered) and VAT return period (Jan-Apr-Jul-Oct etc.). The cash flow module uses these to schedule VAT payments and reclaims correctly into the right month. Each entity's insurance expiries (EL, PL, PI, CAR) drive automatic alerts at 60/30/14/7 days — letting lapses happen on a site is a category-one operational risk.</w:t>
      </w:r>
    </w:p>
    <w:p>
      <w:pPr>
        <w:pStyle w:val="Heading2"/>
        <w:spacing w:after="150" w:before="300"/>
      </w:pPr>
      <w:r>
        <w:rPr>
          <w:rFonts w:ascii="Arial" w:cs="Arial" w:eastAsia="Arial" w:hAnsi="Arial"/>
          <w:b/>
          <w:bCs/>
          <w:color w:val="E85A1B"/>
          <w:sz w:val="28"/>
          <w:szCs w:val="28"/>
        </w:rPr>
        <w:t xml:space="preserve">Projects</w:t>
      </w:r>
    </w:p>
    <w:p>
      <w:pPr>
        <w:spacing w:after="120" w:before="0"/>
        <w:jc w:val="left"/>
      </w:pPr>
      <w:r>
        <w:rPr>
          <w:rFonts w:ascii="Arial" w:cs="Arial" w:eastAsia="Arial" w:hAnsi="Arial"/>
          <w:sz w:val="22"/>
          <w:szCs w:val="22"/>
        </w:rPr>
        <w:t xml:space="preserve">Projects are the central record. Everything hangs off a project: appraisals, budgets, programmes, documents, plots, sales, subcontracts, valuations. A project has:</w:t>
      </w:r>
    </w:p>
    <w:p>
      <w:pPr>
        <w:pStyle w:val="ListParagraph"/>
        <w:numPr>
          <w:ilvl w:val="0"/>
          <w:numId w:val="2"/>
        </w:numPr>
        <w:spacing w:after="80"/>
      </w:pPr>
      <w:r>
        <w:rPr>
          <w:rFonts w:ascii="Arial" w:cs="Arial" w:eastAsia="Arial" w:hAnsi="Arial"/>
          <w:sz w:val="22"/>
          <w:szCs w:val="22"/>
        </w:rPr>
        <w:t xml:space="preserve">A project_code — auto-generated on create (e.g. GAR-001), immutable after. Used in Xero tracking, document numbers, URLs. If it changes, history breaks.</w:t>
      </w:r>
    </w:p>
    <w:p>
      <w:pPr>
        <w:pStyle w:val="ListParagraph"/>
        <w:numPr>
          <w:ilvl w:val="0"/>
          <w:numId w:val="2"/>
        </w:numPr>
        <w:spacing w:after="80"/>
      </w:pPr>
      <w:r>
        <w:rPr>
          <w:rFonts w:ascii="Arial" w:cs="Arial" w:eastAsia="Arial" w:hAnsi="Arial"/>
          <w:sz w:val="22"/>
          <w:szCs w:val="22"/>
        </w:rPr>
        <w:t xml:space="preserve">A project_type (Pure_Dev / Dev_Build / DB_Contract / JV / Main_Contract) that drives conditional behaviour throughout — which cost codes are enabled, which programme templates apply, which compliance registers seed, which appraisal template loads.</w:t>
      </w:r>
    </w:p>
    <w:p>
      <w:pPr>
        <w:pStyle w:val="ListParagraph"/>
        <w:numPr>
          <w:ilvl w:val="0"/>
          <w:numId w:val="2"/>
        </w:numPr>
        <w:spacing w:after="80"/>
      </w:pPr>
      <w:r>
        <w:rPr>
          <w:rFonts w:ascii="Arial" w:cs="Arial" w:eastAsia="Arial" w:hAnsi="Arial"/>
          <w:sz w:val="22"/>
          <w:szCs w:val="22"/>
        </w:rPr>
        <w:t xml:space="preserve">A primary_entity_id (the SPV holding the land / contract) and optional construction_entity_id (the ConstructionCo doing the build). This split lets intercompany flows be modelled accurately.</w:t>
      </w:r>
    </w:p>
    <w:p>
      <w:pPr>
        <w:pStyle w:val="ListParagraph"/>
        <w:numPr>
          <w:ilvl w:val="0"/>
          <w:numId w:val="2"/>
        </w:numPr>
        <w:spacing w:after="80"/>
      </w:pPr>
      <w:r>
        <w:rPr>
          <w:rFonts w:ascii="Arial" w:cs="Arial" w:eastAsia="Arial" w:hAnsi="Arial"/>
          <w:sz w:val="22"/>
          <w:szCs w:val="22"/>
        </w:rPr>
        <w:t xml:space="preserve">A land_ownership_method — Direct Purchase, Option, Conditional Contract, JV Contribution, Existing Holding. Drives the SDLT treatment and funding structure.</w:t>
      </w:r>
    </w:p>
    <w:p>
      <w:pPr>
        <w:pStyle w:val="ListParagraph"/>
        <w:numPr>
          <w:ilvl w:val="0"/>
          <w:numId w:val="2"/>
        </w:numPr>
        <w:spacing w:after="80"/>
      </w:pPr>
      <w:r>
        <w:rPr>
          <w:rFonts w:ascii="Arial" w:cs="Arial" w:eastAsia="Arial" w:hAnsi="Arial"/>
          <w:sz w:val="22"/>
          <w:szCs w:val="22"/>
        </w:rPr>
        <w:t xml:space="preserve">A planning_type and planning_expiry_date — with the implementation clock auto-calculated (3 years from Full; 2 years from Reserved Matters). Alerts trigger at 12/6/3/1 months to prevent planning lapses.</w:t>
      </w:r>
    </w:p>
    <w:p>
      <w:pPr>
        <w:pStyle w:val="ListParagraph"/>
        <w:numPr>
          <w:ilvl w:val="0"/>
          <w:numId w:val="2"/>
        </w:numPr>
        <w:spacing w:after="80"/>
      </w:pPr>
      <w:r>
        <w:rPr>
          <w:rFonts w:ascii="Arial" w:cs="Arial" w:eastAsia="Arial" w:hAnsi="Arial"/>
          <w:sz w:val="22"/>
          <w:szCs w:val="22"/>
        </w:rPr>
        <w:t xml:space="preserve">A current_stage (Lead / Appraisal / Deal Pipeline / Planning / Pre-Con / Construction / Sales / Post-Completion / Closed / Dead) driving what shows on dashboards and what actions are available.</w:t>
      </w:r>
    </w:p>
    <w:p>
      <w:pPr>
        <w:pStyle w:val="ListParagraph"/>
        <w:numPr>
          <w:ilvl w:val="0"/>
          <w:numId w:val="2"/>
        </w:numPr>
        <w:spacing w:after="80"/>
      </w:pPr>
      <w:r>
        <w:rPr>
          <w:rFonts w:ascii="Arial" w:cs="Arial" w:eastAsia="Arial" w:hAnsi="Arial"/>
          <w:sz w:val="22"/>
          <w:szCs w:val="22"/>
        </w:rPr>
        <w:t xml:space="preserve">Cached actual financials (gdv_actual, build_cost_actual, all_in_cost_actual, profit_actual, margin_actual_pct) refreshed on source changes for fast dashboard reads.</w:t>
      </w:r>
    </w:p>
    <w:p>
      <w:pPr>
        <w:pStyle w:val="Heading2"/>
        <w:spacing w:after="150" w:before="300"/>
      </w:pPr>
      <w:r>
        <w:rPr>
          <w:rFonts w:ascii="Arial" w:cs="Arial" w:eastAsia="Arial" w:hAnsi="Arial"/>
          <w:b/>
          <w:bCs/>
          <w:color w:val="E85A1B"/>
          <w:sz w:val="28"/>
          <w:szCs w:val="28"/>
        </w:rPr>
        <w:t xml:space="preserve">Users and permissions</w:t>
      </w:r>
    </w:p>
    <w:p>
      <w:pPr>
        <w:spacing w:after="120" w:before="0"/>
        <w:jc w:val="left"/>
      </w:pPr>
      <w:r>
        <w:rPr>
          <w:rFonts w:ascii="Arial" w:cs="Arial" w:eastAsia="Arial" w:hAnsi="Arial"/>
          <w:sz w:val="22"/>
          <w:szCs w:val="22"/>
        </w:rPr>
        <w:t xml:space="preserve">The permission model is three-dimensional: who (user), what (permission via role), and where (entity and project scope). A user can have multiple role assignments (user_roles), each with its own entity_scope and project_scope. Their effective permissions are the union of all active assignments.</w:t>
      </w:r>
    </w:p>
    <w:p>
      <w:pPr>
        <w:spacing w:after="120" w:before="0"/>
        <w:jc w:val="left"/>
      </w:pPr>
      <w:r>
        <w:rPr>
          <w:rFonts w:ascii="Arial" w:cs="Arial" w:eastAsia="Arial" w:hAnsi="Arial"/>
          <w:sz w:val="22"/>
          <w:szCs w:val="22"/>
        </w:rPr>
        <w:t xml:space="preserve">Ten roles are seeded: super_admin, director, project_manager, finance, site_manager, sales, read_only, investor_read_only, subcontractor_portal, consultant_portal. The role-permission matrix maps approximately 90 permissions to these roles — these can be refined per-assignment via view_overrides (which can only narrow permissions, never widen them).</w:t>
      </w:r>
    </w:p>
    <w:p>
      <w:pPr>
        <w:spacing w:after="120" w:before="0"/>
        <w:jc w:val="left"/>
      </w:pPr>
      <w:r>
        <w:rPr>
          <w:rFonts w:ascii="Arial" w:cs="Arial" w:eastAsia="Arial" w:hAnsi="Arial"/>
          <w:sz w:val="22"/>
          <w:szCs w:val="22"/>
        </w:rPr>
        <w:t xml:space="preserve">Separation of duty is soft-enforced. If the same user submits and approves (a budget change, a valuation, a document), the system presents a confirmation modal and writes self_approval=true into the audit metadata. Small teams need this flexibility; the business gets a defensible record.</w:t>
      </w:r>
    </w:p>
    <w:p>
      <w:pPr>
        <w:spacing w:after="120" w:before="0"/>
        <w:jc w:val="left"/>
      </w:pPr>
      <w:r>
        <w:rPr>
          <w:rFonts w:ascii="Arial" w:cs="Arial" w:eastAsia="Arial" w:hAnsi="Arial"/>
          <w:sz w:val="22"/>
          <w:szCs w:val="22"/>
        </w:rPr>
        <w:t xml:space="preserve">MFA is required (enforced in the app) for super_admin, director, and finance roles. Other roles can enable it voluntarily. Future extension: MFA enforced for all users at a company policy level (tracked in Future Tasks).</w:t>
      </w:r>
    </w:p>
    <w:p>
      <w:pPr>
        <w:pStyle w:val="Heading2"/>
        <w:spacing w:after="150" w:before="300"/>
      </w:pPr>
      <w:r>
        <w:rPr>
          <w:rFonts w:ascii="Arial" w:cs="Arial" w:eastAsia="Arial" w:hAnsi="Arial"/>
          <w:b/>
          <w:bCs/>
          <w:color w:val="E85A1B"/>
          <w:sz w:val="28"/>
          <w:szCs w:val="28"/>
        </w:rPr>
        <w:t xml:space="preserve">Audit log</w:t>
      </w:r>
    </w:p>
    <w:p>
      <w:pPr>
        <w:spacing w:after="120" w:before="0"/>
        <w:jc w:val="left"/>
      </w:pPr>
      <w:r>
        <w:rPr>
          <w:rFonts w:ascii="Arial" w:cs="Arial" w:eastAsia="Arial" w:hAnsi="Arial"/>
          <w:sz w:val="22"/>
          <w:szCs w:val="22"/>
        </w:rPr>
        <w:t xml:space="preserve">Every significant write to the system creates an audit_log row: actor_user_id, impersonator_user_id (if super-admin is impersonating), action, resource_type, resource_id, field_changes (JSONB showing old/new values with sensitive fields redacted), entity_id and project_id (for filtering), IP address, user agent, session ID, timestamp. Enforced as append-only via database trigger — UPDATE and DELETE are blocked.</w:t>
      </w:r>
    </w:p>
    <w:p>
      <w:pPr>
        <w:spacing w:after="120" w:before="0"/>
        <w:jc w:val="left"/>
      </w:pPr>
      <w:r>
        <w:rPr>
          <w:rFonts w:ascii="Arial" w:cs="Arial" w:eastAsia="Arial" w:hAnsi="Arial"/>
          <w:sz w:val="22"/>
          <w:szCs w:val="22"/>
        </w:rPr>
        <w:t xml:space="preserve">Retention: indefinite for financial and contractual changes; 7 years minimum for everything else. This is a non-negotiable compliance requirement — HMRC records, lender due diligence, and any litigation rely on it.</w:t>
      </w:r>
    </w:p>
    <w:p>
      <w:r>
        <w:br w:type="page"/>
      </w:r>
    </w:p>
    <w:p>
      <w:pPr>
        <w:pStyle w:val="Heading1"/>
        <w:spacing w:after="200" w:before="400"/>
      </w:pPr>
      <w:r>
        <w:rPr>
          <w:rFonts w:ascii="Arial" w:cs="Arial" w:eastAsia="Arial" w:hAnsi="Arial"/>
          <w:b/>
          <w:bCs/>
          <w:color w:val="1F2D3D"/>
          <w:sz w:val="36"/>
          <w:szCs w:val="36"/>
        </w:rPr>
        <w:t xml:space="preserve">Cost Codes</w:t>
      </w:r>
    </w:p>
    <w:p>
      <w:pPr>
        <w:spacing w:after="120" w:before="0"/>
        <w:jc w:val="left"/>
      </w:pPr>
      <w:r>
        <w:rPr>
          <w:rFonts w:ascii="Arial" w:cs="Arial" w:eastAsia="Arial" w:hAnsi="Arial"/>
          <w:sz w:val="22"/>
          <w:szCs w:val="22"/>
        </w:rPr>
        <w:t xml:space="preserve">Cost codes are the language the platform uses to classify every pound of cost and income. The structure is deliberately designed to work across the full project lifecycle (appraisal → budget → actuals → reporting) and across all five project types.</w:t>
      </w:r>
    </w:p>
    <w:p>
      <w:pPr>
        <w:pStyle w:val="Heading2"/>
        <w:spacing w:after="150" w:before="300"/>
      </w:pPr>
      <w:r>
        <w:rPr>
          <w:rFonts w:ascii="Arial" w:cs="Arial" w:eastAsia="Arial" w:hAnsi="Arial"/>
          <w:b/>
          <w:bCs/>
          <w:color w:val="E85A1B"/>
          <w:sz w:val="28"/>
          <w:szCs w:val="28"/>
        </w:rPr>
        <w:t xml:space="preserve">Structure</w:t>
      </w:r>
    </w:p>
    <w:p>
      <w:pPr>
        <w:spacing w:after="120" w:before="0"/>
        <w:jc w:val="left"/>
      </w:pPr>
      <w:r>
        <w:rPr>
          <w:rFonts w:ascii="Arial" w:cs="Arial" w:eastAsia="Arial" w:hAnsi="Arial"/>
          <w:sz w:val="22"/>
          <w:szCs w:val="22"/>
        </w:rPr>
        <w:t xml:space="preserve">Three levels:</w:t>
      </w:r>
    </w:p>
    <w:p>
      <w:pPr>
        <w:pStyle w:val="ListParagraph"/>
        <w:numPr>
          <w:ilvl w:val="0"/>
          <w:numId w:val="2"/>
        </w:numPr>
        <w:spacing w:after="80"/>
      </w:pPr>
      <w:r>
        <w:rPr>
          <w:rFonts w:ascii="Arial" w:cs="Arial" w:eastAsia="Arial" w:hAnsi="Arial"/>
          <w:sz w:val="22"/>
          <w:szCs w:val="22"/>
        </w:rPr>
        <w:t xml:space="preserve">Cost code sections (11 total) — top-level grouping for reporting: acquisition, planning, design, construction, preliminaries, contractor_oh, sales_marketing, finance, company_overheads, accounting, contingency. Each section has a default P&amp;L category (COS / Overhead / Finance / Tax).</w:t>
      </w:r>
    </w:p>
    <w:p>
      <w:pPr>
        <w:pStyle w:val="ListParagraph"/>
        <w:numPr>
          <w:ilvl w:val="0"/>
          <w:numId w:val="2"/>
        </w:numPr>
        <w:spacing w:after="80"/>
      </w:pPr>
      <w:r>
        <w:rPr>
          <w:rFonts w:ascii="Arial" w:cs="Arial" w:eastAsia="Arial" w:hAnsi="Arial"/>
          <w:sz w:val="22"/>
          <w:szCs w:val="22"/>
        </w:rPr>
        <w:t xml:space="preserve">Cost codes (approximately 120) — 3-letter prefix + 2-digit sequence, e.g. SUB-03 for Piling. 19 prefixes: ACQ, PLN, DES, FAC, SUB, SUP, INT, FIT, SER, PRE, EXB, EXT, PRL, MCP, SAL, FIN, OHD, ACC, CTG. Each code carries its default entity (Parent / SPV / ConstructionCo / Context_Dependent), VAT treatment, CIS applicability, retention applicability, default Xero nominal.</w:t>
      </w:r>
    </w:p>
    <w:p>
      <w:pPr>
        <w:pStyle w:val="ListParagraph"/>
        <w:numPr>
          <w:ilvl w:val="0"/>
          <w:numId w:val="2"/>
        </w:numPr>
        <w:spacing w:after="80"/>
      </w:pPr>
      <w:r>
        <w:rPr>
          <w:rFonts w:ascii="Arial" w:cs="Arial" w:eastAsia="Arial" w:hAnsi="Arial"/>
          <w:sz w:val="22"/>
          <w:szCs w:val="22"/>
        </w:rPr>
        <w:t xml:space="preserve">Cost code subcategories (approximately 792 detail codes) — granular breakdown within a cost code, e.g. SUB-03.01 for CFA piles under SUB-03. Used for QS estimating and Buildertrend line-item detail, rolled up to parent for Xero tagging.</w:t>
      </w:r>
    </w:p>
    <w:p>
      <w:pPr>
        <w:pStyle w:val="Heading2"/>
        <w:spacing w:after="150" w:before="300"/>
      </w:pPr>
      <w:r>
        <w:rPr>
          <w:rFonts w:ascii="Arial" w:cs="Arial" w:eastAsia="Arial" w:hAnsi="Arial"/>
          <w:b/>
          <w:bCs/>
          <w:color w:val="E85A1B"/>
          <w:sz w:val="28"/>
          <w:szCs w:val="28"/>
        </w:rPr>
        <w:t xml:space="preserve">Entity-aware mapping</w:t>
      </w:r>
    </w:p>
    <w:p>
      <w:pPr>
        <w:spacing w:after="120" w:before="0"/>
        <w:jc w:val="left"/>
      </w:pPr>
      <w:r>
        <w:rPr>
          <w:rFonts w:ascii="Arial" w:cs="Arial" w:eastAsia="Arial" w:hAnsi="Arial"/>
          <w:sz w:val="22"/>
          <w:szCs w:val="22"/>
        </w:rPr>
        <w:t xml:space="preserve">Not every cost code applies to every entity. The SPV incurs land and fees; the ConstructionCo incurs build costs. The cost_code_entity_mapping table lets this be expressed explicitly — for each (cost_code, entity) pair, is it allowed? If not, the platform prevents selection, catching miscodings at the source.</w:t>
      </w:r>
    </w:p>
    <w:p>
      <w:pPr>
        <w:spacing w:after="120" w:before="0"/>
        <w:jc w:val="left"/>
      </w:pPr>
      <w:r>
        <w:rPr>
          <w:rFonts w:ascii="Arial" w:cs="Arial" w:eastAsia="Arial" w:hAnsi="Arial"/>
          <w:sz w:val="22"/>
          <w:szCs w:val="22"/>
        </w:rPr>
        <w:t xml:space="preserve">Defaults on the cost_codes table (applies_to_parent / applies_to_spv / applies_to_construction_co) give the baseline. Entity mapping overrides for specific edge cases.</w:t>
      </w:r>
    </w:p>
    <w:p>
      <w:pPr>
        <w:pStyle w:val="Heading2"/>
        <w:spacing w:after="150" w:before="300"/>
      </w:pPr>
      <w:r>
        <w:rPr>
          <w:rFonts w:ascii="Arial" w:cs="Arial" w:eastAsia="Arial" w:hAnsi="Arial"/>
          <w:b/>
          <w:bCs/>
          <w:color w:val="E85A1B"/>
          <w:sz w:val="28"/>
          <w:szCs w:val="28"/>
        </w:rPr>
        <w:t xml:space="preserve">Per-project refinement</w:t>
      </w:r>
    </w:p>
    <w:p>
      <w:pPr>
        <w:spacing w:after="120" w:before="0"/>
        <w:jc w:val="left"/>
      </w:pPr>
      <w:r>
        <w:rPr>
          <w:rFonts w:ascii="Arial" w:cs="Arial" w:eastAsia="Arial" w:hAnsi="Arial"/>
          <w:sz w:val="22"/>
          <w:szCs w:val="22"/>
        </w:rPr>
        <w:t xml:space="preserve">On project creation, project_cost_codes rows are auto-populated based on project_type. Pure_Dev projects get acquisition / planning / design / sales / finance / overhead codes only — construction codes are disabled. Dev_Build, JV, and Main_Contract get the full set. DB_Contract gets the full set minus sales &amp; marketing (HA pays directly).</w:t>
      </w:r>
    </w:p>
    <w:p>
      <w:pPr>
        <w:spacing w:after="120" w:before="0"/>
        <w:jc w:val="left"/>
      </w:pPr>
      <w:r>
        <w:rPr>
          <w:rFonts w:ascii="Arial" w:cs="Arial" w:eastAsia="Arial" w:hAnsi="Arial"/>
          <w:sz w:val="22"/>
          <w:szCs w:val="22"/>
        </w:rPr>
        <w:t xml:space="preserve">Users can then refine further — disable codes that won't apply to this specific scheme, or override the display name for this project (e.g. "Piling" renamed to "Piled raft").</w:t>
      </w:r>
    </w:p>
    <w:p>
      <w:pPr>
        <w:pStyle w:val="Heading2"/>
        <w:spacing w:after="150" w:before="300"/>
      </w:pPr>
      <w:r>
        <w:rPr>
          <w:rFonts w:ascii="Arial" w:cs="Arial" w:eastAsia="Arial" w:hAnsi="Arial"/>
          <w:b/>
          <w:bCs/>
          <w:color w:val="E85A1B"/>
          <w:sz w:val="28"/>
          <w:szCs w:val="28"/>
        </w:rPr>
        <w:t xml:space="preserve">VAT treatment</w:t>
      </w:r>
    </w:p>
    <w:p>
      <w:pPr>
        <w:spacing w:after="120" w:before="0"/>
        <w:jc w:val="left"/>
      </w:pPr>
      <w:r>
        <w:rPr>
          <w:rFonts w:ascii="Arial" w:cs="Arial" w:eastAsia="Arial" w:hAnsi="Arial"/>
          <w:sz w:val="22"/>
          <w:szCs w:val="22"/>
        </w:rPr>
        <w:t xml:space="preserve">Each cost code carries a VAT treatment enum: Standard / Reduced / Zero_New_Build / Exempt / Reverse_Charge / Mixed. This drives the default Xero tax code applied when a bill is posted, and the correct VAT behaviour in cash flow timing.</w:t>
      </w:r>
    </w:p>
    <w:p>
      <w:pPr>
        <w:spacing w:after="120" w:before="0"/>
        <w:jc w:val="left"/>
      </w:pPr>
      <w:r>
        <w:rPr>
          <w:rFonts w:ascii="Arial" w:cs="Arial" w:eastAsia="Arial" w:hAnsi="Arial"/>
          <w:sz w:val="22"/>
          <w:szCs w:val="22"/>
        </w:rPr>
        <w:t xml:space="preserve">The reverse charge treatment is particularly important. Construction-to-construction supplies between CIS-registered entities (including intercompany supplies from ConstructionCo to SPV) fall under the domestic reverse charge introduced in March 2021. The customer accounts for output VAT on behalf of the supplier. The platform auto-applies DRCHARGE20 in these cases and warns if an override contradicts expected treatment.</w:t>
      </w:r>
    </w:p>
    <w:p>
      <w:pPr>
        <w:pStyle w:val="Heading2"/>
        <w:spacing w:after="150" w:before="300"/>
      </w:pPr>
      <w:r>
        <w:rPr>
          <w:rFonts w:ascii="Arial" w:cs="Arial" w:eastAsia="Arial" w:hAnsi="Arial"/>
          <w:b/>
          <w:bCs/>
          <w:color w:val="E85A1B"/>
          <w:sz w:val="28"/>
          <w:szCs w:val="28"/>
        </w:rPr>
        <w:t xml:space="preserve">Why 19 prefixes, not simpler?</w:t>
      </w:r>
    </w:p>
    <w:p>
      <w:pPr>
        <w:spacing w:after="120" w:before="0"/>
        <w:jc w:val="left"/>
      </w:pPr>
      <w:r>
        <w:rPr>
          <w:rFonts w:ascii="Arial" w:cs="Arial" w:eastAsia="Arial" w:hAnsi="Arial"/>
          <w:sz w:val="22"/>
          <w:szCs w:val="22"/>
        </w:rPr>
        <w:t xml:space="preserve">The prefix structure was chosen to make reporting instantly readable without a reference. ACQ-02 Legal means "acquisition legal fees" even to someone seeing it for the first time. The alternative — a flat numeric code list — is more scalable but harder for humans. For a business operating at SY Homes's size, human readability wins. If the business scales to thousands of projects, the prefix structure remains — we just add sequence numbers.</w:t>
      </w:r>
    </w:p>
    <w:p>
      <w:r>
        <w:br w:type="page"/>
      </w:r>
    </w:p>
    <w:p>
      <w:pPr>
        <w:pStyle w:val="Heading1"/>
        <w:spacing w:after="200" w:before="400"/>
      </w:pPr>
      <w:r>
        <w:rPr>
          <w:rFonts w:ascii="Arial" w:cs="Arial" w:eastAsia="Arial" w:hAnsi="Arial"/>
          <w:b/>
          <w:bCs/>
          <w:color w:val="1F2D3D"/>
          <w:sz w:val="36"/>
          <w:szCs w:val="36"/>
        </w:rPr>
        <w:t xml:space="preserve">Appraisal Module</w:t>
      </w:r>
    </w:p>
    <w:p>
      <w:pPr>
        <w:spacing w:after="120" w:before="0"/>
        <w:jc w:val="left"/>
      </w:pPr>
      <w:r>
        <w:rPr>
          <w:rFonts w:ascii="Arial" w:cs="Arial" w:eastAsia="Arial" w:hAnsi="Arial"/>
          <w:sz w:val="22"/>
          <w:szCs w:val="22"/>
        </w:rPr>
        <w:t xml:space="preserve">The appraisal module is the feasibility engine. Every potential site runs through it before a commitment is made. The output — profit, margin, residual land value, IRR — drives the go/no-go decision, which is formally logged in the decision log table.</w:t>
      </w:r>
    </w:p>
    <w:p>
      <w:pPr>
        <w:pStyle w:val="Heading2"/>
        <w:spacing w:after="150" w:before="300"/>
      </w:pPr>
      <w:r>
        <w:rPr>
          <w:rFonts w:ascii="Arial" w:cs="Arial" w:eastAsia="Arial" w:hAnsi="Arial"/>
          <w:b/>
          <w:bCs/>
          <w:color w:val="E85A1B"/>
          <w:sz w:val="28"/>
          <w:szCs w:val="28"/>
        </w:rPr>
        <w:t xml:space="preserve">The appraisal record</w:t>
      </w:r>
    </w:p>
    <w:p>
      <w:pPr>
        <w:spacing w:after="120" w:before="0"/>
        <w:jc w:val="left"/>
      </w:pPr>
      <w:r>
        <w:rPr>
          <w:rFonts w:ascii="Arial" w:cs="Arial" w:eastAsia="Arial" w:hAnsi="Arial"/>
          <w:sz w:val="22"/>
          <w:szCs w:val="22"/>
        </w:rPr>
        <w:t xml:space="preserve">An appraisal header carries the summary numbers (GDV total, total cost, profit, margin on GDV, margin on cost, residual land value), the key assumptions (start date, PC date, sales period, total programme months), and the hurdle rate check (passes_hurdle boolean — computed against minimum_profit_on_cost_pct and minimum_profit_on_gdv_pct from system config, editable per appraisal).</w:t>
      </w:r>
    </w:p>
    <w:p>
      <w:pPr>
        <w:spacing w:after="120" w:before="0"/>
        <w:jc w:val="left"/>
      </w:pPr>
      <w:r>
        <w:rPr>
          <w:rFonts w:ascii="Arial" w:cs="Arial" w:eastAsia="Arial" w:hAnsi="Arial"/>
          <w:sz w:val="22"/>
          <w:szCs w:val="22"/>
        </w:rPr>
        <w:t xml:space="preserve">The underlying detail is split into three tables:</w:t>
      </w:r>
    </w:p>
    <w:p>
      <w:pPr>
        <w:pStyle w:val="ListParagraph"/>
        <w:numPr>
          <w:ilvl w:val="0"/>
          <w:numId w:val="2"/>
        </w:numPr>
        <w:spacing w:after="80"/>
      </w:pPr>
      <w:r>
        <w:rPr>
          <w:rFonts w:ascii="Arial" w:cs="Arial" w:eastAsia="Arial" w:hAnsi="Arial"/>
          <w:sz w:val="22"/>
          <w:szCs w:val="22"/>
        </w:rPr>
        <w:t xml:space="preserve">appraisal_units — the unit mix and GDV side. Each row is a unit type (e.g. 3-bed semi × 12) with quantity, GIA, plot size, GDV per unit, build cost per unit, affordability flag.</w:t>
      </w:r>
    </w:p>
    <w:p>
      <w:pPr>
        <w:pStyle w:val="ListParagraph"/>
        <w:numPr>
          <w:ilvl w:val="0"/>
          <w:numId w:val="2"/>
        </w:numPr>
        <w:spacing w:after="80"/>
      </w:pPr>
      <w:r>
        <w:rPr>
          <w:rFonts w:ascii="Arial" w:cs="Arial" w:eastAsia="Arial" w:hAnsi="Arial"/>
          <w:sz w:val="22"/>
          <w:szCs w:val="22"/>
        </w:rPr>
        <w:t xml:space="preserve">appraisal_cost_lines — every non-unit-based cost line organised by cost code. Each line has an input_basis (Lump_Sum / Per_Unit / Percentage_Of_GDV / Percentage_Of_Build_Cost / Per_Sq_Ft / Rate_And_Qty etc.) and a timing_basis (Upfront / On_Planning / On_Start / Evenly_Over_Build / On_PC / On_Sale / Custom_Schedule). This timing information drives the cash flow forecast automatically.</w:t>
      </w:r>
    </w:p>
    <w:p>
      <w:pPr>
        <w:pStyle w:val="ListParagraph"/>
        <w:numPr>
          <w:ilvl w:val="0"/>
          <w:numId w:val="2"/>
        </w:numPr>
        <w:spacing w:after="80"/>
      </w:pPr>
      <w:r>
        <w:rPr>
          <w:rFonts w:ascii="Arial" w:cs="Arial" w:eastAsia="Arial" w:hAnsi="Arial"/>
          <w:sz w:val="22"/>
          <w:szCs w:val="22"/>
        </w:rPr>
        <w:t xml:space="preserve">appraisal_finance_model — debt and equity facilities modelled individually. Each facility has its own interest rate, calc method, drawdown/repayment schedule, and fees.</w:t>
      </w:r>
    </w:p>
    <w:p>
      <w:pPr>
        <w:pStyle w:val="Heading2"/>
        <w:spacing w:after="150" w:before="300"/>
      </w:pPr>
      <w:r>
        <w:rPr>
          <w:rFonts w:ascii="Arial" w:cs="Arial" w:eastAsia="Arial" w:hAnsi="Arial"/>
          <w:b/>
          <w:bCs/>
          <w:color w:val="E85A1B"/>
          <w:sz w:val="28"/>
          <w:szCs w:val="28"/>
        </w:rPr>
        <w:t xml:space="preserve">The SDLT calculation engine</w:t>
      </w:r>
    </w:p>
    <w:p>
      <w:pPr>
        <w:spacing w:after="120" w:before="0"/>
        <w:jc w:val="left"/>
      </w:pPr>
      <w:r>
        <w:rPr>
          <w:rFonts w:ascii="Arial" w:cs="Arial" w:eastAsia="Arial" w:hAnsi="Arial"/>
          <w:sz w:val="22"/>
          <w:szCs w:val="22"/>
        </w:rPr>
        <w:t xml:space="preserve">SDLT matters. On a £2m residential land purchase, a miscalculated rate can mean £60,000 of unexpected tax — enough to kill a deal. The platform's SDLT engine uses the verified current rates (April 2025+):</w:t>
      </w:r>
    </w:p>
    <w:p>
      <w:pPr>
        <w:pStyle w:val="ListParagraph"/>
        <w:numPr>
          <w:ilvl w:val="0"/>
          <w:numId w:val="2"/>
        </w:numPr>
        <w:spacing w:after="80"/>
      </w:pPr>
      <w:r>
        <w:rPr>
          <w:rFonts w:ascii="Arial" w:cs="Arial" w:eastAsia="Arial" w:hAnsi="Arial"/>
          <w:sz w:val="22"/>
          <w:szCs w:val="22"/>
        </w:rPr>
        <w:t xml:space="preserve">Residential standard: 0% to £125k, 2% to £250k, 5% to £925k, 10% to £1.5m, 12% above.</w:t>
      </w:r>
    </w:p>
    <w:p>
      <w:pPr>
        <w:pStyle w:val="ListParagraph"/>
        <w:numPr>
          <w:ilvl w:val="0"/>
          <w:numId w:val="2"/>
        </w:numPr>
        <w:spacing w:after="80"/>
      </w:pPr>
      <w:r>
        <w:rPr>
          <w:rFonts w:ascii="Arial" w:cs="Arial" w:eastAsia="Arial" w:hAnsi="Arial"/>
          <w:sz w:val="22"/>
          <w:szCs w:val="22"/>
        </w:rPr>
        <w:t xml:space="preserve">Residential surcharge: +5% per band for additional dwellings / company purchases.</w:t>
      </w:r>
    </w:p>
    <w:p>
      <w:pPr>
        <w:pStyle w:val="ListParagraph"/>
        <w:numPr>
          <w:ilvl w:val="0"/>
          <w:numId w:val="2"/>
        </w:numPr>
        <w:spacing w:after="80"/>
      </w:pPr>
      <w:r>
        <w:rPr>
          <w:rFonts w:ascii="Arial" w:cs="Arial" w:eastAsia="Arial" w:hAnsi="Arial"/>
          <w:sz w:val="22"/>
          <w:szCs w:val="22"/>
        </w:rPr>
        <w:t xml:space="preserve">Non-residential: 0% to £150k, 2% to £250k, 5% above.</w:t>
      </w:r>
    </w:p>
    <w:p>
      <w:pPr>
        <w:pStyle w:val="ListParagraph"/>
        <w:numPr>
          <w:ilvl w:val="0"/>
          <w:numId w:val="2"/>
        </w:numPr>
        <w:spacing w:after="80"/>
      </w:pPr>
      <w:r>
        <w:rPr>
          <w:rFonts w:ascii="Arial" w:cs="Arial" w:eastAsia="Arial" w:hAnsi="Arial"/>
          <w:sz w:val="22"/>
          <w:szCs w:val="22"/>
        </w:rPr>
        <w:t xml:space="preserve">Corporate flat rate: 17% on dwellings &gt;£500k (but with developer relief where applicable).</w:t>
      </w:r>
    </w:p>
    <w:p>
      <w:pPr>
        <w:spacing w:after="120" w:before="0"/>
        <w:jc w:val="left"/>
      </w:pPr>
      <w:r>
        <w:rPr>
          <w:rFonts w:ascii="Arial" w:cs="Arial" w:eastAsia="Arial" w:hAnsi="Arial"/>
          <w:sz w:val="22"/>
          <w:szCs w:val="22"/>
        </w:rPr>
        <w:t xml:space="preserve">The engine applies these based on sdlt_property_classification on the appraisal:</w:t>
      </w:r>
    </w:p>
    <w:p>
      <w:pPr>
        <w:pStyle w:val="ListParagraph"/>
        <w:numPr>
          <w:ilvl w:val="0"/>
          <w:numId w:val="2"/>
        </w:numPr>
        <w:spacing w:after="80"/>
      </w:pPr>
      <w:r>
        <w:rPr>
          <w:rFonts w:ascii="Arial" w:cs="Arial" w:eastAsia="Arial" w:hAnsi="Arial"/>
          <w:sz w:val="22"/>
          <w:szCs w:val="22"/>
        </w:rPr>
        <w:t xml:space="preserve">Residential_With_Dwelling → standard bands, surcharge if additional dwelling.</w:t>
      </w:r>
    </w:p>
    <w:p>
      <w:pPr>
        <w:pStyle w:val="ListParagraph"/>
        <w:numPr>
          <w:ilvl w:val="0"/>
          <w:numId w:val="2"/>
        </w:numPr>
        <w:spacing w:after="80"/>
      </w:pPr>
      <w:r>
        <w:rPr>
          <w:rFonts w:ascii="Arial" w:cs="Arial" w:eastAsia="Arial" w:hAnsi="Arial"/>
          <w:sz w:val="22"/>
          <w:szCs w:val="22"/>
        </w:rPr>
        <w:t xml:space="preserve">Residential_Land_With_Consent → standard residential bands.</w:t>
      </w:r>
    </w:p>
    <w:p>
      <w:pPr>
        <w:pStyle w:val="ListParagraph"/>
        <w:numPr>
          <w:ilvl w:val="0"/>
          <w:numId w:val="2"/>
        </w:numPr>
        <w:spacing w:after="80"/>
      </w:pPr>
      <w:r>
        <w:rPr>
          <w:rFonts w:ascii="Arial" w:cs="Arial" w:eastAsia="Arial" w:hAnsi="Arial"/>
          <w:sz w:val="22"/>
          <w:szCs w:val="22"/>
        </w:rPr>
        <w:t xml:space="preserve">Non_Residential → non-residential bands.</w:t>
      </w:r>
    </w:p>
    <w:p>
      <w:pPr>
        <w:pStyle w:val="ListParagraph"/>
        <w:numPr>
          <w:ilvl w:val="0"/>
          <w:numId w:val="2"/>
        </w:numPr>
        <w:spacing w:after="80"/>
      </w:pPr>
      <w:r>
        <w:rPr>
          <w:rFonts w:ascii="Arial" w:cs="Arial" w:eastAsia="Arial" w:hAnsi="Arial"/>
          <w:sz w:val="22"/>
          <w:szCs w:val="22"/>
        </w:rPr>
        <w:t xml:space="preserve">Mixed_Use → non-residential bands (commercial-weighted).</w:t>
      </w:r>
    </w:p>
    <w:p>
      <w:pPr>
        <w:pStyle w:val="ListParagraph"/>
        <w:numPr>
          <w:ilvl w:val="0"/>
          <w:numId w:val="2"/>
        </w:numPr>
        <w:spacing w:after="80"/>
      </w:pPr>
      <w:r>
        <w:rPr>
          <w:rFonts w:ascii="Arial" w:cs="Arial" w:eastAsia="Arial" w:hAnsi="Arial"/>
          <w:sz w:val="22"/>
          <w:szCs w:val="22"/>
        </w:rPr>
        <w:t xml:space="preserve">Six_Plus_Dwellings_Election → treats as non-residential (usually more favourable above a threshold).</w:t>
      </w:r>
    </w:p>
    <w:p>
      <w:pPr>
        <w:spacing w:after="120" w:before="0"/>
        <w:jc w:val="left"/>
      </w:pPr>
      <w:r>
        <w:rPr>
          <w:rFonts w:ascii="Arial" w:cs="Arial" w:eastAsia="Arial" w:hAnsi="Arial"/>
          <w:sz w:val="22"/>
          <w:szCs w:val="22"/>
        </w:rPr>
        <w:t xml:space="preserve">The sdlt_rate_bands table is versioned by effective_from / effective_to dates. Historical appraisals retain the rates that applied when they were created — so a deal appraised in 2024 shows its original SDLT, not a revised calculation under 2025 rates.</w:t>
      </w:r>
    </w:p>
    <w:p>
      <w:pPr>
        <w:pStyle w:val="Heading2"/>
        <w:spacing w:after="150" w:before="300"/>
      </w:pPr>
      <w:r>
        <w:rPr>
          <w:rFonts w:ascii="Arial" w:cs="Arial" w:eastAsia="Arial" w:hAnsi="Arial"/>
          <w:b/>
          <w:bCs/>
          <w:color w:val="E85A1B"/>
          <w:sz w:val="28"/>
          <w:szCs w:val="28"/>
        </w:rPr>
        <w:t xml:space="preserve">The RLV (residual land value) engine</w:t>
      </w:r>
    </w:p>
    <w:p>
      <w:pPr>
        <w:spacing w:after="120" w:before="0"/>
        <w:jc w:val="left"/>
      </w:pPr>
      <w:r>
        <w:rPr>
          <w:rFonts w:ascii="Arial" w:cs="Arial" w:eastAsia="Arial" w:hAnsi="Arial"/>
          <w:sz w:val="22"/>
          <w:szCs w:val="22"/>
        </w:rPr>
        <w:t xml:space="preserve">Residual land value is the maximum price payable for the land given a target profit. The calculation has a circular dependency — land price drives SDLT, SDLT is part of total cost, total cost drives profit, profit is constrained by hurdle, hurdle drives land price.</w:t>
      </w:r>
    </w:p>
    <w:p>
      <w:pPr>
        <w:spacing w:after="120" w:before="0"/>
        <w:jc w:val="left"/>
      </w:pPr>
      <w:r>
        <w:rPr>
          <w:rFonts w:ascii="Arial" w:cs="Arial" w:eastAsia="Arial" w:hAnsi="Arial"/>
          <w:sz w:val="22"/>
          <w:szCs w:val="22"/>
        </w:rPr>
        <w:t xml:space="preserve">The platform solves this iteratively. Starting from an assumed land price, it computes SDLT, totals costs, checks whether profit meets hurdle, and adjusts land price up or down until the target profit is met within pence. Typical convergence: 8-12 iterations. Output: residual_land_value (the gross price) and residual_land_value_net (after SDLT + legal + agent), giving Rhys a hard walk-away number when negotiating a land deal.</w:t>
      </w:r>
    </w:p>
    <w:p>
      <w:pPr>
        <w:pStyle w:val="Heading2"/>
        <w:spacing w:after="150" w:before="300"/>
      </w:pPr>
      <w:r>
        <w:rPr>
          <w:rFonts w:ascii="Arial" w:cs="Arial" w:eastAsia="Arial" w:hAnsi="Arial"/>
          <w:b/>
          <w:bCs/>
          <w:color w:val="E85A1B"/>
          <w:sz w:val="28"/>
          <w:szCs w:val="28"/>
        </w:rPr>
        <w:t xml:space="preserve">The finance interest engine</w:t>
      </w:r>
    </w:p>
    <w:p>
      <w:pPr>
        <w:spacing w:after="120" w:before="0"/>
        <w:jc w:val="left"/>
      </w:pPr>
      <w:r>
        <w:rPr>
          <w:rFonts w:ascii="Arial" w:cs="Arial" w:eastAsia="Arial" w:hAnsi="Arial"/>
          <w:sz w:val="22"/>
          <w:szCs w:val="22"/>
        </w:rPr>
        <w:t xml:space="preserve">Appraisals often underestimate finance costs because the timing of drawdowns versus repayments is ignored. The platform's finance engine runs the full interest schedule month by month:</w:t>
      </w:r>
    </w:p>
    <w:p>
      <w:pPr>
        <w:pStyle w:val="ListParagraph"/>
        <w:numPr>
          <w:ilvl w:val="0"/>
          <w:numId w:val="2"/>
        </w:numPr>
        <w:spacing w:after="80"/>
      </w:pPr>
      <w:r>
        <w:rPr>
          <w:rFonts w:ascii="Arial" w:cs="Arial" w:eastAsia="Arial" w:hAnsi="Arial"/>
          <w:sz w:val="22"/>
          <w:szCs w:val="22"/>
        </w:rPr>
        <w:t xml:space="preserve">Drawdowns per month (from facility drawdown_schedule).</w:t>
      </w:r>
    </w:p>
    <w:p>
      <w:pPr>
        <w:pStyle w:val="ListParagraph"/>
        <w:numPr>
          <w:ilvl w:val="0"/>
          <w:numId w:val="2"/>
        </w:numPr>
        <w:spacing w:after="80"/>
      </w:pPr>
      <w:r>
        <w:rPr>
          <w:rFonts w:ascii="Arial" w:cs="Arial" w:eastAsia="Arial" w:hAnsi="Arial"/>
          <w:sz w:val="22"/>
          <w:szCs w:val="22"/>
        </w:rPr>
        <w:t xml:space="preserve">Running outstanding balance.</w:t>
      </w:r>
    </w:p>
    <w:p>
      <w:pPr>
        <w:pStyle w:val="ListParagraph"/>
        <w:numPr>
          <w:ilvl w:val="0"/>
          <w:numId w:val="2"/>
        </w:numPr>
        <w:spacing w:after="80"/>
      </w:pPr>
      <w:r>
        <w:rPr>
          <w:rFonts w:ascii="Arial" w:cs="Arial" w:eastAsia="Arial" w:hAnsi="Arial"/>
          <w:sz w:val="22"/>
          <w:szCs w:val="22"/>
        </w:rPr>
        <w:t xml:space="preserve">Interest accrued monthly or quarterly (per interest_calc_method).</w:t>
      </w:r>
    </w:p>
    <w:p>
      <w:pPr>
        <w:pStyle w:val="ListParagraph"/>
        <w:numPr>
          <w:ilvl w:val="0"/>
          <w:numId w:val="2"/>
        </w:numPr>
        <w:spacing w:after="80"/>
      </w:pPr>
      <w:r>
        <w:rPr>
          <w:rFonts w:ascii="Arial" w:cs="Arial" w:eastAsia="Arial" w:hAnsi="Arial"/>
          <w:sz w:val="22"/>
          <w:szCs w:val="22"/>
        </w:rPr>
        <w:t xml:space="preserve">Rolled-up to balance (if is_rolled_up) or paid cash (if not).</w:t>
      </w:r>
    </w:p>
    <w:p>
      <w:pPr>
        <w:pStyle w:val="ListParagraph"/>
        <w:numPr>
          <w:ilvl w:val="0"/>
          <w:numId w:val="2"/>
        </w:numPr>
        <w:spacing w:after="80"/>
      </w:pPr>
      <w:r>
        <w:rPr>
          <w:rFonts w:ascii="Arial" w:cs="Arial" w:eastAsia="Arial" w:hAnsi="Arial"/>
          <w:sz w:val="22"/>
          <w:szCs w:val="22"/>
        </w:rPr>
        <w:t xml:space="preserve">Arrangement fee, exit fee, monitoring surveyor fee.</w:t>
      </w:r>
    </w:p>
    <w:p>
      <w:pPr>
        <w:pStyle w:val="ListParagraph"/>
        <w:numPr>
          <w:ilvl w:val="0"/>
          <w:numId w:val="2"/>
        </w:numPr>
        <w:spacing w:after="80"/>
      </w:pPr>
      <w:r>
        <w:rPr>
          <w:rFonts w:ascii="Arial" w:cs="Arial" w:eastAsia="Arial" w:hAnsi="Arial"/>
          <w:sz w:val="22"/>
          <w:szCs w:val="22"/>
        </w:rPr>
        <w:t xml:space="preserve">Repayments per month (from repayment_schedule).</w:t>
      </w:r>
    </w:p>
    <w:p>
      <w:pPr>
        <w:pStyle w:val="ListParagraph"/>
        <w:numPr>
          <w:ilvl w:val="0"/>
          <w:numId w:val="2"/>
        </w:numPr>
        <w:spacing w:after="80"/>
      </w:pPr>
      <w:r>
        <w:rPr>
          <w:rFonts w:ascii="Arial" w:cs="Arial" w:eastAsia="Arial" w:hAnsi="Arial"/>
          <w:sz w:val="22"/>
          <w:szCs w:val="22"/>
        </w:rPr>
        <w:t xml:space="preserve">Total interest feeds into FIN-01 (senior debt interest) in the cost breakdown — replacing the inaccurate "interest at X% flat on full facility" approach.</w:t>
      </w:r>
    </w:p>
    <w:p>
      <w:pPr>
        <w:pStyle w:val="Heading2"/>
        <w:spacing w:after="150" w:before="300"/>
      </w:pPr>
      <w:r>
        <w:rPr>
          <w:rFonts w:ascii="Arial" w:cs="Arial" w:eastAsia="Arial" w:hAnsi="Arial"/>
          <w:b/>
          <w:bCs/>
          <w:color w:val="E85A1B"/>
          <w:sz w:val="28"/>
          <w:szCs w:val="28"/>
        </w:rPr>
        <w:t xml:space="preserve">Versioning and decision log</w:t>
      </w:r>
    </w:p>
    <w:p>
      <w:pPr>
        <w:spacing w:after="120" w:before="0"/>
        <w:jc w:val="left"/>
      </w:pPr>
      <w:r>
        <w:rPr>
          <w:rFonts w:ascii="Arial" w:cs="Arial" w:eastAsia="Arial" w:hAnsi="Arial"/>
          <w:sz w:val="22"/>
          <w:szCs w:val="22"/>
        </w:rPr>
        <w:t xml:space="preserve">Appraisals change as more information arrives. When a revision is needed, a new version is created by cloning the previous one, incrementing version_number, setting the previous version to is_current = false and status = Superseded. An appraisal_revisions row captures why (GDV updated, costs updated, planning change, finance terms change, market change, scope change, error correction, other) and the delta in GDV / total cost / profit.</w:t>
      </w:r>
    </w:p>
    <w:p>
      <w:pPr>
        <w:spacing w:after="120" w:before="0"/>
        <w:jc w:val="left"/>
      </w:pPr>
      <w:r>
        <w:rPr>
          <w:rFonts w:ascii="Arial" w:cs="Arial" w:eastAsia="Arial" w:hAnsi="Arial"/>
          <w:sz w:val="22"/>
          <w:szCs w:val="22"/>
        </w:rPr>
        <w:t xml:space="preserve">The appraisal_decision_log is append-only. Each go/no-go/defer decision records who, when, why, conditions if any, and which assumptions were specifically challenged. This is the defensible record that shows the board / investors / regulators how a decision was made.</w:t>
      </w:r>
    </w:p>
    <w:p>
      <w:r>
        <w:br w:type="page"/>
      </w:r>
    </w:p>
    <w:p>
      <w:pPr>
        <w:pStyle w:val="Heading1"/>
        <w:spacing w:after="200" w:before="400"/>
      </w:pPr>
      <w:r>
        <w:rPr>
          <w:rFonts w:ascii="Arial" w:cs="Arial" w:eastAsia="Arial" w:hAnsi="Arial"/>
          <w:b/>
          <w:bCs/>
          <w:color w:val="1F2D3D"/>
          <w:sz w:val="36"/>
          <w:szCs w:val="36"/>
        </w:rPr>
        <w:t xml:space="preserve">Budget Module</w:t>
      </w:r>
    </w:p>
    <w:p>
      <w:pPr>
        <w:spacing w:after="120" w:before="0"/>
        <w:jc w:val="left"/>
      </w:pPr>
      <w:r>
        <w:rPr>
          <w:rFonts w:ascii="Arial" w:cs="Arial" w:eastAsia="Arial" w:hAnsi="Arial"/>
          <w:sz w:val="22"/>
          <w:szCs w:val="22"/>
        </w:rPr>
        <w:t xml:space="preserve">The budget module is where the appraisal becomes reality. When an appraisal is approved, a budget is created by cloning the cost breakdown. From that point, the budget is the live cost control record — tracking original budget, approved changes, actuals, commitments, and forecast to complete.</w:t>
      </w:r>
    </w:p>
    <w:p>
      <w:pPr>
        <w:pStyle w:val="Heading2"/>
        <w:spacing w:after="150" w:before="300"/>
      </w:pPr>
      <w:r>
        <w:rPr>
          <w:rFonts w:ascii="Arial" w:cs="Arial" w:eastAsia="Arial" w:hAnsi="Arial"/>
          <w:b/>
          <w:bCs/>
          <w:color w:val="E85A1B"/>
          <w:sz w:val="28"/>
          <w:szCs w:val="28"/>
        </w:rPr>
        <w:t xml:space="preserve">Budget structure</w:t>
      </w:r>
    </w:p>
    <w:p>
      <w:pPr>
        <w:spacing w:after="120" w:before="0"/>
        <w:jc w:val="left"/>
      </w:pPr>
      <w:r>
        <w:rPr>
          <w:rFonts w:ascii="Arial" w:cs="Arial" w:eastAsia="Arial" w:hAnsi="Arial"/>
          <w:sz w:val="22"/>
          <w:szCs w:val="22"/>
        </w:rPr>
        <w:t xml:space="preserve">The budget header carries cached totals (total_budget, total_actuals, total_committed_not_invoiced, total_forecast_to_complete, forecast_final_cost, variance_vs_budget, variance_pct) for fast dashboard access. Budget lines are the detail — one row per cost code (or cost code + subcategory) per budget.</w:t>
      </w:r>
    </w:p>
    <w:p>
      <w:pPr>
        <w:spacing w:after="120" w:before="0"/>
        <w:jc w:val="left"/>
      </w:pPr>
      <w:r>
        <w:rPr>
          <w:rFonts w:ascii="Arial" w:cs="Arial" w:eastAsia="Arial" w:hAnsi="Arial"/>
          <w:sz w:val="22"/>
          <w:szCs w:val="22"/>
        </w:rPr>
        <w:t xml:space="preserve">Each budget line carries:</w:t>
      </w:r>
    </w:p>
    <w:p>
      <w:pPr>
        <w:pStyle w:val="ListParagraph"/>
        <w:numPr>
          <w:ilvl w:val="0"/>
          <w:numId w:val="2"/>
        </w:numPr>
        <w:spacing w:after="80"/>
      </w:pPr>
      <w:r>
        <w:rPr>
          <w:rFonts w:ascii="Arial" w:cs="Arial" w:eastAsia="Arial" w:hAnsi="Arial"/>
          <w:sz w:val="22"/>
          <w:szCs w:val="22"/>
        </w:rPr>
        <w:t xml:space="preserve">original_budget — baseline, never changes after lock.</w:t>
      </w:r>
    </w:p>
    <w:p>
      <w:pPr>
        <w:pStyle w:val="ListParagraph"/>
        <w:numPr>
          <w:ilvl w:val="0"/>
          <w:numId w:val="2"/>
        </w:numPr>
        <w:spacing w:after="80"/>
      </w:pPr>
      <w:r>
        <w:rPr>
          <w:rFonts w:ascii="Arial" w:cs="Arial" w:eastAsia="Arial" w:hAnsi="Arial"/>
          <w:sz w:val="22"/>
          <w:szCs w:val="22"/>
        </w:rPr>
        <w:t xml:space="preserve">approved_changes — sum of approved budget_changes affecting this line.</w:t>
      </w:r>
    </w:p>
    <w:p>
      <w:pPr>
        <w:pStyle w:val="ListParagraph"/>
        <w:numPr>
          <w:ilvl w:val="0"/>
          <w:numId w:val="2"/>
        </w:numPr>
        <w:spacing w:after="80"/>
      </w:pPr>
      <w:r>
        <w:rPr>
          <w:rFonts w:ascii="Arial" w:cs="Arial" w:eastAsia="Arial" w:hAnsi="Arial"/>
          <w:sz w:val="22"/>
          <w:szCs w:val="22"/>
        </w:rPr>
        <w:t xml:space="preserve">current_budget — original + approved_changes.</w:t>
      </w:r>
    </w:p>
    <w:p>
      <w:pPr>
        <w:pStyle w:val="ListParagraph"/>
        <w:numPr>
          <w:ilvl w:val="0"/>
          <w:numId w:val="2"/>
        </w:numPr>
        <w:spacing w:after="80"/>
      </w:pPr>
      <w:r>
        <w:rPr>
          <w:rFonts w:ascii="Arial" w:cs="Arial" w:eastAsia="Arial" w:hAnsi="Arial"/>
          <w:sz w:val="22"/>
          <w:szCs w:val="22"/>
        </w:rPr>
        <w:t xml:space="preserve">actuals_to_date — sum of posted actuals against this line.</w:t>
      </w:r>
    </w:p>
    <w:p>
      <w:pPr>
        <w:pStyle w:val="ListParagraph"/>
        <w:numPr>
          <w:ilvl w:val="0"/>
          <w:numId w:val="2"/>
        </w:numPr>
        <w:spacing w:after="80"/>
      </w:pPr>
      <w:r>
        <w:rPr>
          <w:rFonts w:ascii="Arial" w:cs="Arial" w:eastAsia="Arial" w:hAnsi="Arial"/>
          <w:sz w:val="22"/>
          <w:szCs w:val="22"/>
        </w:rPr>
        <w:t xml:space="preserve">committed_value — sum of active commitments (signed subcontracts, POs).</w:t>
      </w:r>
    </w:p>
    <w:p>
      <w:pPr>
        <w:pStyle w:val="ListParagraph"/>
        <w:numPr>
          <w:ilvl w:val="0"/>
          <w:numId w:val="2"/>
        </w:numPr>
        <w:spacing w:after="80"/>
      </w:pPr>
      <w:r>
        <w:rPr>
          <w:rFonts w:ascii="Arial" w:cs="Arial" w:eastAsia="Arial" w:hAnsi="Arial"/>
          <w:sz w:val="22"/>
          <w:szCs w:val="22"/>
        </w:rPr>
        <w:t xml:space="preserve">invoiced_against_commitment — of the committed value, how much has been billed.</w:t>
      </w:r>
    </w:p>
    <w:p>
      <w:pPr>
        <w:pStyle w:val="ListParagraph"/>
        <w:numPr>
          <w:ilvl w:val="0"/>
          <w:numId w:val="2"/>
        </w:numPr>
        <w:spacing w:after="80"/>
      </w:pPr>
      <w:r>
        <w:rPr>
          <w:rFonts w:ascii="Arial" w:cs="Arial" w:eastAsia="Arial" w:hAnsi="Arial"/>
          <w:sz w:val="22"/>
          <w:szCs w:val="22"/>
        </w:rPr>
        <w:t xml:space="preserve">committed_not_invoiced — committed minus invoiced (the bit that's still to come in).</w:t>
      </w:r>
    </w:p>
    <w:p>
      <w:pPr>
        <w:pStyle w:val="ListParagraph"/>
        <w:numPr>
          <w:ilvl w:val="0"/>
          <w:numId w:val="2"/>
        </w:numPr>
        <w:spacing w:after="80"/>
      </w:pPr>
      <w:r>
        <w:rPr>
          <w:rFonts w:ascii="Arial" w:cs="Arial" w:eastAsia="Arial" w:hAnsi="Arial"/>
          <w:sz w:val="22"/>
          <w:szCs w:val="22"/>
        </w:rPr>
        <w:t xml:space="preserve">forecast_to_complete (FTC) — the remaining expected spend after actuals and committed.</w:t>
      </w:r>
    </w:p>
    <w:p>
      <w:pPr>
        <w:pStyle w:val="ListParagraph"/>
        <w:numPr>
          <w:ilvl w:val="0"/>
          <w:numId w:val="2"/>
        </w:numPr>
        <w:spacing w:after="80"/>
      </w:pPr>
      <w:r>
        <w:rPr>
          <w:rFonts w:ascii="Arial" w:cs="Arial" w:eastAsia="Arial" w:hAnsi="Arial"/>
          <w:sz w:val="22"/>
          <w:szCs w:val="22"/>
        </w:rPr>
        <w:t xml:space="preserve">forecast_final_cost (FFC) — actuals + committed + FTC.</w:t>
      </w:r>
    </w:p>
    <w:p>
      <w:pPr>
        <w:pStyle w:val="ListParagraph"/>
        <w:numPr>
          <w:ilvl w:val="0"/>
          <w:numId w:val="2"/>
        </w:numPr>
        <w:spacing w:after="80"/>
      </w:pPr>
      <w:r>
        <w:rPr>
          <w:rFonts w:ascii="Arial" w:cs="Arial" w:eastAsia="Arial" w:hAnsi="Arial"/>
          <w:sz w:val="22"/>
          <w:szCs w:val="22"/>
        </w:rPr>
        <w:t xml:space="preserve">variance_value and variance_pct — FFC versus current_budget.</w:t>
      </w:r>
    </w:p>
    <w:p>
      <w:pPr>
        <w:pStyle w:val="ListParagraph"/>
        <w:numPr>
          <w:ilvl w:val="0"/>
          <w:numId w:val="2"/>
        </w:numPr>
        <w:spacing w:after="80"/>
      </w:pPr>
      <w:r>
        <w:rPr>
          <w:rFonts w:ascii="Arial" w:cs="Arial" w:eastAsia="Arial" w:hAnsi="Arial"/>
          <w:sz w:val="22"/>
          <w:szCs w:val="22"/>
        </w:rPr>
        <w:t xml:space="preserve">variance_status — Green (&lt;5%), Amber (&lt;10%), Red (≥10%). Thresholds configurable.</w:t>
      </w:r>
    </w:p>
    <w:p>
      <w:pPr>
        <w:pStyle w:val="Heading2"/>
        <w:spacing w:after="150" w:before="300"/>
      </w:pPr>
      <w:r>
        <w:rPr>
          <w:rFonts w:ascii="Arial" w:cs="Arial" w:eastAsia="Arial" w:hAnsi="Arial"/>
          <w:b/>
          <w:bCs/>
          <w:color w:val="E85A1B"/>
          <w:sz w:val="28"/>
          <w:szCs w:val="28"/>
        </w:rPr>
        <w:t xml:space="preserve">FTC methods</w:t>
      </w:r>
    </w:p>
    <w:p>
      <w:pPr>
        <w:spacing w:after="120" w:before="0"/>
        <w:jc w:val="left"/>
      </w:pPr>
      <w:r>
        <w:rPr>
          <w:rFonts w:ascii="Arial" w:cs="Arial" w:eastAsia="Arial" w:hAnsi="Arial"/>
          <w:sz w:val="22"/>
          <w:szCs w:val="22"/>
        </w:rPr>
        <w:t xml:space="preserve">Forecast to complete can be calculated four ways — the right method depends on the line:</w:t>
      </w:r>
    </w:p>
    <w:p>
      <w:pPr>
        <w:pStyle w:val="ListParagraph"/>
        <w:numPr>
          <w:ilvl w:val="0"/>
          <w:numId w:val="2"/>
        </w:numPr>
        <w:spacing w:after="80"/>
      </w:pPr>
      <w:r>
        <w:rPr>
          <w:rFonts w:ascii="Arial" w:cs="Arial" w:eastAsia="Arial" w:hAnsi="Arial"/>
          <w:sz w:val="22"/>
          <w:szCs w:val="22"/>
        </w:rPr>
        <w:t xml:space="preserve">Manual — PM enters a number. Used when the PM has specific knowledge the system can't derive. High touch, high accuracy if PM is disciplined.</w:t>
      </w:r>
    </w:p>
    <w:p>
      <w:pPr>
        <w:pStyle w:val="ListParagraph"/>
        <w:numPr>
          <w:ilvl w:val="0"/>
          <w:numId w:val="2"/>
        </w:numPr>
        <w:spacing w:after="80"/>
      </w:pPr>
      <w:r>
        <w:rPr>
          <w:rFonts w:ascii="Arial" w:cs="Arial" w:eastAsia="Arial" w:hAnsi="Arial"/>
          <w:sz w:val="22"/>
          <w:szCs w:val="22"/>
        </w:rPr>
        <w:t xml:space="preserve">Budget_Remaining — FTC = current_budget − actuals − committed. Default for early-stage lines where no better information exists.</w:t>
      </w:r>
    </w:p>
    <w:p>
      <w:pPr>
        <w:pStyle w:val="ListParagraph"/>
        <w:numPr>
          <w:ilvl w:val="0"/>
          <w:numId w:val="2"/>
        </w:numPr>
        <w:spacing w:after="80"/>
      </w:pPr>
      <w:r>
        <w:rPr>
          <w:rFonts w:ascii="Arial" w:cs="Arial" w:eastAsia="Arial" w:hAnsi="Arial"/>
          <w:sz w:val="22"/>
          <w:szCs w:val="22"/>
        </w:rPr>
        <w:t xml:space="preserve">Committed_Only — FTC = 0. Used when the full scope is already committed (e.g. a lump sum subcontract signed).</w:t>
      </w:r>
    </w:p>
    <w:p>
      <w:pPr>
        <w:pStyle w:val="ListParagraph"/>
        <w:numPr>
          <w:ilvl w:val="0"/>
          <w:numId w:val="2"/>
        </w:numPr>
        <w:spacing w:after="80"/>
      </w:pPr>
      <w:r>
        <w:rPr>
          <w:rFonts w:ascii="Arial" w:cs="Arial" w:eastAsia="Arial" w:hAnsi="Arial"/>
          <w:sz w:val="22"/>
          <w:szCs w:val="22"/>
        </w:rPr>
        <w:t xml:space="preserve">Percentage_Complete — FTC = (current_budget / percentage_complete) − current_budget. Used when a linked programme task drives the percentage.</w:t>
      </w:r>
    </w:p>
    <w:p>
      <w:pPr>
        <w:pStyle w:val="Heading2"/>
        <w:spacing w:after="150" w:before="300"/>
      </w:pPr>
      <w:r>
        <w:rPr>
          <w:rFonts w:ascii="Arial" w:cs="Arial" w:eastAsia="Arial" w:hAnsi="Arial"/>
          <w:b/>
          <w:bCs/>
          <w:color w:val="E85A1B"/>
          <w:sz w:val="28"/>
          <w:szCs w:val="28"/>
        </w:rPr>
        <w:t xml:space="preserve">Change control</w:t>
      </w:r>
    </w:p>
    <w:p>
      <w:pPr>
        <w:spacing w:after="120" w:before="0"/>
        <w:jc w:val="left"/>
      </w:pPr>
      <w:r>
        <w:rPr>
          <w:rFonts w:ascii="Arial" w:cs="Arial" w:eastAsia="Arial" w:hAnsi="Arial"/>
          <w:sz w:val="22"/>
          <w:szCs w:val="22"/>
        </w:rPr>
        <w:t xml:space="preserve">The budget baseline (original_budget per line) never changes once locked. Every increase, decrease, transfer, or scope change flows through the budget_changes workflow:</w:t>
      </w:r>
    </w:p>
    <w:p>
      <w:pPr>
        <w:pStyle w:val="ListParagraph"/>
        <w:numPr>
          <w:ilvl w:val="0"/>
          <w:numId w:val="2"/>
        </w:numPr>
        <w:spacing w:after="80"/>
      </w:pPr>
      <w:r>
        <w:rPr>
          <w:rFonts w:ascii="Arial" w:cs="Arial" w:eastAsia="Arial" w:hAnsi="Arial"/>
          <w:sz w:val="22"/>
          <w:szCs w:val="22"/>
        </w:rPr>
        <w:t xml:space="preserve">Change_type: Transfer (net-zero across lines) / Addition (more budget) / Reduction (saving) / Scope_Change / Contingency_Release.</w:t>
      </w:r>
    </w:p>
    <w:p>
      <w:pPr>
        <w:pStyle w:val="ListParagraph"/>
        <w:numPr>
          <w:ilvl w:val="0"/>
          <w:numId w:val="2"/>
        </w:numPr>
        <w:spacing w:after="80"/>
      </w:pPr>
      <w:r>
        <w:rPr>
          <w:rFonts w:ascii="Arial" w:cs="Arial" w:eastAsia="Arial" w:hAnsi="Arial"/>
          <w:sz w:val="22"/>
          <w:szCs w:val="22"/>
        </w:rPr>
        <w:t xml:space="preserve">Reason (structured enum): Design_Development, Client_Variation, Market_Movement, Error_Correction, Risk_Materialised, Saving_Realised, Contingency_Drawdown, Other. Plus mandatory reason_detail text.</w:t>
      </w:r>
    </w:p>
    <w:p>
      <w:pPr>
        <w:pStyle w:val="ListParagraph"/>
        <w:numPr>
          <w:ilvl w:val="0"/>
          <w:numId w:val="2"/>
        </w:numPr>
        <w:spacing w:after="80"/>
      </w:pPr>
      <w:r>
        <w:rPr>
          <w:rFonts w:ascii="Arial" w:cs="Arial" w:eastAsia="Arial" w:hAnsi="Arial"/>
          <w:sz w:val="22"/>
          <w:szCs w:val="22"/>
        </w:rPr>
        <w:t xml:space="preserve">Tiered approval thresholds (configurable): ≤£5k PM; ≤£25k PM+Finance; ≤£100k Director; &gt;£100k Director+MD; Scope change = Director regardless of value.</w:t>
      </w:r>
    </w:p>
    <w:p>
      <w:pPr>
        <w:pStyle w:val="ListParagraph"/>
        <w:numPr>
          <w:ilvl w:val="0"/>
          <w:numId w:val="2"/>
        </w:numPr>
        <w:spacing w:after="80"/>
      </w:pPr>
      <w:r>
        <w:rPr>
          <w:rFonts w:ascii="Arial" w:cs="Arial" w:eastAsia="Arial" w:hAnsi="Arial"/>
          <w:sz w:val="22"/>
          <w:szCs w:val="22"/>
        </w:rPr>
        <w:t xml:space="preserve">Approved changes flow through to budget_lines.approved_changes, updating current_budget and FFC.</w:t>
      </w:r>
    </w:p>
    <w:p>
      <w:pPr>
        <w:spacing w:after="120" w:before="0"/>
        <w:jc w:val="left"/>
      </w:pPr>
      <w:r>
        <w:rPr>
          <w:rFonts w:ascii="Arial" w:cs="Arial" w:eastAsia="Arial" w:hAnsi="Arial"/>
          <w:sz w:val="22"/>
          <w:szCs w:val="22"/>
        </w:rPr>
        <w:t xml:space="preserve">This structured approach prevents the commonest failure mode: budgets that slowly drift as PMs quietly increase line values without anyone noticing. Every movement is logged, approved, and traceable.</w:t>
      </w:r>
    </w:p>
    <w:p>
      <w:pPr>
        <w:pStyle w:val="Heading2"/>
        <w:spacing w:after="150" w:before="300"/>
      </w:pPr>
      <w:r>
        <w:rPr>
          <w:rFonts w:ascii="Arial" w:cs="Arial" w:eastAsia="Arial" w:hAnsi="Arial"/>
          <w:b/>
          <w:bCs/>
          <w:color w:val="E85A1B"/>
          <w:sz w:val="28"/>
          <w:szCs w:val="28"/>
        </w:rPr>
        <w:t xml:space="preserve">Actuals</w:t>
      </w:r>
    </w:p>
    <w:p>
      <w:pPr>
        <w:spacing w:after="120" w:before="0"/>
        <w:jc w:val="left"/>
      </w:pPr>
      <w:r>
        <w:rPr>
          <w:rFonts w:ascii="Arial" w:cs="Arial" w:eastAsia="Arial" w:hAnsi="Arial"/>
          <w:sz w:val="22"/>
          <w:szCs w:val="22"/>
        </w:rPr>
        <w:t xml:space="preserve">Actuals are the single ledger of all cost postings. Each actual row has source_type:</w:t>
      </w:r>
    </w:p>
    <w:p>
      <w:pPr>
        <w:pStyle w:val="ListParagraph"/>
        <w:numPr>
          <w:ilvl w:val="0"/>
          <w:numId w:val="2"/>
        </w:numPr>
        <w:spacing w:after="80"/>
      </w:pPr>
      <w:r>
        <w:rPr>
          <w:rFonts w:ascii="Arial" w:cs="Arial" w:eastAsia="Arial" w:hAnsi="Arial"/>
          <w:sz w:val="22"/>
          <w:szCs w:val="22"/>
        </w:rPr>
        <w:t xml:space="preserve">Xero_Bill — the dominant source. Louise posts the bill in Xero with project + cost code tracking tags; the platform's Xero sync reads it and creates the matching actual automatically.</w:t>
      </w:r>
    </w:p>
    <w:p>
      <w:pPr>
        <w:pStyle w:val="ListParagraph"/>
        <w:numPr>
          <w:ilvl w:val="0"/>
          <w:numId w:val="2"/>
        </w:numPr>
        <w:spacing w:after="80"/>
      </w:pPr>
      <w:r>
        <w:rPr>
          <w:rFonts w:ascii="Arial" w:cs="Arial" w:eastAsia="Arial" w:hAnsi="Arial"/>
          <w:sz w:val="22"/>
          <w:szCs w:val="22"/>
        </w:rPr>
        <w:t xml:space="preserve">Xero_Credit_Note — negative actual.</w:t>
      </w:r>
    </w:p>
    <w:p>
      <w:pPr>
        <w:pStyle w:val="ListParagraph"/>
        <w:numPr>
          <w:ilvl w:val="0"/>
          <w:numId w:val="2"/>
        </w:numPr>
        <w:spacing w:after="80"/>
      </w:pPr>
      <w:r>
        <w:rPr>
          <w:rFonts w:ascii="Arial" w:cs="Arial" w:eastAsia="Arial" w:hAnsi="Arial"/>
          <w:sz w:val="22"/>
          <w:szCs w:val="22"/>
        </w:rPr>
        <w:t xml:space="preserve">Manual_Entry — for records not in Xero.</w:t>
      </w:r>
    </w:p>
    <w:p>
      <w:pPr>
        <w:pStyle w:val="ListParagraph"/>
        <w:numPr>
          <w:ilvl w:val="0"/>
          <w:numId w:val="2"/>
        </w:numPr>
        <w:spacing w:after="80"/>
      </w:pPr>
      <w:r>
        <w:rPr>
          <w:rFonts w:ascii="Arial" w:cs="Arial" w:eastAsia="Arial" w:hAnsi="Arial"/>
          <w:sz w:val="22"/>
          <w:szCs w:val="22"/>
        </w:rPr>
        <w:t xml:space="preserve">SC_Valuation — subcontract valuation posting (Phase 4).</w:t>
      </w:r>
    </w:p>
    <w:p>
      <w:pPr>
        <w:pStyle w:val="ListParagraph"/>
        <w:numPr>
          <w:ilvl w:val="0"/>
          <w:numId w:val="2"/>
        </w:numPr>
        <w:spacing w:after="80"/>
      </w:pPr>
      <w:r>
        <w:rPr>
          <w:rFonts w:ascii="Arial" w:cs="Arial" w:eastAsia="Arial" w:hAnsi="Arial"/>
          <w:sz w:val="22"/>
          <w:szCs w:val="22"/>
        </w:rPr>
        <w:t xml:space="preserve">Day_Rate_Timesheet — direct labour (Phase 4).</w:t>
      </w:r>
    </w:p>
    <w:p>
      <w:pPr>
        <w:pStyle w:val="ListParagraph"/>
        <w:numPr>
          <w:ilvl w:val="0"/>
          <w:numId w:val="2"/>
        </w:numPr>
        <w:spacing w:after="80"/>
      </w:pPr>
      <w:r>
        <w:rPr>
          <w:rFonts w:ascii="Arial" w:cs="Arial" w:eastAsia="Arial" w:hAnsi="Arial"/>
          <w:sz w:val="22"/>
          <w:szCs w:val="22"/>
        </w:rPr>
        <w:t xml:space="preserve">Expense_Claim — team expenses (Phase 4).</w:t>
      </w:r>
    </w:p>
    <w:p>
      <w:pPr>
        <w:pStyle w:val="ListParagraph"/>
        <w:numPr>
          <w:ilvl w:val="0"/>
          <w:numId w:val="2"/>
        </w:numPr>
        <w:spacing w:after="80"/>
      </w:pPr>
      <w:r>
        <w:rPr>
          <w:rFonts w:ascii="Arial" w:cs="Arial" w:eastAsia="Arial" w:hAnsi="Arial"/>
          <w:sz w:val="22"/>
          <w:szCs w:val="22"/>
        </w:rPr>
        <w:t xml:space="preserve">Journal — accountant adjustments.</w:t>
      </w:r>
    </w:p>
    <w:p>
      <w:pPr>
        <w:pStyle w:val="ListParagraph"/>
        <w:numPr>
          <w:ilvl w:val="0"/>
          <w:numId w:val="2"/>
        </w:numPr>
        <w:spacing w:after="80"/>
      </w:pPr>
      <w:r>
        <w:rPr>
          <w:rFonts w:ascii="Arial" w:cs="Arial" w:eastAsia="Arial" w:hAnsi="Arial"/>
          <w:sz w:val="22"/>
          <w:szCs w:val="22"/>
        </w:rPr>
        <w:t xml:space="preserve">Internal_Recharge — intercompany allocations.</w:t>
      </w:r>
    </w:p>
    <w:p>
      <w:pPr>
        <w:spacing w:after="120" w:before="0"/>
        <w:jc w:val="left"/>
      </w:pPr>
      <w:r>
        <w:rPr>
          <w:rFonts w:ascii="Arial" w:cs="Arial" w:eastAsia="Arial" w:hAnsi="Arial"/>
          <w:sz w:val="22"/>
          <w:szCs w:val="22"/>
        </w:rPr>
        <w:t xml:space="preserve">Each actual carries net/VAT/gross, currency, supplier link, CIS detail (labour / materials split and deduction), retention detail, and Xero reconciliation state. Posted actuals are core-immutable; corrections happen via credit notes or journals.</w:t>
      </w:r>
    </w:p>
    <w:p>
      <w:pPr>
        <w:pStyle w:val="Heading2"/>
        <w:spacing w:after="150" w:before="300"/>
      </w:pPr>
      <w:r>
        <w:rPr>
          <w:rFonts w:ascii="Arial" w:cs="Arial" w:eastAsia="Arial" w:hAnsi="Arial"/>
          <w:b/>
          <w:bCs/>
          <w:color w:val="E85A1B"/>
          <w:sz w:val="28"/>
          <w:szCs w:val="28"/>
        </w:rPr>
        <w:t xml:space="preserve">Commitments</w:t>
      </w:r>
    </w:p>
    <w:p>
      <w:pPr>
        <w:spacing w:after="120" w:before="0"/>
        <w:jc w:val="left"/>
      </w:pPr>
      <w:r>
        <w:rPr>
          <w:rFonts w:ascii="Arial" w:cs="Arial" w:eastAsia="Arial" w:hAnsi="Arial"/>
          <w:sz w:val="22"/>
          <w:szCs w:val="22"/>
        </w:rPr>
        <w:t xml:space="preserve">Commitments are money owed under signed contracts but not yet invoiced. Without tracking commitments, FFC is dangerously under-calculated — you'd show actuals + FTC, missing the contracted-but-unbilled bulge.</w:t>
      </w:r>
    </w:p>
    <w:p>
      <w:pPr>
        <w:spacing w:after="120" w:before="0"/>
        <w:jc w:val="left"/>
      </w:pPr>
      <w:r>
        <w:rPr>
          <w:rFonts w:ascii="Arial" w:cs="Arial" w:eastAsia="Arial" w:hAnsi="Arial"/>
          <w:sz w:val="22"/>
          <w:szCs w:val="22"/>
        </w:rPr>
        <w:t xml:space="preserve">Each commitment (subcontract / purchase order / consultant appointment / service agreement) tracks original_commitment_value, approved_variations_value, current_commitment_value, invoiced_to_date, and remaining_commitment. The budget_line.committed_not_invoiced is the sum of active commitments' remaining values, refreshed on any commitment change.</w:t>
      </w:r>
    </w:p>
    <w:p>
      <w:r>
        <w:br w:type="page"/>
      </w:r>
    </w:p>
    <w:p>
      <w:pPr>
        <w:pStyle w:val="Heading1"/>
        <w:spacing w:after="200" w:before="400"/>
      </w:pPr>
      <w:r>
        <w:rPr>
          <w:rFonts w:ascii="Arial" w:cs="Arial" w:eastAsia="Arial" w:hAnsi="Arial"/>
          <w:b/>
          <w:bCs/>
          <w:color w:val="1F2D3D"/>
          <w:sz w:val="36"/>
          <w:szCs w:val="36"/>
        </w:rPr>
        <w:t xml:space="preserve">Cash Flow Module</w:t>
      </w:r>
    </w:p>
    <w:p>
      <w:pPr>
        <w:spacing w:after="120" w:before="0"/>
        <w:jc w:val="left"/>
      </w:pPr>
      <w:r>
        <w:rPr>
          <w:rFonts w:ascii="Arial" w:cs="Arial" w:eastAsia="Arial" w:hAnsi="Arial"/>
          <w:sz w:val="22"/>
          <w:szCs w:val="22"/>
        </w:rPr>
        <w:t xml:space="preserve">Cash is the lifeblood of property development. Profitability alone doesn't save a scheme that runs out of money in month 8. The cash flow module forecasts month-by-month inflows and outflows, tracks actuals against forecast, and consolidates across entities for a group view.</w:t>
      </w:r>
    </w:p>
    <w:p>
      <w:pPr>
        <w:pStyle w:val="Heading2"/>
        <w:spacing w:after="150" w:before="300"/>
      </w:pPr>
      <w:r>
        <w:rPr>
          <w:rFonts w:ascii="Arial" w:cs="Arial" w:eastAsia="Arial" w:hAnsi="Arial"/>
          <w:b/>
          <w:bCs/>
          <w:color w:val="E85A1B"/>
          <w:sz w:val="28"/>
          <w:szCs w:val="28"/>
        </w:rPr>
        <w:t xml:space="preserve">Structure</w:t>
      </w:r>
    </w:p>
    <w:p>
      <w:pPr>
        <w:spacing w:after="120" w:before="0"/>
        <w:jc w:val="left"/>
      </w:pPr>
      <w:r>
        <w:rPr>
          <w:rFonts w:ascii="Arial" w:cs="Arial" w:eastAsia="Arial" w:hAnsi="Arial"/>
          <w:sz w:val="22"/>
          <w:szCs w:val="22"/>
        </w:rPr>
        <w:t xml:space="preserve">Three core tables define the matrix:</w:t>
      </w:r>
    </w:p>
    <w:p>
      <w:pPr>
        <w:pStyle w:val="ListParagraph"/>
        <w:numPr>
          <w:ilvl w:val="0"/>
          <w:numId w:val="2"/>
        </w:numPr>
        <w:spacing w:after="80"/>
      </w:pPr>
      <w:r>
        <w:rPr>
          <w:rFonts w:ascii="Arial" w:cs="Arial" w:eastAsia="Arial" w:hAnsi="Arial"/>
          <w:sz w:val="22"/>
          <w:szCs w:val="22"/>
        </w:rPr>
        <w:t xml:space="preserve">cash_flow_periods — the column headers. One row per month per project, auto-generated from the assumed_start_date across the assumed_total_programme_months. Regenerated when dates shift.</w:t>
      </w:r>
    </w:p>
    <w:p>
      <w:pPr>
        <w:pStyle w:val="ListParagraph"/>
        <w:numPr>
          <w:ilvl w:val="0"/>
          <w:numId w:val="2"/>
        </w:numPr>
        <w:spacing w:after="80"/>
      </w:pPr>
      <w:r>
        <w:rPr>
          <w:rFonts w:ascii="Arial" w:cs="Arial" w:eastAsia="Arial" w:hAnsi="Arial"/>
          <w:sz w:val="22"/>
          <w:szCs w:val="22"/>
        </w:rPr>
        <w:t xml:space="preserve">cash_flow_lines — the row definitions. One row per cost code (or income category / finance movement / VAT / CIS / intercompany / tax) per project per entity.</w:t>
      </w:r>
    </w:p>
    <w:p>
      <w:pPr>
        <w:pStyle w:val="ListParagraph"/>
        <w:numPr>
          <w:ilvl w:val="0"/>
          <w:numId w:val="2"/>
        </w:numPr>
        <w:spacing w:after="80"/>
      </w:pPr>
      <w:r>
        <w:rPr>
          <w:rFonts w:ascii="Arial" w:cs="Arial" w:eastAsia="Arial" w:hAnsi="Arial"/>
          <w:sz w:val="22"/>
          <w:szCs w:val="22"/>
        </w:rPr>
        <w:t xml:space="preserve">cash_flow_entries — the actual numbers. One row per (line, period) with forecast_amount and actual_amount.</w:t>
      </w:r>
    </w:p>
    <w:p>
      <w:pPr>
        <w:pStyle w:val="Heading2"/>
        <w:spacing w:after="150" w:before="300"/>
      </w:pPr>
      <w:r>
        <w:rPr>
          <w:rFonts w:ascii="Arial" w:cs="Arial" w:eastAsia="Arial" w:hAnsi="Arial"/>
          <w:b/>
          <w:bCs/>
          <w:color w:val="E85A1B"/>
          <w:sz w:val="28"/>
          <w:szCs w:val="28"/>
        </w:rPr>
        <w:t xml:space="preserve">Forecast derivation</w:t>
      </w:r>
    </w:p>
    <w:p>
      <w:pPr>
        <w:spacing w:after="120" w:before="0"/>
        <w:jc w:val="left"/>
      </w:pPr>
      <w:r>
        <w:rPr>
          <w:rFonts w:ascii="Arial" w:cs="Arial" w:eastAsia="Arial" w:hAnsi="Arial"/>
          <w:sz w:val="22"/>
          <w:szCs w:val="22"/>
        </w:rPr>
        <w:t xml:space="preserve">Forecasts are derived, not entered, wherever possible. Each cost line in the appraisal or budget has a timing_basis (Upfront / On_Planning / On_Start / Evenly_Over_Build / On_PC / On_Sale / Custom_Schedule). The cash flow engine reads this and writes the forecast into the matching period automatically:</w:t>
      </w:r>
    </w:p>
    <w:p>
      <w:pPr>
        <w:pStyle w:val="ListParagraph"/>
        <w:numPr>
          <w:ilvl w:val="0"/>
          <w:numId w:val="2"/>
        </w:numPr>
        <w:spacing w:after="80"/>
      </w:pPr>
      <w:r>
        <w:rPr>
          <w:rFonts w:ascii="Arial" w:cs="Arial" w:eastAsia="Arial" w:hAnsi="Arial"/>
          <w:sz w:val="22"/>
          <w:szCs w:val="22"/>
        </w:rPr>
        <w:t xml:space="preserve">Upfront → period before start.</w:t>
      </w:r>
    </w:p>
    <w:p>
      <w:pPr>
        <w:pStyle w:val="ListParagraph"/>
        <w:numPr>
          <w:ilvl w:val="0"/>
          <w:numId w:val="2"/>
        </w:numPr>
        <w:spacing w:after="80"/>
      </w:pPr>
      <w:r>
        <w:rPr>
          <w:rFonts w:ascii="Arial" w:cs="Arial" w:eastAsia="Arial" w:hAnsi="Arial"/>
          <w:sz w:val="22"/>
          <w:szCs w:val="22"/>
        </w:rPr>
        <w:t xml:space="preserve">On_Planning → period planning approval expected.</w:t>
      </w:r>
    </w:p>
    <w:p>
      <w:pPr>
        <w:pStyle w:val="ListParagraph"/>
        <w:numPr>
          <w:ilvl w:val="0"/>
          <w:numId w:val="2"/>
        </w:numPr>
        <w:spacing w:after="80"/>
      </w:pPr>
      <w:r>
        <w:rPr>
          <w:rFonts w:ascii="Arial" w:cs="Arial" w:eastAsia="Arial" w:hAnsi="Arial"/>
          <w:sz w:val="22"/>
          <w:szCs w:val="22"/>
        </w:rPr>
        <w:t xml:space="preserve">On_Start → period 1 of construction.</w:t>
      </w:r>
    </w:p>
    <w:p>
      <w:pPr>
        <w:pStyle w:val="ListParagraph"/>
        <w:numPr>
          <w:ilvl w:val="0"/>
          <w:numId w:val="2"/>
        </w:numPr>
        <w:spacing w:after="80"/>
      </w:pPr>
      <w:r>
        <w:rPr>
          <w:rFonts w:ascii="Arial" w:cs="Arial" w:eastAsia="Arial" w:hAnsi="Arial"/>
          <w:sz w:val="22"/>
          <w:szCs w:val="22"/>
        </w:rPr>
        <w:t xml:space="preserve">Evenly_Over_Build → divided across construction periods (working-day weighted).</w:t>
      </w:r>
    </w:p>
    <w:p>
      <w:pPr>
        <w:pStyle w:val="ListParagraph"/>
        <w:numPr>
          <w:ilvl w:val="0"/>
          <w:numId w:val="2"/>
        </w:numPr>
        <w:spacing w:after="80"/>
      </w:pPr>
      <w:r>
        <w:rPr>
          <w:rFonts w:ascii="Arial" w:cs="Arial" w:eastAsia="Arial" w:hAnsi="Arial"/>
          <w:sz w:val="22"/>
          <w:szCs w:val="22"/>
        </w:rPr>
        <w:t xml:space="preserve">On_PC → practical completion period.</w:t>
      </w:r>
    </w:p>
    <w:p>
      <w:pPr>
        <w:pStyle w:val="ListParagraph"/>
        <w:numPr>
          <w:ilvl w:val="0"/>
          <w:numId w:val="2"/>
        </w:numPr>
        <w:spacing w:after="80"/>
      </w:pPr>
      <w:r>
        <w:rPr>
          <w:rFonts w:ascii="Arial" w:cs="Arial" w:eastAsia="Arial" w:hAnsi="Arial"/>
          <w:sz w:val="22"/>
          <w:szCs w:val="22"/>
        </w:rPr>
        <w:t xml:space="preserve">On_Sale → scaled across the sales period by expected absorption rate.</w:t>
      </w:r>
    </w:p>
    <w:p>
      <w:pPr>
        <w:pStyle w:val="ListParagraph"/>
        <w:numPr>
          <w:ilvl w:val="0"/>
          <w:numId w:val="2"/>
        </w:numPr>
        <w:spacing w:after="80"/>
      </w:pPr>
      <w:r>
        <w:rPr>
          <w:rFonts w:ascii="Arial" w:cs="Arial" w:eastAsia="Arial" w:hAnsi="Arial"/>
          <w:sz w:val="22"/>
          <w:szCs w:val="22"/>
        </w:rPr>
        <w:t xml:space="preserve">Custom_Schedule → JSON defining month_offset + percentage for each slice.</w:t>
      </w:r>
    </w:p>
    <w:p>
      <w:pPr>
        <w:spacing w:after="120" w:before="0"/>
        <w:jc w:val="left"/>
      </w:pPr>
      <w:r>
        <w:rPr>
          <w:rFonts w:ascii="Arial" w:cs="Arial" w:eastAsia="Arial" w:hAnsi="Arial"/>
          <w:sz w:val="22"/>
          <w:szCs w:val="22"/>
        </w:rPr>
        <w:t xml:space="preserve">The forecast_method on each cash_flow_entry records whether it was derived (From_Budget_Timing), manually overridden (Manual), or formula-driven (Formula_Driven for things like VAT reclaim = 20% of eligible inputs).</w:t>
      </w:r>
    </w:p>
    <w:p>
      <w:pPr>
        <w:pStyle w:val="Heading2"/>
        <w:spacing w:after="150" w:before="300"/>
      </w:pPr>
      <w:r>
        <w:rPr>
          <w:rFonts w:ascii="Arial" w:cs="Arial" w:eastAsia="Arial" w:hAnsi="Arial"/>
          <w:b/>
          <w:bCs/>
          <w:color w:val="E85A1B"/>
          <w:sz w:val="28"/>
          <w:szCs w:val="28"/>
        </w:rPr>
        <w:t xml:space="preserve">VAT quarter scheduling</w:t>
      </w:r>
    </w:p>
    <w:p>
      <w:pPr>
        <w:spacing w:after="120" w:before="0"/>
        <w:jc w:val="left"/>
      </w:pPr>
      <w:r>
        <w:rPr>
          <w:rFonts w:ascii="Arial" w:cs="Arial" w:eastAsia="Arial" w:hAnsi="Arial"/>
          <w:sz w:val="22"/>
          <w:szCs w:val="22"/>
        </w:rPr>
        <w:t xml:space="preserve">VAT is scheduled based on entity.vat_scheme and entity.vat_return_period. For an entity on quarterly Mar/Jun/Sep/Dec returns: in April, the previous quarter's net VAT (output VAT minus recoverable input VAT) is paid or reclaimed on the 7th of May (the HMRC deadline). The platform writes this to cash_flow_entries.vat_amount on the VAT_Payment or VAT_Reclaim line in the correct month.</w:t>
      </w:r>
    </w:p>
    <w:p>
      <w:pPr>
        <w:spacing w:after="120" w:before="0"/>
        <w:jc w:val="left"/>
      </w:pPr>
      <w:r>
        <w:rPr>
          <w:rFonts w:ascii="Arial" w:cs="Arial" w:eastAsia="Arial" w:hAnsi="Arial"/>
          <w:sz w:val="22"/>
          <w:szCs w:val="22"/>
        </w:rPr>
        <w:t xml:space="preserve">New-build sales are zero-rated, making input VAT on those projects recoverable. This is a significant cash flow benefit — reclaims of 20% on all eligible construction input VAT, usually quarterly. The platform models this correctly rather than simply ignoring VAT as "net-neutral" over the project.</w:t>
      </w:r>
    </w:p>
    <w:p>
      <w:pPr>
        <w:pStyle w:val="Heading2"/>
        <w:spacing w:after="150" w:before="300"/>
      </w:pPr>
      <w:r>
        <w:rPr>
          <w:rFonts w:ascii="Arial" w:cs="Arial" w:eastAsia="Arial" w:hAnsi="Arial"/>
          <w:b/>
          <w:bCs/>
          <w:color w:val="E85A1B"/>
          <w:sz w:val="28"/>
          <w:szCs w:val="28"/>
        </w:rPr>
        <w:t xml:space="preserve">CIS monthly scheduling</w:t>
      </w:r>
    </w:p>
    <w:p>
      <w:pPr>
        <w:spacing w:after="120" w:before="0"/>
        <w:jc w:val="left"/>
      </w:pPr>
      <w:r>
        <w:rPr>
          <w:rFonts w:ascii="Arial" w:cs="Arial" w:eastAsia="Arial" w:hAnsi="Arial"/>
          <w:sz w:val="22"/>
          <w:szCs w:val="22"/>
        </w:rPr>
        <w:t xml:space="preserve">CIS deductions (on subcontractor payments) are paid monthly — deducted amount for the month is paid to HMRC by the 22nd of the following month (19th for postal). The platform writes this to CIS_Payment lines for the entity that is a CIS contractor.</w:t>
      </w:r>
    </w:p>
    <w:p>
      <w:pPr>
        <w:pStyle w:val="Heading2"/>
        <w:spacing w:after="150" w:before="300"/>
      </w:pPr>
      <w:r>
        <w:rPr>
          <w:rFonts w:ascii="Arial" w:cs="Arial" w:eastAsia="Arial" w:hAnsi="Arial"/>
          <w:b/>
          <w:bCs/>
          <w:color w:val="E85A1B"/>
          <w:sz w:val="28"/>
          <w:szCs w:val="28"/>
        </w:rPr>
        <w:t xml:space="preserve">Intercompany netting</w:t>
      </w:r>
    </w:p>
    <w:p>
      <w:pPr>
        <w:spacing w:after="120" w:before="0"/>
        <w:jc w:val="left"/>
      </w:pPr>
      <w:r>
        <w:rPr>
          <w:rFonts w:ascii="Arial" w:cs="Arial" w:eastAsia="Arial" w:hAnsi="Arial"/>
          <w:sz w:val="22"/>
          <w:szCs w:val="22"/>
        </w:rPr>
        <w:t xml:space="preserve">When ConstructionCo invoices SPV for a monthly valuation, ConstructionCo has an inflow and SPV has an outflow. At the group level, these net to zero. The is_intercompany flag on cash_flow_lines drives this — group rollup filters intercompany lines out.</w:t>
      </w:r>
    </w:p>
    <w:p>
      <w:pPr>
        <w:pStyle w:val="Heading2"/>
        <w:spacing w:after="150" w:before="300"/>
      </w:pPr>
      <w:r>
        <w:rPr>
          <w:rFonts w:ascii="Arial" w:cs="Arial" w:eastAsia="Arial" w:hAnsi="Arial"/>
          <w:b/>
          <w:bCs/>
          <w:color w:val="E85A1B"/>
          <w:sz w:val="28"/>
          <w:szCs w:val="28"/>
        </w:rPr>
        <w:t xml:space="preserve">Summaries and variance</w:t>
      </w:r>
    </w:p>
    <w:p>
      <w:pPr>
        <w:spacing w:after="120" w:before="0"/>
        <w:jc w:val="left"/>
      </w:pPr>
      <w:r>
        <w:rPr>
          <w:rFonts w:ascii="Arial" w:cs="Arial" w:eastAsia="Arial" w:hAnsi="Arial"/>
          <w:sz w:val="22"/>
          <w:szCs w:val="22"/>
        </w:rPr>
        <w:t xml:space="preserve">cash_flow_summaries hold cached per-period totals: total_inflows_forecast, total_inflows_actual, total_outflows_forecast, total_outflows_actual, net_forecast, net_actual, cumulative_net_forecast, cumulative_net_actual, peak_funding_required, peak_funding_period_id. Refreshed on any entry change.</w:t>
      </w:r>
    </w:p>
    <w:p>
      <w:pPr>
        <w:spacing w:after="120" w:before="0"/>
        <w:jc w:val="left"/>
      </w:pPr>
      <w:r>
        <w:rPr>
          <w:rFonts w:ascii="Arial" w:cs="Arial" w:eastAsia="Arial" w:hAnsi="Arial"/>
          <w:sz w:val="22"/>
          <w:szCs w:val="22"/>
        </w:rPr>
        <w:t xml:space="preserve">When an actual diverges materially from forecast, a cash_flow_variance_entry captures why — Timing_Only (money still coming, just later), Amount_Under, Amount_Over, Missed_Entirely, Bonus_Income — with explanation and optional link to a budget_change. This creates the narrative for monthly board reporting.</w:t>
      </w:r>
    </w:p>
    <w:p>
      <w:r>
        <w:br w:type="page"/>
      </w:r>
    </w:p>
    <w:p>
      <w:pPr>
        <w:pStyle w:val="Heading1"/>
        <w:spacing w:after="200" w:before="400"/>
      </w:pPr>
      <w:r>
        <w:rPr>
          <w:rFonts w:ascii="Arial" w:cs="Arial" w:eastAsia="Arial" w:hAnsi="Arial"/>
          <w:b/>
          <w:bCs/>
          <w:color w:val="1F2D3D"/>
          <w:sz w:val="36"/>
          <w:szCs w:val="36"/>
        </w:rPr>
        <w:t xml:space="preserve">Programme Module</w:t>
      </w:r>
    </w:p>
    <w:p>
      <w:pPr>
        <w:spacing w:after="120" w:before="0"/>
        <w:jc w:val="left"/>
      </w:pPr>
      <w:r>
        <w:rPr>
          <w:rFonts w:ascii="Arial" w:cs="Arial" w:eastAsia="Arial" w:hAnsi="Arial"/>
          <w:sz w:val="22"/>
          <w:szCs w:val="22"/>
        </w:rPr>
        <w:t xml:space="preserve">The programme module is time control. Template-driven on creation, critical-path calculated, baseline-comparable, calendar-aware, alert-driven.</w:t>
      </w:r>
    </w:p>
    <w:p>
      <w:pPr>
        <w:pStyle w:val="Heading2"/>
        <w:spacing w:after="150" w:before="300"/>
      </w:pPr>
      <w:r>
        <w:rPr>
          <w:rFonts w:ascii="Arial" w:cs="Arial" w:eastAsia="Arial" w:hAnsi="Arial"/>
          <w:b/>
          <w:bCs/>
          <w:color w:val="E85A1B"/>
          <w:sz w:val="28"/>
          <w:szCs w:val="28"/>
        </w:rPr>
        <w:t xml:space="preserve">Templates and cloning</w:t>
      </w:r>
    </w:p>
    <w:p>
      <w:pPr>
        <w:spacing w:after="120" w:before="0"/>
        <w:jc w:val="left"/>
      </w:pPr>
      <w:r>
        <w:rPr>
          <w:rFonts w:ascii="Arial" w:cs="Arial" w:eastAsia="Arial" w:hAnsi="Arial"/>
          <w:sz w:val="22"/>
          <w:szCs w:val="22"/>
        </w:rPr>
        <w:t xml:space="preserve">Six programme templates are seeded, each tailored to a project type and size:</w:t>
      </w:r>
    </w:p>
    <w:p>
      <w:pPr>
        <w:pStyle w:val="ListParagraph"/>
        <w:numPr>
          <w:ilvl w:val="0"/>
          <w:numId w:val="2"/>
        </w:numPr>
        <w:spacing w:after="80"/>
      </w:pPr>
      <w:r>
        <w:rPr>
          <w:rFonts w:ascii="Arial" w:cs="Arial" w:eastAsia="Arial" w:hAnsi="Arial"/>
          <w:sz w:val="22"/>
          <w:szCs w:val="22"/>
        </w:rPr>
        <w:t xml:space="preserve">Pure Dev (12 weeks) — focused on planning through to sale.</w:t>
      </w:r>
    </w:p>
    <w:p>
      <w:pPr>
        <w:pStyle w:val="ListParagraph"/>
        <w:numPr>
          <w:ilvl w:val="0"/>
          <w:numId w:val="2"/>
        </w:numPr>
        <w:spacing w:after="80"/>
      </w:pPr>
      <w:r>
        <w:rPr>
          <w:rFonts w:ascii="Arial" w:cs="Arial" w:eastAsia="Arial" w:hAnsi="Arial"/>
          <w:sz w:val="22"/>
          <w:szCs w:val="22"/>
        </w:rPr>
        <w:t xml:space="preserve">Dev &amp; Build Small, under 10 units (40 weeks).</w:t>
      </w:r>
    </w:p>
    <w:p>
      <w:pPr>
        <w:pStyle w:val="ListParagraph"/>
        <w:numPr>
          <w:ilvl w:val="0"/>
          <w:numId w:val="2"/>
        </w:numPr>
        <w:spacing w:after="80"/>
      </w:pPr>
      <w:r>
        <w:rPr>
          <w:rFonts w:ascii="Arial" w:cs="Arial" w:eastAsia="Arial" w:hAnsi="Arial"/>
          <w:sz w:val="22"/>
          <w:szCs w:val="22"/>
        </w:rPr>
        <w:t xml:space="preserve">Dev &amp; Build Medium, 10-30 units (65 weeks).</w:t>
      </w:r>
    </w:p>
    <w:p>
      <w:pPr>
        <w:pStyle w:val="ListParagraph"/>
        <w:numPr>
          <w:ilvl w:val="0"/>
          <w:numId w:val="2"/>
        </w:numPr>
        <w:spacing w:after="80"/>
      </w:pPr>
      <w:r>
        <w:rPr>
          <w:rFonts w:ascii="Arial" w:cs="Arial" w:eastAsia="Arial" w:hAnsi="Arial"/>
          <w:sz w:val="22"/>
          <w:szCs w:val="22"/>
        </w:rPr>
        <w:t xml:space="preserve">Dev &amp; Build Large, 30+ units (100 weeks).</w:t>
      </w:r>
    </w:p>
    <w:p>
      <w:pPr>
        <w:pStyle w:val="ListParagraph"/>
        <w:numPr>
          <w:ilvl w:val="0"/>
          <w:numId w:val="2"/>
        </w:numPr>
        <w:spacing w:after="80"/>
      </w:pPr>
      <w:r>
        <w:rPr>
          <w:rFonts w:ascii="Arial" w:cs="Arial" w:eastAsia="Arial" w:hAnsi="Arial"/>
          <w:sz w:val="22"/>
          <w:szCs w:val="22"/>
        </w:rPr>
        <w:t xml:space="preserve">D&amp;B Contract for HA (50 weeks).</w:t>
      </w:r>
    </w:p>
    <w:p>
      <w:pPr>
        <w:pStyle w:val="ListParagraph"/>
        <w:numPr>
          <w:ilvl w:val="0"/>
          <w:numId w:val="2"/>
        </w:numPr>
        <w:spacing w:after="80"/>
      </w:pPr>
      <w:r>
        <w:rPr>
          <w:rFonts w:ascii="Arial" w:cs="Arial" w:eastAsia="Arial" w:hAnsi="Arial"/>
          <w:sz w:val="22"/>
          <w:szCs w:val="22"/>
        </w:rPr>
        <w:t xml:space="preserve">Main Contract (variable — template for tender packages).</w:t>
      </w:r>
    </w:p>
    <w:p>
      <w:pPr>
        <w:spacing w:after="120" w:before="0"/>
        <w:jc w:val="left"/>
      </w:pPr>
      <w:r>
        <w:rPr>
          <w:rFonts w:ascii="Arial" w:cs="Arial" w:eastAsia="Arial" w:hAnsi="Arial"/>
          <w:sz w:val="22"/>
          <w:szCs w:val="22"/>
        </w:rPr>
        <w:t xml:space="preserve">Each template has 40-120 tasks with realistic durations, predecessors, linked cost code prefixes, and flagged critical milestones. When a programme is created for a new project, the template is cloned into the programme, inheriting all task structure. The PM then customises — adjusting durations for project specifics, adding tasks, removing inapplicable ones.</w:t>
      </w:r>
    </w:p>
    <w:p>
      <w:pPr>
        <w:pStyle w:val="Heading2"/>
        <w:spacing w:after="150" w:before="300"/>
      </w:pPr>
      <w:r>
        <w:rPr>
          <w:rFonts w:ascii="Arial" w:cs="Arial" w:eastAsia="Arial" w:hAnsi="Arial"/>
          <w:b/>
          <w:bCs/>
          <w:color w:val="E85A1B"/>
          <w:sz w:val="28"/>
          <w:szCs w:val="28"/>
        </w:rPr>
        <w:t xml:space="preserve">Critical path</w:t>
      </w:r>
    </w:p>
    <w:p>
      <w:pPr>
        <w:spacing w:after="120" w:before="0"/>
        <w:jc w:val="left"/>
      </w:pPr>
      <w:r>
        <w:rPr>
          <w:rFonts w:ascii="Arial" w:cs="Arial" w:eastAsia="Arial" w:hAnsi="Arial"/>
          <w:sz w:val="22"/>
          <w:szCs w:val="22"/>
        </w:rPr>
        <w:t xml:space="preserve">The platform runs CPM (critical path method) on every programme. The algorithm:</w:t>
      </w:r>
    </w:p>
    <w:p>
      <w:pPr>
        <w:pStyle w:val="ListParagraph"/>
        <w:numPr>
          <w:ilvl w:val="0"/>
          <w:numId w:val="2"/>
        </w:numPr>
        <w:spacing w:after="80"/>
      </w:pPr>
      <w:r>
        <w:rPr>
          <w:rFonts w:ascii="Arial" w:cs="Arial" w:eastAsia="Arial" w:hAnsi="Arial"/>
          <w:sz w:val="22"/>
          <w:szCs w:val="22"/>
        </w:rPr>
        <w:t xml:space="preserve">Forward pass: compute early_start_date and early_end_date for every task by propagating from the project start through predecessor links.</w:t>
      </w:r>
    </w:p>
    <w:p>
      <w:pPr>
        <w:pStyle w:val="ListParagraph"/>
        <w:numPr>
          <w:ilvl w:val="0"/>
          <w:numId w:val="2"/>
        </w:numPr>
        <w:spacing w:after="80"/>
      </w:pPr>
      <w:r>
        <w:rPr>
          <w:rFonts w:ascii="Arial" w:cs="Arial" w:eastAsia="Arial" w:hAnsi="Arial"/>
          <w:sz w:val="22"/>
          <w:szCs w:val="22"/>
        </w:rPr>
        <w:t xml:space="preserve">Backward pass: compute late_start_date and late_end_date by working backwards from the target PC date.</w:t>
      </w:r>
    </w:p>
    <w:p>
      <w:pPr>
        <w:pStyle w:val="ListParagraph"/>
        <w:numPr>
          <w:ilvl w:val="0"/>
          <w:numId w:val="2"/>
        </w:numPr>
        <w:spacing w:after="80"/>
      </w:pPr>
      <w:r>
        <w:rPr>
          <w:rFonts w:ascii="Arial" w:cs="Arial" w:eastAsia="Arial" w:hAnsi="Arial"/>
          <w:sz w:val="22"/>
          <w:szCs w:val="22"/>
        </w:rPr>
        <w:t xml:space="preserve">Total float: late_start − early_start. Tasks with zero float are on the critical path.</w:t>
      </w:r>
    </w:p>
    <w:p>
      <w:pPr>
        <w:spacing w:after="120" w:before="0"/>
        <w:jc w:val="left"/>
      </w:pPr>
      <w:r>
        <w:rPr>
          <w:rFonts w:ascii="Arial" w:cs="Arial" w:eastAsia="Arial" w:hAnsi="Arial"/>
          <w:sz w:val="22"/>
          <w:szCs w:val="22"/>
        </w:rPr>
        <w:t xml:space="preserve">Recalculation runs on any task edit (create, duration change, predecessor change, actual start/end). Target: under 2 seconds for programmes of up to 200 tasks. The algorithm is incremental — only affected downstream tasks are recalculated, not the whole programme.</w:t>
      </w:r>
    </w:p>
    <w:p>
      <w:pPr>
        <w:pStyle w:val="Heading2"/>
        <w:spacing w:after="150" w:before="300"/>
      </w:pPr>
      <w:r>
        <w:rPr>
          <w:rFonts w:ascii="Arial" w:cs="Arial" w:eastAsia="Arial" w:hAnsi="Arial"/>
          <w:b/>
          <w:bCs/>
          <w:color w:val="E85A1B"/>
          <w:sz w:val="28"/>
          <w:szCs w:val="28"/>
        </w:rPr>
        <w:t xml:space="preserve">Calendar-aware durations</w:t>
      </w:r>
    </w:p>
    <w:p>
      <w:pPr>
        <w:spacing w:after="120" w:before="0"/>
        <w:jc w:val="left"/>
      </w:pPr>
      <w:r>
        <w:rPr>
          <w:rFonts w:ascii="Arial" w:cs="Arial" w:eastAsia="Arial" w:hAnsi="Arial"/>
          <w:sz w:val="22"/>
          <w:szCs w:val="22"/>
        </w:rPr>
        <w:t xml:space="preserve">Task durations can be Working_Days or Calendar_Days. The programme has a calendar_id pointing to programme_calendars — seed: Standard Construction UK (Mon-Fri working, plus England &amp; Wales bank holidays, Christmas shutdown 24 Dec – 2 Jan).</w:t>
      </w:r>
    </w:p>
    <w:p>
      <w:pPr>
        <w:spacing w:after="120" w:before="0"/>
        <w:jc w:val="left"/>
      </w:pPr>
      <w:r>
        <w:rPr>
          <w:rFonts w:ascii="Arial" w:cs="Arial" w:eastAsia="Arial" w:hAnsi="Arial"/>
          <w:sz w:val="22"/>
          <w:szCs w:val="22"/>
        </w:rPr>
        <w:t xml:space="preserve">programme_calendar_exceptions handle one-off adjustments: an extra non-working day (site closure, weather loss), a worked Saturday, or a partial day. Exceptions can apply to a specific programme (project closure) or globally to the calendar (extra bank holiday).</w:t>
      </w:r>
    </w:p>
    <w:p>
      <w:pPr>
        <w:spacing w:after="120" w:before="0"/>
        <w:jc w:val="left"/>
      </w:pPr>
      <w:r>
        <w:rPr>
          <w:rFonts w:ascii="Arial" w:cs="Arial" w:eastAsia="Arial" w:hAnsi="Arial"/>
          <w:sz w:val="22"/>
          <w:szCs w:val="22"/>
        </w:rPr>
        <w:t xml:space="preserve">Weather loss is tracked specifically — programme_weekly_reports includes a weather_impact_days field for retrospective recording. This feeds delay analysis when claims arise.</w:t>
      </w:r>
    </w:p>
    <w:p>
      <w:pPr>
        <w:pStyle w:val="Heading2"/>
        <w:spacing w:after="150" w:before="300"/>
      </w:pPr>
      <w:r>
        <w:rPr>
          <w:rFonts w:ascii="Arial" w:cs="Arial" w:eastAsia="Arial" w:hAnsi="Arial"/>
          <w:b/>
          <w:bCs/>
          <w:color w:val="E85A1B"/>
          <w:sz w:val="28"/>
          <w:szCs w:val="28"/>
        </w:rPr>
        <w:t xml:space="preserve">Baselines</w:t>
      </w:r>
    </w:p>
    <w:p>
      <w:pPr>
        <w:spacing w:after="120" w:before="0"/>
        <w:jc w:val="left"/>
      </w:pPr>
      <w:r>
        <w:rPr>
          <w:rFonts w:ascii="Arial" w:cs="Arial" w:eastAsia="Arial" w:hAnsi="Arial"/>
          <w:sz w:val="22"/>
          <w:szCs w:val="22"/>
        </w:rPr>
        <w:t xml:space="preserve">Three baseline types:</w:t>
      </w:r>
    </w:p>
    <w:p>
      <w:pPr>
        <w:pStyle w:val="ListParagraph"/>
        <w:numPr>
          <w:ilvl w:val="0"/>
          <w:numId w:val="2"/>
        </w:numPr>
        <w:spacing w:after="80"/>
      </w:pPr>
      <w:r>
        <w:rPr>
          <w:rFonts w:ascii="Arial" w:cs="Arial" w:eastAsia="Arial" w:hAnsi="Arial"/>
          <w:sz w:val="22"/>
          <w:szCs w:val="22"/>
        </w:rPr>
        <w:t xml:space="preserve">Original — taken on programme creation, never changes.</w:t>
      </w:r>
    </w:p>
    <w:p>
      <w:pPr>
        <w:pStyle w:val="ListParagraph"/>
        <w:numPr>
          <w:ilvl w:val="0"/>
          <w:numId w:val="2"/>
        </w:numPr>
        <w:spacing w:after="80"/>
      </w:pPr>
      <w:r>
        <w:rPr>
          <w:rFonts w:ascii="Arial" w:cs="Arial" w:eastAsia="Arial" w:hAnsi="Arial"/>
          <w:sz w:val="22"/>
          <w:szCs w:val="22"/>
        </w:rPr>
        <w:t xml:space="preserve">Contractual — taken at contract execution (where applicable). This is the baseline against which liquidated damages and extensions of time are measured.</w:t>
      </w:r>
    </w:p>
    <w:p>
      <w:pPr>
        <w:pStyle w:val="ListParagraph"/>
        <w:numPr>
          <w:ilvl w:val="0"/>
          <w:numId w:val="2"/>
        </w:numPr>
        <w:spacing w:after="80"/>
      </w:pPr>
      <w:r>
        <w:rPr>
          <w:rFonts w:ascii="Arial" w:cs="Arial" w:eastAsia="Arial" w:hAnsi="Arial"/>
          <w:sz w:val="22"/>
          <w:szCs w:val="22"/>
        </w:rPr>
        <w:t xml:space="preserve">Re_Baseline — taken after a material change (scope variation, significant delay) that the team agrees makes the original baseline no longer meaningful. Requires director approval.</w:t>
      </w:r>
    </w:p>
    <w:p>
      <w:pPr>
        <w:spacing w:after="120" w:before="0"/>
        <w:jc w:val="left"/>
      </w:pPr>
      <w:r>
        <w:rPr>
          <w:rFonts w:ascii="Arial" w:cs="Arial" w:eastAsia="Arial" w:hAnsi="Arial"/>
          <w:sz w:val="22"/>
          <w:szCs w:val="22"/>
        </w:rPr>
        <w:t xml:space="preserve">Each baseline captures the full task snapshot in JSONB — allowing comparison of today's programme against any historical baseline to show slippage.</w:t>
      </w:r>
    </w:p>
    <w:p>
      <w:pPr>
        <w:pStyle w:val="Heading2"/>
        <w:spacing w:after="150" w:before="300"/>
      </w:pPr>
      <w:r>
        <w:rPr>
          <w:rFonts w:ascii="Arial" w:cs="Arial" w:eastAsia="Arial" w:hAnsi="Arial"/>
          <w:b/>
          <w:bCs/>
          <w:color w:val="E85A1B"/>
          <w:sz w:val="28"/>
          <w:szCs w:val="28"/>
        </w:rPr>
        <w:t xml:space="preserve">Task updates from site</w:t>
      </w:r>
    </w:p>
    <w:p>
      <w:pPr>
        <w:spacing w:after="120" w:before="0"/>
        <w:jc w:val="left"/>
      </w:pPr>
      <w:r>
        <w:rPr>
          <w:rFonts w:ascii="Arial" w:cs="Arial" w:eastAsia="Arial" w:hAnsi="Arial"/>
          <w:sz w:val="22"/>
          <w:szCs w:val="22"/>
        </w:rPr>
        <w:t xml:space="preserve">Site managers update task progress via mobile. Every update creates a programme_task_updates row — the full audit trail of who reported what and when. Updates can record:</w:t>
      </w:r>
    </w:p>
    <w:p>
      <w:pPr>
        <w:pStyle w:val="ListParagraph"/>
        <w:numPr>
          <w:ilvl w:val="0"/>
          <w:numId w:val="2"/>
        </w:numPr>
        <w:spacing w:after="80"/>
      </w:pPr>
      <w:r>
        <w:rPr>
          <w:rFonts w:ascii="Arial" w:cs="Arial" w:eastAsia="Arial" w:hAnsi="Arial"/>
          <w:sz w:val="22"/>
          <w:szCs w:val="22"/>
        </w:rPr>
        <w:t xml:space="preserve">Task started / resumed.</w:t>
      </w:r>
    </w:p>
    <w:p>
      <w:pPr>
        <w:pStyle w:val="ListParagraph"/>
        <w:numPr>
          <w:ilvl w:val="0"/>
          <w:numId w:val="2"/>
        </w:numPr>
        <w:spacing w:after="80"/>
      </w:pPr>
      <w:r>
        <w:rPr>
          <w:rFonts w:ascii="Arial" w:cs="Arial" w:eastAsia="Arial" w:hAnsi="Arial"/>
          <w:sz w:val="22"/>
          <w:szCs w:val="22"/>
        </w:rPr>
        <w:t xml:space="preserve">Progress update (percentage).</w:t>
      </w:r>
    </w:p>
    <w:p>
      <w:pPr>
        <w:pStyle w:val="ListParagraph"/>
        <w:numPr>
          <w:ilvl w:val="0"/>
          <w:numId w:val="2"/>
        </w:numPr>
        <w:spacing w:after="80"/>
      </w:pPr>
      <w:r>
        <w:rPr>
          <w:rFonts w:ascii="Arial" w:cs="Arial" w:eastAsia="Arial" w:hAnsi="Arial"/>
          <w:sz w:val="22"/>
          <w:szCs w:val="22"/>
        </w:rPr>
        <w:t xml:space="preserve">Task completed (auto-sets actual_end_date, percentage = 100).</w:t>
      </w:r>
    </w:p>
    <w:p>
      <w:pPr>
        <w:pStyle w:val="ListParagraph"/>
        <w:numPr>
          <w:ilvl w:val="0"/>
          <w:numId w:val="2"/>
        </w:numPr>
        <w:spacing w:after="80"/>
      </w:pPr>
      <w:r>
        <w:rPr>
          <w:rFonts w:ascii="Arial" w:cs="Arial" w:eastAsia="Arial" w:hAnsi="Arial"/>
          <w:sz w:val="22"/>
          <w:szCs w:val="22"/>
        </w:rPr>
        <w:t xml:space="preserve">Date change / duration change / responsibility change.</w:t>
      </w:r>
    </w:p>
    <w:p>
      <w:pPr>
        <w:pStyle w:val="ListParagraph"/>
        <w:numPr>
          <w:ilvl w:val="0"/>
          <w:numId w:val="2"/>
        </w:numPr>
        <w:spacing w:after="80"/>
      </w:pPr>
      <w:r>
        <w:rPr>
          <w:rFonts w:ascii="Arial" w:cs="Arial" w:eastAsia="Arial" w:hAnsi="Arial"/>
          <w:sz w:val="22"/>
          <w:szCs w:val="22"/>
        </w:rPr>
        <w:t xml:space="preserve">Free-text comments with optional photo attachments.</w:t>
      </w:r>
    </w:p>
    <w:p>
      <w:pPr>
        <w:pStyle w:val="ListParagraph"/>
        <w:numPr>
          <w:ilvl w:val="0"/>
          <w:numId w:val="2"/>
        </w:numPr>
        <w:spacing w:after="80"/>
      </w:pPr>
      <w:r>
        <w:rPr>
          <w:rFonts w:ascii="Arial" w:cs="Arial" w:eastAsia="Arial" w:hAnsi="Arial"/>
          <w:sz w:val="22"/>
          <w:szCs w:val="22"/>
        </w:rPr>
        <w:t xml:space="preserve">GPS location captured for mobile updates.</w:t>
      </w:r>
    </w:p>
    <w:p>
      <w:pPr>
        <w:spacing w:after="120" w:before="0"/>
        <w:jc w:val="left"/>
      </w:pPr>
      <w:r>
        <w:rPr>
          <w:rFonts w:ascii="Arial" w:cs="Arial" w:eastAsia="Arial" w:hAnsi="Arial"/>
          <w:sz w:val="22"/>
          <w:szCs w:val="22"/>
        </w:rPr>
        <w:t xml:space="preserve">This gives the office team a live view without daily site calls.</w:t>
      </w:r>
    </w:p>
    <w:p>
      <w:pPr>
        <w:pStyle w:val="Heading2"/>
        <w:spacing w:after="150" w:before="300"/>
      </w:pPr>
      <w:r>
        <w:rPr>
          <w:rFonts w:ascii="Arial" w:cs="Arial" w:eastAsia="Arial" w:hAnsi="Arial"/>
          <w:b/>
          <w:bCs/>
          <w:color w:val="E85A1B"/>
          <w:sz w:val="28"/>
          <w:szCs w:val="28"/>
        </w:rPr>
        <w:t xml:space="preserve">Alerts</w:t>
      </w:r>
    </w:p>
    <w:p>
      <w:pPr>
        <w:spacing w:after="120" w:before="0"/>
        <w:jc w:val="left"/>
      </w:pPr>
      <w:r>
        <w:rPr>
          <w:rFonts w:ascii="Arial" w:cs="Arial" w:eastAsia="Arial" w:hAnsi="Arial"/>
          <w:sz w:val="22"/>
          <w:szCs w:val="22"/>
        </w:rPr>
        <w:t xml:space="preserve">Eight default alert types drive the proactive flagging:</w:t>
      </w:r>
    </w:p>
    <w:p>
      <w:pPr>
        <w:pStyle w:val="ListParagraph"/>
        <w:numPr>
          <w:ilvl w:val="0"/>
          <w:numId w:val="2"/>
        </w:numPr>
        <w:spacing w:after="80"/>
      </w:pPr>
      <w:r>
        <w:rPr>
          <w:rFonts w:ascii="Arial" w:cs="Arial" w:eastAsia="Arial" w:hAnsi="Arial"/>
          <w:sz w:val="22"/>
          <w:szCs w:val="22"/>
        </w:rPr>
        <w:t xml:space="preserve">Task Starting Soon — default 7 days ahead. Prompts prep.</w:t>
      </w:r>
    </w:p>
    <w:p>
      <w:pPr>
        <w:pStyle w:val="ListParagraph"/>
        <w:numPr>
          <w:ilvl w:val="0"/>
          <w:numId w:val="2"/>
        </w:numPr>
        <w:spacing w:after="80"/>
      </w:pPr>
      <w:r>
        <w:rPr>
          <w:rFonts w:ascii="Arial" w:cs="Arial" w:eastAsia="Arial" w:hAnsi="Arial"/>
          <w:sz w:val="22"/>
          <w:szCs w:val="22"/>
        </w:rPr>
        <w:t xml:space="preserve">Task Overdue — past planned_end_date with status != Complete.</w:t>
      </w:r>
    </w:p>
    <w:p>
      <w:pPr>
        <w:pStyle w:val="ListParagraph"/>
        <w:numPr>
          <w:ilvl w:val="0"/>
          <w:numId w:val="2"/>
        </w:numPr>
        <w:spacing w:after="80"/>
      </w:pPr>
      <w:r>
        <w:rPr>
          <w:rFonts w:ascii="Arial" w:cs="Arial" w:eastAsia="Arial" w:hAnsi="Arial"/>
          <w:sz w:val="22"/>
          <w:szCs w:val="22"/>
        </w:rPr>
        <w:t xml:space="preserve">Milestone Approaching — configurable lookahead (30/14/7 days).</w:t>
      </w:r>
    </w:p>
    <w:p>
      <w:pPr>
        <w:pStyle w:val="ListParagraph"/>
        <w:numPr>
          <w:ilvl w:val="0"/>
          <w:numId w:val="2"/>
        </w:numPr>
        <w:spacing w:after="80"/>
      </w:pPr>
      <w:r>
        <w:rPr>
          <w:rFonts w:ascii="Arial" w:cs="Arial" w:eastAsia="Arial" w:hAnsi="Arial"/>
          <w:sz w:val="22"/>
          <w:szCs w:val="22"/>
        </w:rPr>
        <w:t xml:space="preserve">Milestone Missed — past planned date, not hit.</w:t>
      </w:r>
    </w:p>
    <w:p>
      <w:pPr>
        <w:pStyle w:val="ListParagraph"/>
        <w:numPr>
          <w:ilvl w:val="0"/>
          <w:numId w:val="2"/>
        </w:numPr>
        <w:spacing w:after="80"/>
      </w:pPr>
      <w:r>
        <w:rPr>
          <w:rFonts w:ascii="Arial" w:cs="Arial" w:eastAsia="Arial" w:hAnsi="Arial"/>
          <w:sz w:val="22"/>
          <w:szCs w:val="22"/>
        </w:rPr>
        <w:t xml:space="preserve">Critical Path Slipping — any critical task running later than planned.</w:t>
      </w:r>
    </w:p>
    <w:p>
      <w:pPr>
        <w:pStyle w:val="ListParagraph"/>
        <w:numPr>
          <w:ilvl w:val="0"/>
          <w:numId w:val="2"/>
        </w:numPr>
        <w:spacing w:after="80"/>
      </w:pPr>
      <w:r>
        <w:rPr>
          <w:rFonts w:ascii="Arial" w:cs="Arial" w:eastAsia="Arial" w:hAnsi="Arial"/>
          <w:sz w:val="22"/>
          <w:szCs w:val="22"/>
        </w:rPr>
        <w:t xml:space="preserve">Baseline Deviation — overall programme slippage past threshold.</w:t>
      </w:r>
    </w:p>
    <w:p>
      <w:pPr>
        <w:pStyle w:val="ListParagraph"/>
        <w:numPr>
          <w:ilvl w:val="0"/>
          <w:numId w:val="2"/>
        </w:numPr>
        <w:spacing w:after="80"/>
      </w:pPr>
      <w:r>
        <w:rPr>
          <w:rFonts w:ascii="Arial" w:cs="Arial" w:eastAsia="Arial" w:hAnsi="Arial"/>
          <w:sz w:val="22"/>
          <w:szCs w:val="22"/>
        </w:rPr>
        <w:t xml:space="preserve">No Updates — task in progress with no update for 14+ days.</w:t>
      </w:r>
    </w:p>
    <w:p>
      <w:pPr>
        <w:pStyle w:val="ListParagraph"/>
        <w:numPr>
          <w:ilvl w:val="0"/>
          <w:numId w:val="2"/>
        </w:numPr>
        <w:spacing w:after="80"/>
      </w:pPr>
      <w:r>
        <w:rPr>
          <w:rFonts w:ascii="Arial" w:cs="Arial" w:eastAsia="Arial" w:hAnsi="Arial"/>
          <w:sz w:val="22"/>
          <w:szCs w:val="22"/>
        </w:rPr>
        <w:t xml:space="preserve">Duration Overrun — active task exceeds 110% of planned duration.</w:t>
      </w:r>
    </w:p>
    <w:p>
      <w:pPr>
        <w:pStyle w:val="ListParagraph"/>
        <w:numPr>
          <w:ilvl w:val="0"/>
          <w:numId w:val="2"/>
        </w:numPr>
        <w:spacing w:after="80"/>
      </w:pPr>
      <w:r>
        <w:rPr>
          <w:rFonts w:ascii="Arial" w:cs="Arial" w:eastAsia="Arial" w:hAnsi="Arial"/>
          <w:sz w:val="22"/>
          <w:szCs w:val="22"/>
        </w:rPr>
        <w:t xml:space="preserve">Predecessor Not Complete — scheduled to start but predecessor still running.</w:t>
      </w:r>
    </w:p>
    <w:p>
      <w:pPr>
        <w:spacing w:after="120" w:before="0"/>
        <w:jc w:val="left"/>
      </w:pPr>
      <w:r>
        <w:rPr>
          <w:rFonts w:ascii="Arial" w:cs="Arial" w:eastAsia="Arial" w:hAnsi="Arial"/>
          <w:sz w:val="22"/>
          <w:szCs w:val="22"/>
        </w:rPr>
        <w:t xml:space="preserve">Alerts route to programme_alerts with severity, message, notified_user_ids. Users acknowledge, resolve, or snooze. Re-alerts are suppressed while active or snoozed — so one late task doesn't spam the whole team.</w:t>
      </w:r>
    </w:p>
    <w:p>
      <w:pPr>
        <w:pStyle w:val="Heading2"/>
        <w:spacing w:after="150" w:before="300"/>
      </w:pPr>
      <w:r>
        <w:rPr>
          <w:rFonts w:ascii="Arial" w:cs="Arial" w:eastAsia="Arial" w:hAnsi="Arial"/>
          <w:b/>
          <w:bCs/>
          <w:color w:val="E85A1B"/>
          <w:sz w:val="28"/>
          <w:szCs w:val="28"/>
        </w:rPr>
        <w:t xml:space="preserve">Weekly reports</w:t>
      </w:r>
    </w:p>
    <w:p>
      <w:pPr>
        <w:spacing w:after="120" w:before="0"/>
        <w:jc w:val="left"/>
      </w:pPr>
      <w:r>
        <w:rPr>
          <w:rFonts w:ascii="Arial" w:cs="Arial" w:eastAsia="Arial" w:hAnsi="Arial"/>
          <w:sz w:val="22"/>
          <w:szCs w:val="22"/>
        </w:rPr>
        <w:t xml:space="preserve">Every Friday at 17:00, programme_weekly_reports is generated automatically: percentage complete, critical path slippage, tasks completed / started / overdue this week, milestones hit / missed, 2-week lookahead, key issues (manual narrative), weather impact days. Delivered via email to the project team and, optionally, to the board distribution list.</w:t>
      </w:r>
    </w:p>
    <w:p>
      <w:r>
        <w:br w:type="page"/>
      </w:r>
    </w:p>
    <w:p>
      <w:pPr>
        <w:pStyle w:val="Heading1"/>
        <w:spacing w:after="200" w:before="400"/>
      </w:pPr>
      <w:r>
        <w:rPr>
          <w:rFonts w:ascii="Arial" w:cs="Arial" w:eastAsia="Arial" w:hAnsi="Arial"/>
          <w:b/>
          <w:bCs/>
          <w:color w:val="1F2D3D"/>
          <w:sz w:val="36"/>
          <w:szCs w:val="36"/>
        </w:rPr>
        <w:t xml:space="preserve">QA &amp; Documents Module</w:t>
      </w:r>
    </w:p>
    <w:p>
      <w:pPr>
        <w:spacing w:after="120" w:before="0"/>
        <w:jc w:val="left"/>
      </w:pPr>
      <w:r>
        <w:rPr>
          <w:rFonts w:ascii="Arial" w:cs="Arial" w:eastAsia="Arial" w:hAnsi="Arial"/>
          <w:sz w:val="22"/>
          <w:szCs w:val="22"/>
        </w:rPr>
        <w:t xml:space="preserve">Documents are the evidence that the business does what it says it does. Compliance registers are the proof that regulatory obligations have been met. Together they form the defensible record when HMRC, insurers, lenders, buyers, or inspectors come looking.</w:t>
      </w:r>
    </w:p>
    <w:p>
      <w:pPr>
        <w:pStyle w:val="Heading2"/>
        <w:spacing w:after="150" w:before="300"/>
      </w:pPr>
      <w:r>
        <w:rPr>
          <w:rFonts w:ascii="Arial" w:cs="Arial" w:eastAsia="Arial" w:hAnsi="Arial"/>
          <w:b/>
          <w:bCs/>
          <w:color w:val="E85A1B"/>
          <w:sz w:val="28"/>
          <w:szCs w:val="28"/>
        </w:rPr>
        <w:t xml:space="preserve">Document store</w:t>
      </w:r>
    </w:p>
    <w:p>
      <w:pPr>
        <w:spacing w:after="120" w:before="0"/>
        <w:jc w:val="left"/>
      </w:pPr>
      <w:r>
        <w:rPr>
          <w:rFonts w:ascii="Arial" w:cs="Arial" w:eastAsia="Arial" w:hAnsi="Arial"/>
          <w:sz w:val="22"/>
          <w:szCs w:val="22"/>
        </w:rPr>
        <w:t xml:space="preserve">The documents table is the live document store. Each row:</w:t>
      </w:r>
    </w:p>
    <w:p>
      <w:pPr>
        <w:pStyle w:val="ListParagraph"/>
        <w:numPr>
          <w:ilvl w:val="0"/>
          <w:numId w:val="2"/>
        </w:numPr>
        <w:spacing w:after="80"/>
      </w:pPr>
      <w:r>
        <w:rPr>
          <w:rFonts w:ascii="Arial" w:cs="Arial" w:eastAsia="Arial" w:hAnsi="Arial"/>
          <w:sz w:val="22"/>
          <w:szCs w:val="22"/>
        </w:rPr>
        <w:t xml:space="preserve">Carries a document_number — auto-generated from project_code + type_code + sequence (e.g. GAR-001-DRW-0042). Immutable once assigned.</w:t>
      </w:r>
    </w:p>
    <w:p>
      <w:pPr>
        <w:pStyle w:val="ListParagraph"/>
        <w:numPr>
          <w:ilvl w:val="0"/>
          <w:numId w:val="2"/>
        </w:numPr>
        <w:spacing w:after="80"/>
      </w:pPr>
      <w:r>
        <w:rPr>
          <w:rFonts w:ascii="Arial" w:cs="Arial" w:eastAsia="Arial" w:hAnsi="Arial"/>
          <w:sz w:val="22"/>
          <w:szCs w:val="22"/>
        </w:rPr>
        <w:t xml:space="preserve">Links to a document_type (Drawing, RAMS, Certificate, Contract, Programme, Valuation, Payment Notice, etc. — 20+ types seeded).</w:t>
      </w:r>
    </w:p>
    <w:p>
      <w:pPr>
        <w:pStyle w:val="ListParagraph"/>
        <w:numPr>
          <w:ilvl w:val="0"/>
          <w:numId w:val="2"/>
        </w:numPr>
        <w:spacing w:after="80"/>
      </w:pPr>
      <w:r>
        <w:rPr>
          <w:rFonts w:ascii="Arial" w:cs="Arial" w:eastAsia="Arial" w:hAnsi="Arial"/>
          <w:sz w:val="22"/>
          <w:szCs w:val="22"/>
        </w:rPr>
        <w:t xml:space="preserve">Links optionally to a project, entity, subcontract, plot, budget_change, or valuation — one document can relate to multiple entities in the data model.</w:t>
      </w:r>
    </w:p>
    <w:p>
      <w:pPr>
        <w:pStyle w:val="ListParagraph"/>
        <w:numPr>
          <w:ilvl w:val="0"/>
          <w:numId w:val="2"/>
        </w:numPr>
        <w:spacing w:after="80"/>
      </w:pPr>
      <w:r>
        <w:rPr>
          <w:rFonts w:ascii="Arial" w:cs="Arial" w:eastAsia="Arial" w:hAnsi="Arial"/>
          <w:sz w:val="22"/>
          <w:szCs w:val="22"/>
        </w:rPr>
        <w:t xml:space="preserve">Versions via supersedes_document_id / superseded_by_document_id chain. Each version is a separate row; only one is current.</w:t>
      </w:r>
    </w:p>
    <w:p>
      <w:pPr>
        <w:pStyle w:val="ListParagraph"/>
        <w:numPr>
          <w:ilvl w:val="0"/>
          <w:numId w:val="2"/>
        </w:numPr>
        <w:spacing w:after="80"/>
      </w:pPr>
      <w:r>
        <w:rPr>
          <w:rFonts w:ascii="Arial" w:cs="Arial" w:eastAsia="Arial" w:hAnsi="Arial"/>
          <w:sz w:val="22"/>
          <w:szCs w:val="22"/>
        </w:rPr>
        <w:t xml:space="preserve">Stores the file in a cloud backend (S3 / Azure / GCS — configurable per deployment) with SHA-256 hash for integrity check. Hash mismatch triggers a tamper alert.</w:t>
      </w:r>
    </w:p>
    <w:p>
      <w:pPr>
        <w:pStyle w:val="ListParagraph"/>
        <w:numPr>
          <w:ilvl w:val="0"/>
          <w:numId w:val="2"/>
        </w:numPr>
        <w:spacing w:after="80"/>
      </w:pPr>
      <w:r>
        <w:rPr>
          <w:rFonts w:ascii="Arial" w:cs="Arial" w:eastAsia="Arial" w:hAnsi="Arial"/>
          <w:sz w:val="22"/>
          <w:szCs w:val="22"/>
        </w:rPr>
        <w:t xml:space="preserve">Carries access_restriction enum: Public / Authenticated / Project_Team / Project_Team_Plus_Consultants / Project_Team_Plus_Client / Internal_Only / Restricted_Custom.</w:t>
      </w:r>
    </w:p>
    <w:p>
      <w:pPr>
        <w:pStyle w:val="ListParagraph"/>
        <w:numPr>
          <w:ilvl w:val="0"/>
          <w:numId w:val="2"/>
        </w:numPr>
        <w:spacing w:after="80"/>
      </w:pPr>
      <w:r>
        <w:rPr>
          <w:rFonts w:ascii="Arial" w:cs="Arial" w:eastAsia="Arial" w:hAnsi="Arial"/>
          <w:sz w:val="22"/>
          <w:szCs w:val="22"/>
        </w:rPr>
        <w:t xml:space="preserve">Optional expiry_date for certificates and insurances.</w:t>
      </w:r>
    </w:p>
    <w:p>
      <w:pPr>
        <w:pStyle w:val="ListParagraph"/>
        <w:numPr>
          <w:ilvl w:val="0"/>
          <w:numId w:val="2"/>
        </w:numPr>
        <w:spacing w:after="80"/>
      </w:pPr>
      <w:r>
        <w:rPr>
          <w:rFonts w:ascii="Arial" w:cs="Arial" w:eastAsia="Arial" w:hAnsi="Arial"/>
          <w:sz w:val="22"/>
          <w:szCs w:val="22"/>
        </w:rPr>
        <w:t xml:space="preserve">Tags (JSONB) for user-defined search.</w:t>
      </w:r>
    </w:p>
    <w:p>
      <w:pPr>
        <w:pStyle w:val="Heading2"/>
        <w:spacing w:after="150" w:before="300"/>
      </w:pPr>
      <w:r>
        <w:rPr>
          <w:rFonts w:ascii="Arial" w:cs="Arial" w:eastAsia="Arial" w:hAnsi="Arial"/>
          <w:b/>
          <w:bCs/>
          <w:color w:val="E85A1B"/>
          <w:sz w:val="28"/>
          <w:szCs w:val="28"/>
        </w:rPr>
        <w:t xml:space="preserve">Templates</w:t>
      </w:r>
    </w:p>
    <w:p>
      <w:pPr>
        <w:spacing w:after="120" w:before="0"/>
        <w:jc w:val="left"/>
      </w:pPr>
      <w:r>
        <w:rPr>
          <w:rFonts w:ascii="Arial" w:cs="Arial" w:eastAsia="Arial" w:hAnsi="Arial"/>
          <w:sz w:val="22"/>
          <w:szCs w:val="22"/>
        </w:rPr>
        <w:t xml:space="preserve">30+ document templates are seeded — the standard letters, forms, and certificates the business issues:</w:t>
      </w:r>
    </w:p>
    <w:p>
      <w:pPr>
        <w:pStyle w:val="ListParagraph"/>
        <w:numPr>
          <w:ilvl w:val="0"/>
          <w:numId w:val="2"/>
        </w:numPr>
        <w:spacing w:after="80"/>
      </w:pPr>
      <w:r>
        <w:rPr>
          <w:rFonts w:ascii="Arial" w:cs="Arial" w:eastAsia="Arial" w:hAnsi="Arial"/>
          <w:sz w:val="22"/>
          <w:szCs w:val="22"/>
        </w:rPr>
        <w:t xml:space="preserve">Payment notices and pay less notices (JCT and NEC flavours).</w:t>
      </w:r>
    </w:p>
    <w:p>
      <w:pPr>
        <w:pStyle w:val="ListParagraph"/>
        <w:numPr>
          <w:ilvl w:val="0"/>
          <w:numId w:val="2"/>
        </w:numPr>
        <w:spacing w:after="80"/>
      </w:pPr>
      <w:r>
        <w:rPr>
          <w:rFonts w:ascii="Arial" w:cs="Arial" w:eastAsia="Arial" w:hAnsi="Arial"/>
          <w:sz w:val="22"/>
          <w:szCs w:val="22"/>
        </w:rPr>
        <w:t xml:space="preserve">Variation instructions.</w:t>
      </w:r>
    </w:p>
    <w:p>
      <w:pPr>
        <w:pStyle w:val="ListParagraph"/>
        <w:numPr>
          <w:ilvl w:val="0"/>
          <w:numId w:val="2"/>
        </w:numPr>
        <w:spacing w:after="80"/>
      </w:pPr>
      <w:r>
        <w:rPr>
          <w:rFonts w:ascii="Arial" w:cs="Arial" w:eastAsia="Arial" w:hAnsi="Arial"/>
          <w:sz w:val="22"/>
          <w:szCs w:val="22"/>
        </w:rPr>
        <w:t xml:space="preserve">Consultant appointment letters.</w:t>
      </w:r>
    </w:p>
    <w:p>
      <w:pPr>
        <w:pStyle w:val="ListParagraph"/>
        <w:numPr>
          <w:ilvl w:val="0"/>
          <w:numId w:val="2"/>
        </w:numPr>
        <w:spacing w:after="80"/>
      </w:pPr>
      <w:r>
        <w:rPr>
          <w:rFonts w:ascii="Arial" w:cs="Arial" w:eastAsia="Arial" w:hAnsi="Arial"/>
          <w:sz w:val="22"/>
          <w:szCs w:val="22"/>
        </w:rPr>
        <w:t xml:space="preserve">Subcontract orders.</w:t>
      </w:r>
    </w:p>
    <w:p>
      <w:pPr>
        <w:pStyle w:val="ListParagraph"/>
        <w:numPr>
          <w:ilvl w:val="0"/>
          <w:numId w:val="2"/>
        </w:numPr>
        <w:spacing w:after="80"/>
      </w:pPr>
      <w:r>
        <w:rPr>
          <w:rFonts w:ascii="Arial" w:cs="Arial" w:eastAsia="Arial" w:hAnsi="Arial"/>
          <w:sz w:val="22"/>
          <w:szCs w:val="22"/>
        </w:rPr>
        <w:t xml:space="preserve">Collateral warranties.</w:t>
      </w:r>
    </w:p>
    <w:p>
      <w:pPr>
        <w:pStyle w:val="ListParagraph"/>
        <w:numPr>
          <w:ilvl w:val="0"/>
          <w:numId w:val="2"/>
        </w:numPr>
        <w:spacing w:after="80"/>
      </w:pPr>
      <w:r>
        <w:rPr>
          <w:rFonts w:ascii="Arial" w:cs="Arial" w:eastAsia="Arial" w:hAnsi="Arial"/>
          <w:sz w:val="22"/>
          <w:szCs w:val="22"/>
        </w:rPr>
        <w:t xml:space="preserve">Tender assessment matrix.</w:t>
      </w:r>
    </w:p>
    <w:p>
      <w:pPr>
        <w:pStyle w:val="ListParagraph"/>
        <w:numPr>
          <w:ilvl w:val="0"/>
          <w:numId w:val="2"/>
        </w:numPr>
        <w:spacing w:after="80"/>
      </w:pPr>
      <w:r>
        <w:rPr>
          <w:rFonts w:ascii="Arial" w:cs="Arial" w:eastAsia="Arial" w:hAnsi="Arial"/>
          <w:sz w:val="22"/>
          <w:szCs w:val="22"/>
        </w:rPr>
        <w:t xml:space="preserve">H&amp;S file index.</w:t>
      </w:r>
    </w:p>
    <w:p>
      <w:pPr>
        <w:pStyle w:val="ListParagraph"/>
        <w:numPr>
          <w:ilvl w:val="0"/>
          <w:numId w:val="2"/>
        </w:numPr>
        <w:spacing w:after="80"/>
      </w:pPr>
      <w:r>
        <w:rPr>
          <w:rFonts w:ascii="Arial" w:cs="Arial" w:eastAsia="Arial" w:hAnsi="Arial"/>
          <w:sz w:val="22"/>
          <w:szCs w:val="22"/>
        </w:rPr>
        <w:t xml:space="preserve">CDM pre-construction information template.</w:t>
      </w:r>
    </w:p>
    <w:p>
      <w:pPr>
        <w:pStyle w:val="ListParagraph"/>
        <w:numPr>
          <w:ilvl w:val="0"/>
          <w:numId w:val="2"/>
        </w:numPr>
        <w:spacing w:after="80"/>
      </w:pPr>
      <w:r>
        <w:rPr>
          <w:rFonts w:ascii="Arial" w:cs="Arial" w:eastAsia="Arial" w:hAnsi="Arial"/>
          <w:sz w:val="22"/>
          <w:szCs w:val="22"/>
        </w:rPr>
        <w:t xml:space="preserve">Part L compliance checklist.</w:t>
      </w:r>
    </w:p>
    <w:p>
      <w:pPr>
        <w:pStyle w:val="ListParagraph"/>
        <w:numPr>
          <w:ilvl w:val="0"/>
          <w:numId w:val="2"/>
        </w:numPr>
        <w:spacing w:after="80"/>
      </w:pPr>
      <w:r>
        <w:rPr>
          <w:rFonts w:ascii="Arial" w:cs="Arial" w:eastAsia="Arial" w:hAnsi="Arial"/>
          <w:sz w:val="22"/>
          <w:szCs w:val="22"/>
        </w:rPr>
        <w:t xml:space="preserve">Part O overheating check.</w:t>
      </w:r>
    </w:p>
    <w:p>
      <w:pPr>
        <w:pStyle w:val="ListParagraph"/>
        <w:numPr>
          <w:ilvl w:val="0"/>
          <w:numId w:val="2"/>
        </w:numPr>
        <w:spacing w:after="80"/>
      </w:pPr>
      <w:r>
        <w:rPr>
          <w:rFonts w:ascii="Arial" w:cs="Arial" w:eastAsia="Arial" w:hAnsi="Arial"/>
          <w:sz w:val="22"/>
          <w:szCs w:val="22"/>
        </w:rPr>
        <w:t xml:space="preserve">Part Q security assessment.</w:t>
      </w:r>
    </w:p>
    <w:p>
      <w:pPr>
        <w:spacing w:after="120" w:before="0"/>
        <w:jc w:val="left"/>
      </w:pPr>
      <w:r>
        <w:rPr>
          <w:rFonts w:ascii="Arial" w:cs="Arial" w:eastAsia="Arial" w:hAnsi="Arial"/>
          <w:sz w:val="22"/>
          <w:szCs w:val="22"/>
        </w:rPr>
        <w:t xml:space="preserve">Each template carries placeholder_fields (JSONB mapping) — when the template is used, the platform auto-fills project name, address, dates, values from the linked records. The user reviews and finalises.</w:t>
      </w:r>
    </w:p>
    <w:p>
      <w:pPr>
        <w:pStyle w:val="Heading2"/>
        <w:spacing w:after="150" w:before="300"/>
      </w:pPr>
      <w:r>
        <w:rPr>
          <w:rFonts w:ascii="Arial" w:cs="Arial" w:eastAsia="Arial" w:hAnsi="Arial"/>
          <w:b/>
          <w:bCs/>
          <w:color w:val="E85A1B"/>
          <w:sz w:val="28"/>
          <w:szCs w:val="28"/>
        </w:rPr>
        <w:t xml:space="preserve">Approvals</w:t>
      </w:r>
    </w:p>
    <w:p>
      <w:pPr>
        <w:spacing w:after="120" w:before="0"/>
        <w:jc w:val="left"/>
      </w:pPr>
      <w:r>
        <w:rPr>
          <w:rFonts w:ascii="Arial" w:cs="Arial" w:eastAsia="Arial" w:hAnsi="Arial"/>
          <w:sz w:val="22"/>
          <w:szCs w:val="22"/>
        </w:rPr>
        <w:t xml:space="preserve">Documents follow an approval workflow where required. document_approvals rows define the stages — e.g. for a subcontract order: Stage 1 QS Review, Stage 2 Director Sign-off. Each stage has a required approver role (any holder can approve) or a specific user. Stages process in order; rejection at any stage routes back to Draft with mandatory comment. Self-approval is soft-flagged.</w:t>
      </w:r>
    </w:p>
    <w:p>
      <w:pPr>
        <w:pStyle w:val="Heading2"/>
        <w:spacing w:after="150" w:before="300"/>
      </w:pPr>
      <w:r>
        <w:rPr>
          <w:rFonts w:ascii="Arial" w:cs="Arial" w:eastAsia="Arial" w:hAnsi="Arial"/>
          <w:b/>
          <w:bCs/>
          <w:color w:val="E85A1B"/>
          <w:sz w:val="28"/>
          <w:szCs w:val="28"/>
        </w:rPr>
        <w:t xml:space="preserve">Compliance registers</w:t>
      </w:r>
    </w:p>
    <w:p>
      <w:pPr>
        <w:spacing w:after="120" w:before="0"/>
        <w:jc w:val="left"/>
      </w:pPr>
      <w:r>
        <w:rPr>
          <w:rFonts w:ascii="Arial" w:cs="Arial" w:eastAsia="Arial" w:hAnsi="Arial"/>
          <w:sz w:val="22"/>
          <w:szCs w:val="22"/>
        </w:rPr>
        <w:t xml:space="preserve">The document_registers table is the checklist of what a project must have. Rows are auto-seeded on project creation based on project_type. Register types:</w:t>
      </w:r>
    </w:p>
    <w:p>
      <w:pPr>
        <w:pStyle w:val="ListParagraph"/>
        <w:numPr>
          <w:ilvl w:val="0"/>
          <w:numId w:val="2"/>
        </w:numPr>
        <w:spacing w:after="80"/>
      </w:pPr>
      <w:r>
        <w:rPr>
          <w:rFonts w:ascii="Arial" w:cs="Arial" w:eastAsia="Arial" w:hAnsi="Arial"/>
          <w:sz w:val="22"/>
          <w:szCs w:val="22"/>
        </w:rPr>
        <w:t xml:space="preserve">CDM 2015 — 18 items covering notification, Principal Designer appointment, pre-construction information, CPP, health &amp; safety file.</w:t>
      </w:r>
    </w:p>
    <w:p>
      <w:pPr>
        <w:pStyle w:val="ListParagraph"/>
        <w:numPr>
          <w:ilvl w:val="0"/>
          <w:numId w:val="2"/>
        </w:numPr>
        <w:spacing w:after="80"/>
      </w:pPr>
      <w:r>
        <w:rPr>
          <w:rFonts w:ascii="Arial" w:cs="Arial" w:eastAsia="Arial" w:hAnsi="Arial"/>
          <w:sz w:val="22"/>
          <w:szCs w:val="22"/>
        </w:rPr>
        <w:t xml:space="preserve">BSA (Building Safety Act 2022) — 12 items for Higher-Risk Buildings (&gt;18m or 7+ storeys residential) covering accountable person registration, gateway 2 and 3 submissions, golden thread.</w:t>
      </w:r>
    </w:p>
    <w:p>
      <w:pPr>
        <w:pStyle w:val="ListParagraph"/>
        <w:numPr>
          <w:ilvl w:val="0"/>
          <w:numId w:val="2"/>
        </w:numPr>
        <w:spacing w:after="80"/>
      </w:pPr>
      <w:r>
        <w:rPr>
          <w:rFonts w:ascii="Arial" w:cs="Arial" w:eastAsia="Arial" w:hAnsi="Arial"/>
          <w:sz w:val="22"/>
          <w:szCs w:val="22"/>
        </w:rPr>
        <w:t xml:space="preserve">Part L — 6 items for energy efficiency and carbon.</w:t>
      </w:r>
    </w:p>
    <w:p>
      <w:pPr>
        <w:pStyle w:val="ListParagraph"/>
        <w:numPr>
          <w:ilvl w:val="0"/>
          <w:numId w:val="2"/>
        </w:numPr>
        <w:spacing w:after="80"/>
      </w:pPr>
      <w:r>
        <w:rPr>
          <w:rFonts w:ascii="Arial" w:cs="Arial" w:eastAsia="Arial" w:hAnsi="Arial"/>
          <w:sz w:val="22"/>
          <w:szCs w:val="22"/>
        </w:rPr>
        <w:t xml:space="preserve">Part O — 4 items for overheating mitigation in new residential.</w:t>
      </w:r>
    </w:p>
    <w:p>
      <w:pPr>
        <w:pStyle w:val="ListParagraph"/>
        <w:numPr>
          <w:ilvl w:val="0"/>
          <w:numId w:val="2"/>
        </w:numPr>
        <w:spacing w:after="80"/>
      </w:pPr>
      <w:r>
        <w:rPr>
          <w:rFonts w:ascii="Arial" w:cs="Arial" w:eastAsia="Arial" w:hAnsi="Arial"/>
          <w:sz w:val="22"/>
          <w:szCs w:val="22"/>
        </w:rPr>
        <w:t xml:space="preserve">Part Q — 5 items for security in dwellings.</w:t>
      </w:r>
    </w:p>
    <w:p>
      <w:pPr>
        <w:pStyle w:val="ListParagraph"/>
        <w:numPr>
          <w:ilvl w:val="0"/>
          <w:numId w:val="2"/>
        </w:numPr>
        <w:spacing w:after="80"/>
      </w:pPr>
      <w:r>
        <w:rPr>
          <w:rFonts w:ascii="Arial" w:cs="Arial" w:eastAsia="Arial" w:hAnsi="Arial"/>
          <w:sz w:val="22"/>
          <w:szCs w:val="22"/>
        </w:rPr>
        <w:t xml:space="preserve">Fire Safety — 8 items covering fire strategy, RRO, fire door schedules, evacuation plan.</w:t>
      </w:r>
    </w:p>
    <w:p>
      <w:pPr>
        <w:pStyle w:val="ListParagraph"/>
        <w:numPr>
          <w:ilvl w:val="0"/>
          <w:numId w:val="2"/>
        </w:numPr>
        <w:spacing w:after="80"/>
      </w:pPr>
      <w:r>
        <w:rPr>
          <w:rFonts w:ascii="Arial" w:cs="Arial" w:eastAsia="Arial" w:hAnsi="Arial"/>
          <w:sz w:val="22"/>
          <w:szCs w:val="22"/>
        </w:rPr>
        <w:t xml:space="preserve">Warranty — 6 items covering NHBC or LABC cover, structural warranty, defects provisions.</w:t>
      </w:r>
    </w:p>
    <w:p>
      <w:pPr>
        <w:pStyle w:val="ListParagraph"/>
        <w:numPr>
          <w:ilvl w:val="0"/>
          <w:numId w:val="2"/>
        </w:numPr>
        <w:spacing w:after="80"/>
      </w:pPr>
      <w:r>
        <w:rPr>
          <w:rFonts w:ascii="Arial" w:cs="Arial" w:eastAsia="Arial" w:hAnsi="Arial"/>
          <w:sz w:val="22"/>
          <w:szCs w:val="22"/>
        </w:rPr>
        <w:t xml:space="preserve">GDPR — 5 items covering data processing, retention, subject access.</w:t>
      </w:r>
    </w:p>
    <w:p>
      <w:pPr>
        <w:pStyle w:val="ListParagraph"/>
        <w:numPr>
          <w:ilvl w:val="0"/>
          <w:numId w:val="2"/>
        </w:numPr>
        <w:spacing w:after="80"/>
      </w:pPr>
      <w:r>
        <w:rPr>
          <w:rFonts w:ascii="Arial" w:cs="Arial" w:eastAsia="Arial" w:hAnsi="Arial"/>
          <w:sz w:val="22"/>
          <w:szCs w:val="22"/>
        </w:rPr>
        <w:t xml:space="preserve">Planning Discharge — variable based on conditions attached to approval.</w:t>
      </w:r>
    </w:p>
    <w:p>
      <w:pPr>
        <w:pStyle w:val="ListParagraph"/>
        <w:numPr>
          <w:ilvl w:val="0"/>
          <w:numId w:val="2"/>
        </w:numPr>
        <w:spacing w:after="80"/>
      </w:pPr>
      <w:r>
        <w:rPr>
          <w:rFonts w:ascii="Arial" w:cs="Arial" w:eastAsia="Arial" w:hAnsi="Arial"/>
          <w:sz w:val="22"/>
          <w:szCs w:val="22"/>
        </w:rPr>
        <w:t xml:space="preserve">Building Control — 7 items covering initial notice, plans deposit, inspections.</w:t>
      </w:r>
    </w:p>
    <w:p>
      <w:pPr>
        <w:pStyle w:val="ListParagraph"/>
        <w:numPr>
          <w:ilvl w:val="0"/>
          <w:numId w:val="2"/>
        </w:numPr>
        <w:spacing w:after="80"/>
      </w:pPr>
      <w:r>
        <w:rPr>
          <w:rFonts w:ascii="Arial" w:cs="Arial" w:eastAsia="Arial" w:hAnsi="Arial"/>
          <w:sz w:val="22"/>
          <w:szCs w:val="22"/>
        </w:rPr>
        <w:t xml:space="preserve">Insurance — 5 items covering EL, PL, PI, CAR, product guarantees.</w:t>
      </w:r>
    </w:p>
    <w:p>
      <w:pPr>
        <w:pStyle w:val="ListParagraph"/>
        <w:numPr>
          <w:ilvl w:val="0"/>
          <w:numId w:val="2"/>
        </w:numPr>
        <w:spacing w:after="80"/>
      </w:pPr>
      <w:r>
        <w:rPr>
          <w:rFonts w:ascii="Arial" w:cs="Arial" w:eastAsia="Arial" w:hAnsi="Arial"/>
          <w:sz w:val="22"/>
          <w:szCs w:val="22"/>
        </w:rPr>
        <w:t xml:space="preserve">Certificates — 8 items covering gas, electrical, commissioning, EPC, fire cert.</w:t>
      </w:r>
    </w:p>
    <w:p>
      <w:pPr>
        <w:spacing w:after="120" w:before="0"/>
        <w:jc w:val="left"/>
      </w:pPr>
      <w:r>
        <w:rPr>
          <w:rFonts w:ascii="Arial" w:cs="Arial" w:eastAsia="Arial" w:hAnsi="Arial"/>
          <w:sz w:val="22"/>
          <w:szCs w:val="22"/>
        </w:rPr>
        <w:t xml:space="preserve">Each register row specifies required_by_stage (Pre-Con / Start on Site / Key Milestone / Pre-PC / PC / Post-PC / Handover / Ongoing), responsible_party (SY Homes / Principal Contractor / Principal Designer / Architect / Engineer / Subcontractor / HA Client / Accountable Person / BSR / Building Control / Fire Officer), due_date, and linked_document_id when supplied.</w:t>
      </w:r>
    </w:p>
    <w:p>
      <w:pPr>
        <w:spacing w:after="120" w:before="0"/>
        <w:jc w:val="left"/>
      </w:pPr>
      <w:r>
        <w:rPr>
          <w:rFonts w:ascii="Arial" w:cs="Arial" w:eastAsia="Arial" w:hAnsi="Arial"/>
          <w:sz w:val="22"/>
          <w:szCs w:val="22"/>
        </w:rPr>
        <w:t xml:space="preserve">The dashboard view shows registers by stage — at a glance, which items are Required, In Progress, Submitted, Approved, Completed, Overdue, Not_Applicable, or Waived (director-approved exception).</w:t>
      </w:r>
    </w:p>
    <w:p>
      <w:pPr>
        <w:pStyle w:val="Heading2"/>
        <w:spacing w:after="150" w:before="300"/>
      </w:pPr>
      <w:r>
        <w:rPr>
          <w:rFonts w:ascii="Arial" w:cs="Arial" w:eastAsia="Arial" w:hAnsi="Arial"/>
          <w:b/>
          <w:bCs/>
          <w:color w:val="E85A1B"/>
          <w:sz w:val="28"/>
          <w:szCs w:val="28"/>
        </w:rPr>
        <w:t xml:space="preserve">Certificates and insurances</w:t>
      </w:r>
    </w:p>
    <w:p>
      <w:pPr>
        <w:spacing w:after="120" w:before="0"/>
        <w:jc w:val="left"/>
      </w:pPr>
      <w:r>
        <w:rPr>
          <w:rFonts w:ascii="Arial" w:cs="Arial" w:eastAsia="Arial" w:hAnsi="Arial"/>
          <w:sz w:val="22"/>
          <w:szCs w:val="22"/>
        </w:rPr>
        <w:t xml:space="preserve">certificates_and_permits is a separate register for time-bound items that need renewal — insurances, gas certificates, EPCs, planning permissions, S106 compliance, collateral warranties, NHBC/LABC cover, site licences, etc.</w:t>
      </w:r>
    </w:p>
    <w:p>
      <w:pPr>
        <w:spacing w:after="120" w:before="0"/>
        <w:jc w:val="left"/>
      </w:pPr>
      <w:r>
        <w:rPr>
          <w:rFonts w:ascii="Arial" w:cs="Arial" w:eastAsia="Arial" w:hAnsi="Arial"/>
          <w:sz w:val="22"/>
          <w:szCs w:val="22"/>
        </w:rPr>
        <w:t xml:space="preserve">The distinguishing feature is renewal tracking. Each certificate has renewal_reminder_days (JSONB, default [60, 30, 14, 7]) — days before expiry at which alerts fire. The expiring_soon → expired status transition happens automatically via scheduled job. Renewed certificates link to their predecessor via renewed_by_certificate_id, giving the full lineage.</w:t>
      </w:r>
    </w:p>
    <w:p>
      <w:r>
        <w:br w:type="page"/>
      </w:r>
    </w:p>
    <w:p>
      <w:pPr>
        <w:pStyle w:val="Heading1"/>
        <w:spacing w:after="200" w:before="400"/>
      </w:pPr>
      <w:r>
        <w:rPr>
          <w:rFonts w:ascii="Arial" w:cs="Arial" w:eastAsia="Arial" w:hAnsi="Arial"/>
          <w:b/>
          <w:bCs/>
          <w:color w:val="1F2D3D"/>
          <w:sz w:val="36"/>
          <w:szCs w:val="36"/>
        </w:rPr>
        <w:t xml:space="preserve">Xero Integration</w:t>
      </w:r>
    </w:p>
    <w:p>
      <w:pPr>
        <w:spacing w:after="120" w:before="0"/>
        <w:jc w:val="left"/>
      </w:pPr>
      <w:r>
        <w:rPr>
          <w:rFonts w:ascii="Arial" w:cs="Arial" w:eastAsia="Arial" w:hAnsi="Arial"/>
          <w:sz w:val="22"/>
          <w:szCs w:val="22"/>
        </w:rPr>
        <w:t xml:space="preserve">Xero is the single most important external system. Get this wrong and Louise spends a fortnight each month reconciling, morale collapses, and the platform becomes a liability rather than an asset. The integration is designed to be invisible when working (data flowing, bills appearing on budget, nothing to think about) and loud when not (errors surfaced, owners assigned, clear resolution).</w:t>
      </w:r>
    </w:p>
    <w:p>
      <w:pPr>
        <w:pStyle w:val="Heading2"/>
        <w:spacing w:after="150" w:before="300"/>
      </w:pPr>
      <w:r>
        <w:rPr>
          <w:rFonts w:ascii="Arial" w:cs="Arial" w:eastAsia="Arial" w:hAnsi="Arial"/>
          <w:b/>
          <w:bCs/>
          <w:color w:val="E85A1B"/>
          <w:sz w:val="28"/>
          <w:szCs w:val="28"/>
        </w:rPr>
        <w:t xml:space="preserve">Architecture</w:t>
      </w:r>
    </w:p>
    <w:p>
      <w:pPr>
        <w:spacing w:after="120" w:before="0"/>
        <w:jc w:val="left"/>
      </w:pPr>
      <w:r>
        <w:rPr>
          <w:rFonts w:ascii="Arial" w:cs="Arial" w:eastAsia="Arial" w:hAnsi="Arial"/>
          <w:sz w:val="22"/>
          <w:szCs w:val="22"/>
        </w:rPr>
        <w:t xml:space="preserve">The integration sits between three or more Xero organisations (one per entity) and the platform's operational tables. Key components:</w:t>
      </w:r>
    </w:p>
    <w:p>
      <w:pPr>
        <w:pStyle w:val="ListParagraph"/>
        <w:numPr>
          <w:ilvl w:val="0"/>
          <w:numId w:val="2"/>
        </w:numPr>
        <w:spacing w:after="80"/>
      </w:pPr>
      <w:r>
        <w:rPr>
          <w:rFonts w:ascii="Arial" w:cs="Arial" w:eastAsia="Arial" w:hAnsi="Arial"/>
          <w:sz w:val="22"/>
          <w:szCs w:val="22"/>
        </w:rPr>
        <w:t xml:space="preserve">Xero Connect — per-entity OAuth flow, token management, encrypted storage.</w:t>
      </w:r>
    </w:p>
    <w:p>
      <w:pPr>
        <w:pStyle w:val="ListParagraph"/>
        <w:numPr>
          <w:ilvl w:val="0"/>
          <w:numId w:val="2"/>
        </w:numPr>
        <w:spacing w:after="80"/>
      </w:pPr>
      <w:r>
        <w:rPr>
          <w:rFonts w:ascii="Arial" w:cs="Arial" w:eastAsia="Arial" w:hAnsi="Arial"/>
          <w:sz w:val="22"/>
          <w:szCs w:val="22"/>
        </w:rPr>
        <w:t xml:space="preserve">Webhook Receiver — listens for Xero push notifications (invoice and contact create/update), validates HMAC signature, enqueues for processing.</w:t>
      </w:r>
    </w:p>
    <w:p>
      <w:pPr>
        <w:pStyle w:val="ListParagraph"/>
        <w:numPr>
          <w:ilvl w:val="0"/>
          <w:numId w:val="2"/>
        </w:numPr>
        <w:spacing w:after="80"/>
      </w:pPr>
      <w:r>
        <w:rPr>
          <w:rFonts w:ascii="Arial" w:cs="Arial" w:eastAsia="Arial" w:hAnsi="Arial"/>
          <w:sz w:val="22"/>
          <w:szCs w:val="22"/>
        </w:rPr>
        <w:t xml:space="preserve">Sync Engine — queue-based worker consuming xero_sync_queue with exponential backoff retry.</w:t>
      </w:r>
    </w:p>
    <w:p>
      <w:pPr>
        <w:pStyle w:val="ListParagraph"/>
        <w:numPr>
          <w:ilvl w:val="0"/>
          <w:numId w:val="2"/>
        </w:numPr>
        <w:spacing w:after="80"/>
      </w:pPr>
      <w:r>
        <w:rPr>
          <w:rFonts w:ascii="Arial" w:cs="Arial" w:eastAsia="Arial" w:hAnsi="Arial"/>
          <w:sz w:val="22"/>
          <w:szCs w:val="22"/>
        </w:rPr>
        <w:t xml:space="preserve">Mapping Translator — converts Xero tracking tags (project + cost code option names) to platform UUIDs for project_id and cost_code_id.</w:t>
      </w:r>
    </w:p>
    <w:p>
      <w:pPr>
        <w:pStyle w:val="ListParagraph"/>
        <w:numPr>
          <w:ilvl w:val="0"/>
          <w:numId w:val="2"/>
        </w:numPr>
        <w:spacing w:after="80"/>
      </w:pPr>
      <w:r>
        <w:rPr>
          <w:rFonts w:ascii="Arial" w:cs="Arial" w:eastAsia="Arial" w:hAnsi="Arial"/>
          <w:sz w:val="22"/>
          <w:szCs w:val="22"/>
        </w:rPr>
        <w:t xml:space="preserve">Reconciler — nightly full-delta sync, orphan detection, VAT total reconciliation, mapping health checks.</w:t>
      </w:r>
    </w:p>
    <w:p>
      <w:pPr>
        <w:pStyle w:val="ListParagraph"/>
        <w:numPr>
          <w:ilvl w:val="0"/>
          <w:numId w:val="2"/>
        </w:numPr>
        <w:spacing w:after="80"/>
      </w:pPr>
      <w:r>
        <w:rPr>
          <w:rFonts w:ascii="Arial" w:cs="Arial" w:eastAsia="Arial" w:hAnsi="Arial"/>
          <w:sz w:val="22"/>
          <w:szCs w:val="22"/>
        </w:rPr>
        <w:t xml:space="preserve">Error Queue — surfaces errors with owner assignment, resolution tracking, escalation after 24 hours.</w:t>
      </w:r>
    </w:p>
    <w:p>
      <w:pPr>
        <w:pStyle w:val="Heading2"/>
        <w:spacing w:after="150" w:before="300"/>
      </w:pPr>
      <w:r>
        <w:rPr>
          <w:rFonts w:ascii="Arial" w:cs="Arial" w:eastAsia="Arial" w:hAnsi="Arial"/>
          <w:b/>
          <w:bCs/>
          <w:color w:val="E85A1B"/>
          <w:sz w:val="28"/>
          <w:szCs w:val="28"/>
        </w:rPr>
        <w:t xml:space="preserve">Xero is source of truth, platform is source of meaning</w:t>
      </w:r>
    </w:p>
    <w:p>
      <w:pPr>
        <w:spacing w:after="120" w:before="0"/>
        <w:jc w:val="left"/>
      </w:pPr>
      <w:r>
        <w:rPr>
          <w:rFonts w:ascii="Arial" w:cs="Arial" w:eastAsia="Arial" w:hAnsi="Arial"/>
          <w:sz w:val="22"/>
          <w:szCs w:val="22"/>
        </w:rPr>
        <w:t xml:space="preserve">Xero is the ledger. Raw bills, invoices, payments, bank lines live there. The platform mirrors them in shadow tables (xero_bills, xero_invoices, xero_payments, xero_credit_notes, xero_bank_transactions, xero_manual_journals) so that we can:</w:t>
      </w:r>
    </w:p>
    <w:p>
      <w:pPr>
        <w:pStyle w:val="ListParagraph"/>
        <w:numPr>
          <w:ilvl w:val="0"/>
          <w:numId w:val="2"/>
        </w:numPr>
        <w:spacing w:after="80"/>
      </w:pPr>
      <w:r>
        <w:rPr>
          <w:rFonts w:ascii="Arial" w:cs="Arial" w:eastAsia="Arial" w:hAnsi="Arial"/>
          <w:sz w:val="22"/>
          <w:szCs w:val="22"/>
        </w:rPr>
        <w:t xml:space="preserve">Detect mid-stream edits (Louise corrects a line on a posted bill) via sync_hash comparison.</w:t>
      </w:r>
    </w:p>
    <w:p>
      <w:pPr>
        <w:pStyle w:val="ListParagraph"/>
        <w:numPr>
          <w:ilvl w:val="0"/>
          <w:numId w:val="2"/>
        </w:numPr>
        <w:spacing w:after="80"/>
      </w:pPr>
      <w:r>
        <w:rPr>
          <w:rFonts w:ascii="Arial" w:cs="Arial" w:eastAsia="Arial" w:hAnsi="Arial"/>
          <w:sz w:val="22"/>
          <w:szCs w:val="22"/>
        </w:rPr>
        <w:t xml:space="preserve">Hold un-tagged bills without losing them — they sit in xero_bills with is_fully_tagged = false until resolved.</w:t>
      </w:r>
    </w:p>
    <w:p>
      <w:pPr>
        <w:pStyle w:val="ListParagraph"/>
        <w:numPr>
          <w:ilvl w:val="0"/>
          <w:numId w:val="2"/>
        </w:numPr>
        <w:spacing w:after="80"/>
      </w:pPr>
      <w:r>
        <w:rPr>
          <w:rFonts w:ascii="Arial" w:cs="Arial" w:eastAsia="Arial" w:hAnsi="Arial"/>
          <w:sz w:val="22"/>
          <w:szCs w:val="22"/>
        </w:rPr>
        <w:t xml:space="preserve">Audit what Xero sent vs what the platform interpreted.</w:t>
      </w:r>
    </w:p>
    <w:p>
      <w:pPr>
        <w:pStyle w:val="ListParagraph"/>
        <w:numPr>
          <w:ilvl w:val="0"/>
          <w:numId w:val="2"/>
        </w:numPr>
        <w:spacing w:after="80"/>
      </w:pPr>
      <w:r>
        <w:rPr>
          <w:rFonts w:ascii="Arial" w:cs="Arial" w:eastAsia="Arial" w:hAnsi="Arial"/>
          <w:sz w:val="22"/>
          <w:szCs w:val="22"/>
        </w:rPr>
        <w:t xml:space="preserve">Replay sync for a historical period if mapping logic changes.</w:t>
      </w:r>
    </w:p>
    <w:p>
      <w:pPr>
        <w:spacing w:after="120" w:before="0"/>
        <w:jc w:val="left"/>
      </w:pPr>
      <w:r>
        <w:rPr>
          <w:rFonts w:ascii="Arial" w:cs="Arial" w:eastAsia="Arial" w:hAnsi="Arial"/>
          <w:sz w:val="22"/>
          <w:szCs w:val="22"/>
        </w:rPr>
        <w:t xml:space="preserve">The platform is the source of meaning. Every bill line, on successful tagging, creates a platform actuals row linked to the right project and budget_line. This is where reports are built — the platform can deliver project P&amp;Ls, cash flow actuals, CIS300 inputs, VAT analysis, and variance reports that Xero alone cannot.</w:t>
      </w:r>
    </w:p>
    <w:p>
      <w:pPr>
        <w:pStyle w:val="Heading2"/>
        <w:spacing w:after="150" w:before="300"/>
      </w:pPr>
      <w:r>
        <w:rPr>
          <w:rFonts w:ascii="Arial" w:cs="Arial" w:eastAsia="Arial" w:hAnsi="Arial"/>
          <w:b/>
          <w:bCs/>
          <w:color w:val="E85A1B"/>
          <w:sz w:val="28"/>
          <w:szCs w:val="28"/>
        </w:rPr>
        <w:t xml:space="preserve">Tracking categories</w:t>
      </w:r>
    </w:p>
    <w:p>
      <w:pPr>
        <w:spacing w:after="120" w:before="0"/>
        <w:jc w:val="left"/>
      </w:pPr>
      <w:r>
        <w:rPr>
          <w:rFonts w:ascii="Arial" w:cs="Arial" w:eastAsia="Arial" w:hAnsi="Arial"/>
          <w:sz w:val="22"/>
          <w:szCs w:val="22"/>
        </w:rPr>
        <w:t xml:space="preserve">Xero allows two tracking categories per organisation, each with up to 100 options. The platform uses both: Project and Cost Code. Category roles are explicit on xero_tracking_categories.category_role so the platform knows which is which.</w:t>
      </w:r>
    </w:p>
    <w:p>
      <w:pPr>
        <w:spacing w:after="120" w:before="0"/>
        <w:jc w:val="left"/>
      </w:pPr>
      <w:r>
        <w:rPr>
          <w:rFonts w:ascii="Arial" w:cs="Arial" w:eastAsia="Arial" w:hAnsi="Arial"/>
          <w:sz w:val="22"/>
          <w:szCs w:val="22"/>
        </w:rPr>
        <w:t xml:space="preserve">Tracking options map to platform records. Exact matches are preferred — "GAR-001 Garth Owen" matches projects.project_code "GAR-001" exactly. Fuzzy matches (where someone's typed it slightly wrong) are flagged for manual confirmation. The 100-option limit matters: at 100 projects, archival becomes essential. Project closure triggers Xero tracking option archival in the connected entity.</w:t>
      </w:r>
    </w:p>
    <w:p>
      <w:pPr>
        <w:pStyle w:val="Heading2"/>
        <w:spacing w:after="150" w:before="300"/>
      </w:pPr>
      <w:r>
        <w:rPr>
          <w:rFonts w:ascii="Arial" w:cs="Arial" w:eastAsia="Arial" w:hAnsi="Arial"/>
          <w:b/>
          <w:bCs/>
          <w:color w:val="E85A1B"/>
          <w:sz w:val="28"/>
          <w:szCs w:val="28"/>
        </w:rPr>
        <w:t xml:space="preserve">Bill-to-actual mapping logic</w:t>
      </w:r>
    </w:p>
    <w:p>
      <w:pPr>
        <w:spacing w:after="120" w:before="0"/>
        <w:jc w:val="left"/>
      </w:pPr>
      <w:r>
        <w:rPr>
          <w:rFonts w:ascii="Arial" w:cs="Arial" w:eastAsia="Arial" w:hAnsi="Arial"/>
          <w:sz w:val="22"/>
          <w:szCs w:val="22"/>
        </w:rPr>
        <w:t xml:space="preserve">When a bill arrives via webhook or polling:</w:t>
      </w:r>
    </w:p>
    <w:p>
      <w:pPr>
        <w:pStyle w:val="ListParagraph"/>
        <w:numPr>
          <w:ilvl w:val="0"/>
          <w:numId w:val="2"/>
        </w:numPr>
        <w:spacing w:after="80"/>
      </w:pPr>
      <w:r>
        <w:rPr>
          <w:rFonts w:ascii="Arial" w:cs="Arial" w:eastAsia="Arial" w:hAnsi="Arial"/>
          <w:sz w:val="22"/>
          <w:szCs w:val="22"/>
        </w:rPr>
        <w:t xml:space="preserve">For each line item, extract tracking tags.</w:t>
      </w:r>
    </w:p>
    <w:p>
      <w:pPr>
        <w:pStyle w:val="ListParagraph"/>
        <w:numPr>
          <w:ilvl w:val="0"/>
          <w:numId w:val="2"/>
        </w:numPr>
        <w:spacing w:after="80"/>
      </w:pPr>
      <w:r>
        <w:rPr>
          <w:rFonts w:ascii="Arial" w:cs="Arial" w:eastAsia="Arial" w:hAnsi="Arial"/>
          <w:sz w:val="22"/>
          <w:szCs w:val="22"/>
        </w:rPr>
        <w:t xml:space="preserve">Resolve Project option_name to projects.project_code → project_id. If not found, mark line as untagged.</w:t>
      </w:r>
    </w:p>
    <w:p>
      <w:pPr>
        <w:pStyle w:val="ListParagraph"/>
        <w:numPr>
          <w:ilvl w:val="0"/>
          <w:numId w:val="2"/>
        </w:numPr>
        <w:spacing w:after="80"/>
      </w:pPr>
      <w:r>
        <w:rPr>
          <w:rFonts w:ascii="Arial" w:cs="Arial" w:eastAsia="Arial" w:hAnsi="Arial"/>
          <w:sz w:val="22"/>
          <w:szCs w:val="22"/>
        </w:rPr>
        <w:t xml:space="preserve">Resolve Cost Code option_name to cost_codes.code → cost_code_id. If not found, mark line as untagged.</w:t>
      </w:r>
    </w:p>
    <w:p>
      <w:pPr>
        <w:pStyle w:val="ListParagraph"/>
        <w:numPr>
          <w:ilvl w:val="0"/>
          <w:numId w:val="2"/>
        </w:numPr>
        <w:spacing w:after="80"/>
      </w:pPr>
      <w:r>
        <w:rPr>
          <w:rFonts w:ascii="Arial" w:cs="Arial" w:eastAsia="Arial" w:hAnsi="Arial"/>
          <w:sz w:val="22"/>
          <w:szCs w:val="22"/>
        </w:rPr>
        <w:t xml:space="preserve">If both resolved: find matching budget_line for (project_id, cost_code_id). If not found, create an "unbudgeted" line flagged for PM review.</w:t>
      </w:r>
    </w:p>
    <w:p>
      <w:pPr>
        <w:pStyle w:val="ListParagraph"/>
        <w:numPr>
          <w:ilvl w:val="0"/>
          <w:numId w:val="2"/>
        </w:numPr>
        <w:spacing w:after="80"/>
      </w:pPr>
      <w:r>
        <w:rPr>
          <w:rFonts w:ascii="Arial" w:cs="Arial" w:eastAsia="Arial" w:hAnsi="Arial"/>
          <w:sz w:val="22"/>
          <w:szCs w:val="22"/>
        </w:rPr>
        <w:t xml:space="preserve">Determine entity from xero_connection.</w:t>
      </w:r>
    </w:p>
    <w:p>
      <w:pPr>
        <w:pStyle w:val="ListParagraph"/>
        <w:numPr>
          <w:ilvl w:val="0"/>
          <w:numId w:val="2"/>
        </w:numPr>
        <w:spacing w:after="80"/>
      </w:pPr>
      <w:r>
        <w:rPr>
          <w:rFonts w:ascii="Arial" w:cs="Arial" w:eastAsia="Arial" w:hAnsi="Arial"/>
          <w:sz w:val="22"/>
          <w:szCs w:val="22"/>
        </w:rPr>
        <w:t xml:space="preserve">Create actuals row with source_type = Xero_Bill, external_id = xero_invoice_id + line_id (the dedupe key).</w:t>
      </w:r>
    </w:p>
    <w:p>
      <w:pPr>
        <w:pStyle w:val="ListParagraph"/>
        <w:numPr>
          <w:ilvl w:val="0"/>
          <w:numId w:val="2"/>
        </w:numPr>
        <w:spacing w:after="80"/>
      </w:pPr>
      <w:r>
        <w:rPr>
          <w:rFonts w:ascii="Arial" w:cs="Arial" w:eastAsia="Arial" w:hAnsi="Arial"/>
          <w:sz w:val="22"/>
          <w:szCs w:val="22"/>
        </w:rPr>
        <w:t xml:space="preserve">Apply CIS logic if supplier is CIS and cost code is CIS-applicable.</w:t>
      </w:r>
    </w:p>
    <w:p>
      <w:pPr>
        <w:pStyle w:val="ListParagraph"/>
        <w:numPr>
          <w:ilvl w:val="0"/>
          <w:numId w:val="2"/>
        </w:numPr>
        <w:spacing w:after="80"/>
      </w:pPr>
      <w:r>
        <w:rPr>
          <w:rFonts w:ascii="Arial" w:cs="Arial" w:eastAsia="Arial" w:hAnsi="Arial"/>
          <w:sz w:val="22"/>
          <w:szCs w:val="22"/>
        </w:rPr>
        <w:t xml:space="preserve">Apply retention logic if cost code flagged + supplier is subcontractor.</w:t>
      </w:r>
    </w:p>
    <w:p>
      <w:pPr>
        <w:pStyle w:val="ListParagraph"/>
        <w:numPr>
          <w:ilvl w:val="0"/>
          <w:numId w:val="2"/>
        </w:numPr>
        <w:spacing w:after="80"/>
      </w:pPr>
      <w:r>
        <w:rPr>
          <w:rFonts w:ascii="Arial" w:cs="Arial" w:eastAsia="Arial" w:hAnsi="Arial"/>
          <w:sz w:val="22"/>
          <w:szCs w:val="22"/>
        </w:rPr>
        <w:t xml:space="preserve">Link to commitment if reference matches an active commitment.</w:t>
      </w:r>
    </w:p>
    <w:p>
      <w:pPr>
        <w:pStyle w:val="ListParagraph"/>
        <w:numPr>
          <w:ilvl w:val="0"/>
          <w:numId w:val="2"/>
        </w:numPr>
        <w:spacing w:after="80"/>
      </w:pPr>
      <w:r>
        <w:rPr>
          <w:rFonts w:ascii="Arial" w:cs="Arial" w:eastAsia="Arial" w:hAnsi="Arial"/>
          <w:sz w:val="22"/>
          <w:szCs w:val="22"/>
        </w:rPr>
        <w:t xml:space="preserve">Set status = Posted (or Paid if fully paid).</w:t>
      </w:r>
    </w:p>
    <w:p>
      <w:pPr>
        <w:spacing w:after="120" w:before="0"/>
        <w:jc w:val="left"/>
      </w:pPr>
      <w:r>
        <w:rPr>
          <w:rFonts w:ascii="Arial" w:cs="Arial" w:eastAsia="Arial" w:hAnsi="Arial"/>
          <w:sz w:val="22"/>
          <w:szCs w:val="22"/>
        </w:rPr>
        <w:t xml:space="preserve">If any tag is missing, the actuals row is NOT created. The bill sits in xero_bills with is_fully_tagged = false and appears in the reconciliation queue for Louise to tag. A weekly digest lists untagged bills by age.</w:t>
      </w:r>
    </w:p>
    <w:p>
      <w:pPr>
        <w:pStyle w:val="Heading2"/>
        <w:spacing w:after="150" w:before="300"/>
      </w:pPr>
      <w:r>
        <w:rPr>
          <w:rFonts w:ascii="Arial" w:cs="Arial" w:eastAsia="Arial" w:hAnsi="Arial"/>
          <w:b/>
          <w:bCs/>
          <w:color w:val="E85A1B"/>
          <w:sz w:val="28"/>
          <w:szCs w:val="28"/>
        </w:rPr>
        <w:t xml:space="preserve">VAT treatment logic</w:t>
      </w:r>
    </w:p>
    <w:p>
      <w:pPr>
        <w:spacing w:after="120" w:before="0"/>
        <w:jc w:val="left"/>
      </w:pPr>
      <w:r>
        <w:rPr>
          <w:rFonts w:ascii="Arial" w:cs="Arial" w:eastAsia="Arial" w:hAnsi="Arial"/>
          <w:sz w:val="22"/>
          <w:szCs w:val="22"/>
        </w:rPr>
        <w:t xml:space="preserve">The platform auto-selects the right Xero tax code based on (cost_code.vat_treatment, entity, supplier):</w:t>
      </w:r>
    </w:p>
    <w:p>
      <w:pPr>
        <w:pStyle w:val="ListParagraph"/>
        <w:numPr>
          <w:ilvl w:val="0"/>
          <w:numId w:val="2"/>
        </w:numPr>
        <w:spacing w:after="80"/>
      </w:pPr>
      <w:r>
        <w:rPr>
          <w:rFonts w:ascii="Arial" w:cs="Arial" w:eastAsia="Arial" w:hAnsi="Arial"/>
          <w:sz w:val="22"/>
          <w:szCs w:val="22"/>
        </w:rPr>
        <w:t xml:space="preserve">Standard cost, any entity, non-CIS supplier → INPUT2 (20% input VAT recoverable).</w:t>
      </w:r>
    </w:p>
    <w:p>
      <w:pPr>
        <w:pStyle w:val="ListParagraph"/>
        <w:numPr>
          <w:ilvl w:val="0"/>
          <w:numId w:val="2"/>
        </w:numPr>
        <w:spacing w:after="80"/>
      </w:pPr>
      <w:r>
        <w:rPr>
          <w:rFonts w:ascii="Arial" w:cs="Arial" w:eastAsia="Arial" w:hAnsi="Arial"/>
          <w:sz w:val="22"/>
          <w:szCs w:val="22"/>
        </w:rPr>
        <w:t xml:space="preserve">Reverse_Charge cost, SPV as customer from ConstructionCo → DRCHARGE20 (reverse charge supply).</w:t>
      </w:r>
    </w:p>
    <w:p>
      <w:pPr>
        <w:pStyle w:val="ListParagraph"/>
        <w:numPr>
          <w:ilvl w:val="0"/>
          <w:numId w:val="2"/>
        </w:numPr>
        <w:spacing w:after="80"/>
      </w:pPr>
      <w:r>
        <w:rPr>
          <w:rFonts w:ascii="Arial" w:cs="Arial" w:eastAsia="Arial" w:hAnsi="Arial"/>
          <w:sz w:val="22"/>
          <w:szCs w:val="22"/>
        </w:rPr>
        <w:t xml:space="preserve">Reverse_Charge cost, ConstructionCo as customer from subbie → DRCHARGE20.</w:t>
      </w:r>
    </w:p>
    <w:p>
      <w:pPr>
        <w:pStyle w:val="ListParagraph"/>
        <w:numPr>
          <w:ilvl w:val="0"/>
          <w:numId w:val="2"/>
        </w:numPr>
        <w:spacing w:after="80"/>
      </w:pPr>
      <w:r>
        <w:rPr>
          <w:rFonts w:ascii="Arial" w:cs="Arial" w:eastAsia="Arial" w:hAnsi="Arial"/>
          <w:sz w:val="22"/>
          <w:szCs w:val="22"/>
        </w:rPr>
        <w:t xml:space="preserve">Zero_New_Build on sales invoice → ZERORATED (new dwelling sale).</w:t>
      </w:r>
    </w:p>
    <w:p>
      <w:pPr>
        <w:pStyle w:val="ListParagraph"/>
        <w:numPr>
          <w:ilvl w:val="0"/>
          <w:numId w:val="2"/>
        </w:numPr>
        <w:spacing w:after="80"/>
      </w:pPr>
      <w:r>
        <w:rPr>
          <w:rFonts w:ascii="Arial" w:cs="Arial" w:eastAsia="Arial" w:hAnsi="Arial"/>
          <w:sz w:val="22"/>
          <w:szCs w:val="22"/>
        </w:rPr>
        <w:t xml:space="preserve">Exempt → EXEMPTINPUT.</w:t>
      </w:r>
    </w:p>
    <w:p>
      <w:pPr>
        <w:spacing w:after="120" w:before="0"/>
        <w:jc w:val="left"/>
      </w:pPr>
      <w:r>
        <w:rPr>
          <w:rFonts w:ascii="Arial" w:cs="Arial" w:eastAsia="Arial" w:hAnsi="Arial"/>
          <w:sz w:val="22"/>
          <w:szCs w:val="22"/>
        </w:rPr>
        <w:t xml:space="preserve">Louise can override per line in Xero, but the system warns if an override contradicts the expected treatment.</w:t>
      </w:r>
    </w:p>
    <w:p>
      <w:pPr>
        <w:pStyle w:val="Heading2"/>
        <w:spacing w:after="150" w:before="300"/>
      </w:pPr>
      <w:r>
        <w:rPr>
          <w:rFonts w:ascii="Arial" w:cs="Arial" w:eastAsia="Arial" w:hAnsi="Arial"/>
          <w:b/>
          <w:bCs/>
          <w:color w:val="E85A1B"/>
          <w:sz w:val="28"/>
          <w:szCs w:val="28"/>
        </w:rPr>
        <w:t xml:space="preserve">CIS handling</w:t>
      </w:r>
    </w:p>
    <w:p>
      <w:pPr>
        <w:spacing w:after="120" w:before="0"/>
        <w:jc w:val="left"/>
      </w:pPr>
      <w:r>
        <w:rPr>
          <w:rFonts w:ascii="Arial" w:cs="Arial" w:eastAsia="Arial" w:hAnsi="Arial"/>
          <w:sz w:val="22"/>
          <w:szCs w:val="22"/>
        </w:rPr>
        <w:t xml:space="preserve">When a bill is posted against a CIS supplier for CIS-applicable work:</w:t>
      </w:r>
    </w:p>
    <w:p>
      <w:pPr>
        <w:pStyle w:val="ListParagraph"/>
        <w:numPr>
          <w:ilvl w:val="0"/>
          <w:numId w:val="2"/>
        </w:numPr>
        <w:spacing w:after="80"/>
      </w:pPr>
      <w:r>
        <w:rPr>
          <w:rFonts w:ascii="Arial" w:cs="Arial" w:eastAsia="Arial" w:hAnsi="Arial"/>
          <w:sz w:val="22"/>
          <w:szCs w:val="22"/>
        </w:rPr>
        <w:t xml:space="preserve">Labour vs materials split extracted from the bill (description parsing or supplier default).</w:t>
      </w:r>
    </w:p>
    <w:p>
      <w:pPr>
        <w:pStyle w:val="ListParagraph"/>
        <w:numPr>
          <w:ilvl w:val="0"/>
          <w:numId w:val="2"/>
        </w:numPr>
        <w:spacing w:after="80"/>
      </w:pPr>
      <w:r>
        <w:rPr>
          <w:rFonts w:ascii="Arial" w:cs="Arial" w:eastAsia="Arial" w:hAnsi="Arial"/>
          <w:sz w:val="22"/>
          <w:szCs w:val="22"/>
        </w:rPr>
        <w:t xml:space="preserve">Deduction rate applied (0 / 20 / 30) based on verification status.</w:t>
      </w:r>
    </w:p>
    <w:p>
      <w:pPr>
        <w:pStyle w:val="ListParagraph"/>
        <w:numPr>
          <w:ilvl w:val="0"/>
          <w:numId w:val="2"/>
        </w:numPr>
        <w:spacing w:after="80"/>
      </w:pPr>
      <w:r>
        <w:rPr>
          <w:rFonts w:ascii="Arial" w:cs="Arial" w:eastAsia="Arial" w:hAnsi="Arial"/>
          <w:sz w:val="22"/>
          <w:szCs w:val="22"/>
        </w:rPr>
        <w:t xml:space="preserve">CIS amount = labour_net × deduction_rate / 100.</w:t>
      </w:r>
    </w:p>
    <w:p>
      <w:pPr>
        <w:pStyle w:val="ListParagraph"/>
        <w:numPr>
          <w:ilvl w:val="0"/>
          <w:numId w:val="2"/>
        </w:numPr>
        <w:spacing w:after="80"/>
      </w:pPr>
      <w:r>
        <w:rPr>
          <w:rFonts w:ascii="Arial" w:cs="Arial" w:eastAsia="Arial" w:hAnsi="Arial"/>
          <w:sz w:val="22"/>
          <w:szCs w:val="22"/>
        </w:rPr>
        <w:t xml:space="preserve">Written to actuals.cis_deduction_amount, cis_labour_amount, cis_materials_amount.</w:t>
      </w:r>
    </w:p>
    <w:p>
      <w:pPr>
        <w:pStyle w:val="ListParagraph"/>
        <w:numPr>
          <w:ilvl w:val="0"/>
          <w:numId w:val="2"/>
        </w:numPr>
        <w:spacing w:after="80"/>
      </w:pPr>
      <w:r>
        <w:rPr>
          <w:rFonts w:ascii="Arial" w:cs="Arial" w:eastAsia="Arial" w:hAnsi="Arial"/>
          <w:sz w:val="22"/>
          <w:szCs w:val="22"/>
        </w:rPr>
        <w:t xml:space="preserve">Aggregated monthly for CIS300 return generation.</w:t>
      </w:r>
    </w:p>
    <w:p>
      <w:pPr>
        <w:spacing w:after="120" w:before="0"/>
        <w:jc w:val="left"/>
      </w:pPr>
      <w:r>
        <w:rPr>
          <w:rFonts w:ascii="Arial" w:cs="Arial" w:eastAsia="Arial" w:hAnsi="Arial"/>
          <w:sz w:val="22"/>
          <w:szCs w:val="22"/>
        </w:rPr>
        <w:t xml:space="preserve">The CIS300 submission currently runs via Xero's CIS module; future extension integrates directly with HMRC's online CIS service.</w:t>
      </w:r>
    </w:p>
    <w:p>
      <w:pPr>
        <w:pStyle w:val="Heading2"/>
        <w:spacing w:after="150" w:before="300"/>
      </w:pPr>
      <w:r>
        <w:rPr>
          <w:rFonts w:ascii="Arial" w:cs="Arial" w:eastAsia="Arial" w:hAnsi="Arial"/>
          <w:b/>
          <w:bCs/>
          <w:color w:val="E85A1B"/>
          <w:sz w:val="28"/>
          <w:szCs w:val="28"/>
        </w:rPr>
        <w:t xml:space="preserve">Reconciliation</w:t>
      </w:r>
    </w:p>
    <w:p>
      <w:pPr>
        <w:spacing w:after="120" w:before="0"/>
        <w:jc w:val="left"/>
      </w:pPr>
      <w:r>
        <w:rPr>
          <w:rFonts w:ascii="Arial" w:cs="Arial" w:eastAsia="Arial" w:hAnsi="Arial"/>
          <w:sz w:val="22"/>
          <w:szCs w:val="22"/>
        </w:rPr>
        <w:t xml:space="preserve">Nightly reconciliation runs per connection:</w:t>
      </w:r>
    </w:p>
    <w:p>
      <w:pPr>
        <w:pStyle w:val="ListParagraph"/>
        <w:numPr>
          <w:ilvl w:val="0"/>
          <w:numId w:val="2"/>
        </w:numPr>
        <w:spacing w:after="80"/>
      </w:pPr>
      <w:r>
        <w:rPr>
          <w:rFonts w:ascii="Arial" w:cs="Arial" w:eastAsia="Arial" w:hAnsi="Arial"/>
          <w:sz w:val="22"/>
          <w:szCs w:val="22"/>
        </w:rPr>
        <w:t xml:space="preserve">Full delta sync — fetch all bills/invoices/payments modified since last_synced_at via Xero's ModifiedAfter filter.</w:t>
      </w:r>
    </w:p>
    <w:p>
      <w:pPr>
        <w:pStyle w:val="ListParagraph"/>
        <w:numPr>
          <w:ilvl w:val="0"/>
          <w:numId w:val="2"/>
        </w:numPr>
        <w:spacing w:after="80"/>
      </w:pPr>
      <w:r>
        <w:rPr>
          <w:rFonts w:ascii="Arial" w:cs="Arial" w:eastAsia="Arial" w:hAnsi="Arial"/>
          <w:sz w:val="22"/>
          <w:szCs w:val="22"/>
        </w:rPr>
        <w:t xml:space="preserve">Hash comparison — detect changes that weren't webhook-notified.</w:t>
      </w:r>
    </w:p>
    <w:p>
      <w:pPr>
        <w:pStyle w:val="ListParagraph"/>
        <w:numPr>
          <w:ilvl w:val="0"/>
          <w:numId w:val="2"/>
        </w:numPr>
        <w:spacing w:after="80"/>
      </w:pPr>
      <w:r>
        <w:rPr>
          <w:rFonts w:ascii="Arial" w:cs="Arial" w:eastAsia="Arial" w:hAnsi="Arial"/>
          <w:sz w:val="22"/>
          <w:szCs w:val="22"/>
        </w:rPr>
        <w:t xml:space="preserve">Orphan detection — platform actuals with no matching Xero bill (bill deleted in Xero). Flag for review.</w:t>
      </w:r>
    </w:p>
    <w:p>
      <w:pPr>
        <w:pStyle w:val="ListParagraph"/>
        <w:numPr>
          <w:ilvl w:val="0"/>
          <w:numId w:val="2"/>
        </w:numPr>
        <w:spacing w:after="80"/>
      </w:pPr>
      <w:r>
        <w:rPr>
          <w:rFonts w:ascii="Arial" w:cs="Arial" w:eastAsia="Arial" w:hAnsi="Arial"/>
          <w:sz w:val="22"/>
          <w:szCs w:val="22"/>
        </w:rPr>
        <w:t xml:space="preserve">Reverse orphan — Xero bills voided/deleted but platform actual still posted. Auto-void platform actual.</w:t>
      </w:r>
    </w:p>
    <w:p>
      <w:pPr>
        <w:pStyle w:val="ListParagraph"/>
        <w:numPr>
          <w:ilvl w:val="0"/>
          <w:numId w:val="2"/>
        </w:numPr>
        <w:spacing w:after="80"/>
      </w:pPr>
      <w:r>
        <w:rPr>
          <w:rFonts w:ascii="Arial" w:cs="Arial" w:eastAsia="Arial" w:hAnsi="Arial"/>
          <w:sz w:val="22"/>
          <w:szCs w:val="22"/>
        </w:rPr>
        <w:t xml:space="preserve">Amount reconciliation — sum of Xero bill totals = sum of platform actual gross, per entity per period.</w:t>
      </w:r>
    </w:p>
    <w:p>
      <w:pPr>
        <w:pStyle w:val="ListParagraph"/>
        <w:numPr>
          <w:ilvl w:val="0"/>
          <w:numId w:val="2"/>
        </w:numPr>
        <w:spacing w:after="80"/>
      </w:pPr>
      <w:r>
        <w:rPr>
          <w:rFonts w:ascii="Arial" w:cs="Arial" w:eastAsia="Arial" w:hAnsi="Arial"/>
          <w:sz w:val="22"/>
          <w:szCs w:val="22"/>
        </w:rPr>
        <w:t xml:space="preserve">VAT reconciliation — platform VAT calc per quarter vs Xero VAT return totals.</w:t>
      </w:r>
    </w:p>
    <w:p>
      <w:pPr>
        <w:pStyle w:val="ListParagraph"/>
        <w:numPr>
          <w:ilvl w:val="0"/>
          <w:numId w:val="2"/>
        </w:numPr>
        <w:spacing w:after="80"/>
      </w:pPr>
      <w:r>
        <w:rPr>
          <w:rFonts w:ascii="Arial" w:cs="Arial" w:eastAsia="Arial" w:hAnsi="Arial"/>
          <w:sz w:val="22"/>
          <w:szCs w:val="22"/>
        </w:rPr>
        <w:t xml:space="preserve">Mapping health — % of bills fully-tagged, trend over time, subbies with most untagged bills (training opportunity).</w:t>
      </w:r>
    </w:p>
    <w:p>
      <w:pPr>
        <w:pStyle w:val="Heading2"/>
        <w:spacing w:after="150" w:before="300"/>
      </w:pPr>
      <w:r>
        <w:rPr>
          <w:rFonts w:ascii="Arial" w:cs="Arial" w:eastAsia="Arial" w:hAnsi="Arial"/>
          <w:b/>
          <w:bCs/>
          <w:color w:val="E85A1B"/>
          <w:sz w:val="28"/>
          <w:szCs w:val="28"/>
        </w:rPr>
        <w:t xml:space="preserve">Security</w:t>
      </w:r>
    </w:p>
    <w:p>
      <w:pPr>
        <w:spacing w:after="120" w:before="0"/>
        <w:jc w:val="left"/>
      </w:pPr>
      <w:r>
        <w:rPr>
          <w:rFonts w:ascii="Arial" w:cs="Arial" w:eastAsia="Arial" w:hAnsi="Arial"/>
          <w:sz w:val="22"/>
          <w:szCs w:val="22"/>
        </w:rPr>
        <w:t xml:space="preserve">Access tokens (30-min lifespan) and refresh tokens (60-day rolling) are encrypted at rest using AES-256-GCM with a per-tenant key derived from the platform master key. Master key lives in cloud KMS (AWS KMS, Azure Key Vault, or GCP KMS) — never in application config. Refresh tokens rotate on every use (Xero policy). Webhook HMAC signature validated on every receipt — invalid signatures logged and rejected. Scope requests are minimal — only what's needed.</w:t>
      </w:r>
    </w:p>
    <w:p>
      <w:r>
        <w:br w:type="page"/>
      </w:r>
    </w:p>
    <w:p>
      <w:pPr>
        <w:pStyle w:val="Heading1"/>
        <w:spacing w:after="200" w:before="400"/>
      </w:pPr>
      <w:r>
        <w:rPr>
          <w:rFonts w:ascii="Arial" w:cs="Arial" w:eastAsia="Arial" w:hAnsi="Arial"/>
          <w:b/>
          <w:bCs/>
          <w:color w:val="1F2D3D"/>
          <w:sz w:val="36"/>
          <w:szCs w:val="36"/>
        </w:rPr>
        <w:t xml:space="preserve">Cross-cutting Tables</w:t>
      </w:r>
    </w:p>
    <w:p>
      <w:pPr>
        <w:pStyle w:val="Heading2"/>
        <w:spacing w:after="150" w:before="300"/>
      </w:pPr>
      <w:r>
        <w:rPr>
          <w:rFonts w:ascii="Arial" w:cs="Arial" w:eastAsia="Arial" w:hAnsi="Arial"/>
          <w:b/>
          <w:bCs/>
          <w:color w:val="E85A1B"/>
          <w:sz w:val="28"/>
          <w:szCs w:val="28"/>
        </w:rPr>
        <w:t xml:space="preserve">System configuration</w:t>
      </w:r>
    </w:p>
    <w:p>
      <w:pPr>
        <w:spacing w:after="120" w:before="0"/>
        <w:jc w:val="left"/>
      </w:pPr>
      <w:r>
        <w:rPr>
          <w:rFonts w:ascii="Arial" w:cs="Arial" w:eastAsia="Arial" w:hAnsi="Arial"/>
          <w:sz w:val="22"/>
          <w:szCs w:val="22"/>
        </w:rPr>
        <w:t xml:space="preserve">system_config is the single source of truth for system-wide settings. Approximately 40 seeded keys covering:</w:t>
      </w:r>
    </w:p>
    <w:p>
      <w:pPr>
        <w:pStyle w:val="ListParagraph"/>
        <w:numPr>
          <w:ilvl w:val="0"/>
          <w:numId w:val="2"/>
        </w:numPr>
        <w:spacing w:after="80"/>
      </w:pPr>
      <w:r>
        <w:rPr>
          <w:rFonts w:ascii="Arial" w:cs="Arial" w:eastAsia="Arial" w:hAnsi="Arial"/>
          <w:sz w:val="22"/>
          <w:szCs w:val="22"/>
        </w:rPr>
        <w:t xml:space="preserve">Finance defaults — hurdle rates, contingency, fee percentages, build cost inflation.</w:t>
      </w:r>
    </w:p>
    <w:p>
      <w:pPr>
        <w:pStyle w:val="ListParagraph"/>
        <w:numPr>
          <w:ilvl w:val="0"/>
          <w:numId w:val="2"/>
        </w:numPr>
        <w:spacing w:after="80"/>
      </w:pPr>
      <w:r>
        <w:rPr>
          <w:rFonts w:ascii="Arial" w:cs="Arial" w:eastAsia="Arial" w:hAnsi="Arial"/>
          <w:sz w:val="22"/>
          <w:szCs w:val="22"/>
        </w:rPr>
        <w:t xml:space="preserve">Budget thresholds — variance amber/red boundaries, approval tiers by value.</w:t>
      </w:r>
    </w:p>
    <w:p>
      <w:pPr>
        <w:pStyle w:val="ListParagraph"/>
        <w:numPr>
          <w:ilvl w:val="0"/>
          <w:numId w:val="2"/>
        </w:numPr>
        <w:spacing w:after="80"/>
      </w:pPr>
      <w:r>
        <w:rPr>
          <w:rFonts w:ascii="Arial" w:cs="Arial" w:eastAsia="Arial" w:hAnsi="Arial"/>
          <w:sz w:val="22"/>
          <w:szCs w:val="22"/>
        </w:rPr>
        <w:t xml:space="preserve">Security — session timeout, password policy, lockout rules, MFA enforcement.</w:t>
      </w:r>
    </w:p>
    <w:p>
      <w:pPr>
        <w:pStyle w:val="ListParagraph"/>
        <w:numPr>
          <w:ilvl w:val="0"/>
          <w:numId w:val="2"/>
        </w:numPr>
        <w:spacing w:after="80"/>
      </w:pPr>
      <w:r>
        <w:rPr>
          <w:rFonts w:ascii="Arial" w:cs="Arial" w:eastAsia="Arial" w:hAnsi="Arial"/>
          <w:sz w:val="22"/>
          <w:szCs w:val="22"/>
        </w:rPr>
        <w:t xml:space="preserve">Xero — sync interval, rate limit cache, reconciliation schedule.</w:t>
      </w:r>
    </w:p>
    <w:p>
      <w:pPr>
        <w:pStyle w:val="ListParagraph"/>
        <w:numPr>
          <w:ilvl w:val="0"/>
          <w:numId w:val="2"/>
        </w:numPr>
        <w:spacing w:after="80"/>
      </w:pPr>
      <w:r>
        <w:rPr>
          <w:rFonts w:ascii="Arial" w:cs="Arial" w:eastAsia="Arial" w:hAnsi="Arial"/>
          <w:sz w:val="22"/>
          <w:szCs w:val="22"/>
        </w:rPr>
        <w:t xml:space="preserve">Notifications — digest time, escalation delays, batch grouping rules.</w:t>
      </w:r>
    </w:p>
    <w:p>
      <w:pPr>
        <w:pStyle w:val="ListParagraph"/>
        <w:numPr>
          <w:ilvl w:val="0"/>
          <w:numId w:val="2"/>
        </w:numPr>
        <w:spacing w:after="80"/>
      </w:pPr>
      <w:r>
        <w:rPr>
          <w:rFonts w:ascii="Arial" w:cs="Arial" w:eastAsia="Arial" w:hAnsi="Arial"/>
          <w:sz w:val="22"/>
          <w:szCs w:val="22"/>
        </w:rPr>
        <w:t xml:space="preserve">Programme — default alert lookaheads, weekly report schedule.</w:t>
      </w:r>
    </w:p>
    <w:p>
      <w:pPr>
        <w:spacing w:after="120" w:before="0"/>
        <w:jc w:val="left"/>
      </w:pPr>
      <w:r>
        <w:rPr>
          <w:rFonts w:ascii="Arial" w:cs="Arial" w:eastAsia="Arial" w:hAnsi="Arial"/>
          <w:sz w:val="22"/>
          <w:szCs w:val="22"/>
        </w:rPr>
        <w:t xml:space="preserve">Every change to system_config writes to audit_log. Changes apply to new records only — historical records retain the values that applied at the time.</w:t>
      </w:r>
    </w:p>
    <w:p>
      <w:pPr>
        <w:pStyle w:val="Heading2"/>
        <w:spacing w:after="150" w:before="300"/>
      </w:pPr>
      <w:r>
        <w:rPr>
          <w:rFonts w:ascii="Arial" w:cs="Arial" w:eastAsia="Arial" w:hAnsi="Arial"/>
          <w:b/>
          <w:bCs/>
          <w:color w:val="E85A1B"/>
          <w:sz w:val="28"/>
          <w:szCs w:val="28"/>
        </w:rPr>
        <w:t xml:space="preserve">Notifications</w:t>
      </w:r>
    </w:p>
    <w:p>
      <w:pPr>
        <w:spacing w:after="120" w:before="0"/>
        <w:jc w:val="left"/>
      </w:pPr>
      <w:r>
        <w:rPr>
          <w:rFonts w:ascii="Arial" w:cs="Arial" w:eastAsia="Arial" w:hAnsi="Arial"/>
          <w:sz w:val="22"/>
          <w:szCs w:val="22"/>
        </w:rPr>
        <w:t xml:space="preserve">notifications is the user-facing inbox. Distinct from programme_alerts (which configures alert triggers) and from audit_log (which records all actions). Notifications are what a user sees in their bell icon — things that require their attention.</w:t>
      </w:r>
    </w:p>
    <w:p>
      <w:pPr>
        <w:spacing w:after="120" w:before="0"/>
        <w:jc w:val="left"/>
      </w:pPr>
      <w:r>
        <w:rPr>
          <w:rFonts w:ascii="Arial" w:cs="Arial" w:eastAsia="Arial" w:hAnsi="Arial"/>
          <w:sz w:val="22"/>
          <w:szCs w:val="22"/>
        </w:rPr>
        <w:t xml:space="preserve">Fifteen notification types cover: approval requested/decided, budget variance, programme alert, document shared, mention, assignment, system announcement, integration error, security alert, deadline approaching, task overdue, Xero sync error, insurance expiry, certificate expiry. Each has a priority (Low / Normal / High / Critical). Critical notifications trigger SMS in addition to email/in-app if user's phone is verified.</w:t>
      </w:r>
    </w:p>
    <w:p>
      <w:pPr>
        <w:spacing w:after="120" w:before="0"/>
        <w:jc w:val="left"/>
      </w:pPr>
      <w:r>
        <w:rPr>
          <w:rFonts w:ascii="Arial" w:cs="Arial" w:eastAsia="Arial" w:hAnsi="Arial"/>
          <w:sz w:val="22"/>
          <w:szCs w:val="22"/>
        </w:rPr>
        <w:t xml:space="preserve">Grouping logic prevents spam: multiple similar notifications within 1 hour collapse into one summary. Auto-dismiss after 30 days unless actioned.</w:t>
      </w:r>
    </w:p>
    <w:p>
      <w:r>
        <w:br w:type="page"/>
      </w:r>
    </w:p>
    <w:p>
      <w:pPr>
        <w:pStyle w:val="Heading1"/>
        <w:spacing w:after="200" w:before="400"/>
      </w:pPr>
      <w:r>
        <w:rPr>
          <w:rFonts w:ascii="Arial" w:cs="Arial" w:eastAsia="Arial" w:hAnsi="Arial"/>
          <w:b/>
          <w:bCs/>
          <w:color w:val="1F2D3D"/>
          <w:sz w:val="36"/>
          <w:szCs w:val="36"/>
        </w:rPr>
        <w:t xml:space="preserve">Data Integrity Standards</w:t>
      </w:r>
    </w:p>
    <w:p>
      <w:pPr>
        <w:spacing w:after="120" w:before="0"/>
        <w:jc w:val="left"/>
      </w:pPr>
      <w:r>
        <w:rPr>
          <w:rFonts w:ascii="Arial" w:cs="Arial" w:eastAsia="Arial" w:hAnsi="Arial"/>
          <w:sz w:val="22"/>
          <w:szCs w:val="22"/>
        </w:rPr>
        <w:t xml:space="preserve">The platform's value depends on the integrity of its data. These standards apply across every table and are enforced at the database layer where possible.</w:t>
      </w:r>
    </w:p>
    <w:p>
      <w:pPr>
        <w:pStyle w:val="Heading2"/>
        <w:spacing w:after="150" w:before="300"/>
      </w:pPr>
      <w:r>
        <w:rPr>
          <w:rFonts w:ascii="Arial" w:cs="Arial" w:eastAsia="Arial" w:hAnsi="Arial"/>
          <w:b/>
          <w:bCs/>
          <w:color w:val="E85A1B"/>
          <w:sz w:val="28"/>
          <w:szCs w:val="28"/>
        </w:rPr>
        <w:t xml:space="preserve">Foreign key constraints</w:t>
      </w:r>
    </w:p>
    <w:p>
      <w:pPr>
        <w:spacing w:after="120" w:before="0"/>
        <w:jc w:val="left"/>
      </w:pPr>
      <w:r>
        <w:rPr>
          <w:rFonts w:ascii="Arial" w:cs="Arial" w:eastAsia="Arial" w:hAnsi="Arial"/>
          <w:sz w:val="22"/>
          <w:szCs w:val="22"/>
        </w:rPr>
        <w:t xml:space="preserve">Every _id field is a FK with explicit ON DELETE and ON UPDATE behaviour:</w:t>
      </w:r>
    </w:p>
    <w:p>
      <w:pPr>
        <w:pStyle w:val="ListParagraph"/>
        <w:numPr>
          <w:ilvl w:val="0"/>
          <w:numId w:val="2"/>
        </w:numPr>
        <w:spacing w:after="80"/>
      </w:pPr>
      <w:r>
        <w:rPr>
          <w:rFonts w:ascii="Arial" w:cs="Arial" w:eastAsia="Arial" w:hAnsi="Arial"/>
          <w:sz w:val="22"/>
          <w:szCs w:val="22"/>
        </w:rPr>
        <w:t xml:space="preserve">RESTRICT (default) — deletion blocked if dependent rows exist. Used for entities, projects, users, cost codes. Forces explicit decisions about what to do with dependents.</w:t>
      </w:r>
    </w:p>
    <w:p>
      <w:pPr>
        <w:pStyle w:val="ListParagraph"/>
        <w:numPr>
          <w:ilvl w:val="0"/>
          <w:numId w:val="2"/>
        </w:numPr>
        <w:spacing w:after="80"/>
      </w:pPr>
      <w:r>
        <w:rPr>
          <w:rFonts w:ascii="Arial" w:cs="Arial" w:eastAsia="Arial" w:hAnsi="Arial"/>
          <w:sz w:val="22"/>
          <w:szCs w:val="22"/>
        </w:rPr>
        <w:t xml:space="preserve">CASCADE — child rows deleted when parent deleted. Used for junction tables (user_role_entities, project_cost_codes, budget_change_lines) where the child has no meaning without the parent.</w:t>
      </w:r>
    </w:p>
    <w:p>
      <w:pPr>
        <w:pStyle w:val="ListParagraph"/>
        <w:numPr>
          <w:ilvl w:val="0"/>
          <w:numId w:val="2"/>
        </w:numPr>
        <w:spacing w:after="80"/>
      </w:pPr>
      <w:r>
        <w:rPr>
          <w:rFonts w:ascii="Arial" w:cs="Arial" w:eastAsia="Arial" w:hAnsi="Arial"/>
          <w:sz w:val="22"/>
          <w:szCs w:val="22"/>
        </w:rPr>
        <w:t xml:space="preserve">SET NULL — FK set to null. Used for optional references like linked_programme_task_id where removing the link shouldn't remove the record.</w:t>
      </w:r>
    </w:p>
    <w:p>
      <w:pPr>
        <w:pStyle w:val="Heading2"/>
        <w:spacing w:after="150" w:before="300"/>
      </w:pPr>
      <w:r>
        <w:rPr>
          <w:rFonts w:ascii="Arial" w:cs="Arial" w:eastAsia="Arial" w:hAnsi="Arial"/>
          <w:b/>
          <w:bCs/>
          <w:color w:val="E85A1B"/>
          <w:sz w:val="28"/>
          <w:szCs w:val="28"/>
        </w:rPr>
        <w:t xml:space="preserve">Check constraints</w:t>
      </w:r>
    </w:p>
    <w:p>
      <w:pPr>
        <w:spacing w:after="120" w:before="0"/>
        <w:jc w:val="left"/>
      </w:pPr>
      <w:r>
        <w:rPr>
          <w:rFonts w:ascii="Arial" w:cs="Arial" w:eastAsia="Arial" w:hAnsi="Arial"/>
          <w:sz w:val="22"/>
          <w:szCs w:val="22"/>
        </w:rPr>
        <w:t xml:space="preserve">Enum fields are enforced via CHECK constraints (or database-native ENUM types where supported). This prevents typos and invalid values reaching the database. Percentage fields check (value BETWEEN 0 AND 100). Monetary fields check (value &gt;= 0) where negatives are impossible.</w:t>
      </w:r>
    </w:p>
    <w:p>
      <w:pPr>
        <w:pStyle w:val="Heading2"/>
        <w:spacing w:after="150" w:before="300"/>
      </w:pPr>
      <w:r>
        <w:rPr>
          <w:rFonts w:ascii="Arial" w:cs="Arial" w:eastAsia="Arial" w:hAnsi="Arial"/>
          <w:b/>
          <w:bCs/>
          <w:color w:val="E85A1B"/>
          <w:sz w:val="28"/>
          <w:szCs w:val="28"/>
        </w:rPr>
        <w:t xml:space="preserve">NOT NULL</w:t>
      </w:r>
    </w:p>
    <w:p>
      <w:pPr>
        <w:spacing w:after="120" w:before="0"/>
        <w:jc w:val="left"/>
      </w:pPr>
      <w:r>
        <w:rPr>
          <w:rFonts w:ascii="Arial" w:cs="Arial" w:eastAsia="Arial" w:hAnsi="Arial"/>
          <w:sz w:val="22"/>
          <w:szCs w:val="22"/>
        </w:rPr>
        <w:t xml:space="preserve">Every Required = Y field is enforced NOT NULL. Defaults are applied at insert time for fields with a default value.</w:t>
      </w:r>
    </w:p>
    <w:p>
      <w:pPr>
        <w:pStyle w:val="Heading2"/>
        <w:spacing w:after="150" w:before="300"/>
      </w:pPr>
      <w:r>
        <w:rPr>
          <w:rFonts w:ascii="Arial" w:cs="Arial" w:eastAsia="Arial" w:hAnsi="Arial"/>
          <w:b/>
          <w:bCs/>
          <w:color w:val="E85A1B"/>
          <w:sz w:val="28"/>
          <w:szCs w:val="28"/>
        </w:rPr>
        <w:t xml:space="preserve">Unique constraints</w:t>
      </w:r>
    </w:p>
    <w:p>
      <w:pPr>
        <w:spacing w:after="120" w:before="0"/>
        <w:jc w:val="left"/>
      </w:pPr>
      <w:r>
        <w:rPr>
          <w:rFonts w:ascii="Arial" w:cs="Arial" w:eastAsia="Arial" w:hAnsi="Arial"/>
          <w:sz w:val="22"/>
          <w:szCs w:val="22"/>
        </w:rPr>
        <w:t xml:space="preserve">Uniqueness is enforced at the database layer, not just application. Examples:</w:t>
      </w:r>
    </w:p>
    <w:p>
      <w:pPr>
        <w:pStyle w:val="ListParagraph"/>
        <w:numPr>
          <w:ilvl w:val="0"/>
          <w:numId w:val="2"/>
        </w:numPr>
        <w:spacing w:after="80"/>
      </w:pPr>
      <w:r>
        <w:rPr>
          <w:rFonts w:ascii="Arial" w:cs="Arial" w:eastAsia="Arial" w:hAnsi="Arial"/>
          <w:sz w:val="22"/>
          <w:szCs w:val="22"/>
        </w:rPr>
        <w:t xml:space="preserve">UNIQUE (project_code) on projects.</w:t>
      </w:r>
    </w:p>
    <w:p>
      <w:pPr>
        <w:pStyle w:val="ListParagraph"/>
        <w:numPr>
          <w:ilvl w:val="0"/>
          <w:numId w:val="2"/>
        </w:numPr>
        <w:spacing w:after="80"/>
      </w:pPr>
      <w:r>
        <w:rPr>
          <w:rFonts w:ascii="Arial" w:cs="Arial" w:eastAsia="Arial" w:hAnsi="Arial"/>
          <w:sz w:val="22"/>
          <w:szCs w:val="22"/>
        </w:rPr>
        <w:t xml:space="preserve">UNIQUE (LOWER(email)) on users.</w:t>
      </w:r>
    </w:p>
    <w:p>
      <w:pPr>
        <w:pStyle w:val="ListParagraph"/>
        <w:numPr>
          <w:ilvl w:val="0"/>
          <w:numId w:val="2"/>
        </w:numPr>
        <w:spacing w:after="80"/>
      </w:pPr>
      <w:r>
        <w:rPr>
          <w:rFonts w:ascii="Arial" w:cs="Arial" w:eastAsia="Arial" w:hAnsi="Arial"/>
          <w:sz w:val="22"/>
          <w:szCs w:val="22"/>
        </w:rPr>
        <w:t xml:space="preserve">UNIQUE (external_id, source_type) on actuals (prevents Xero sync duplicates).</w:t>
      </w:r>
    </w:p>
    <w:p>
      <w:pPr>
        <w:pStyle w:val="ListParagraph"/>
        <w:numPr>
          <w:ilvl w:val="0"/>
          <w:numId w:val="2"/>
        </w:numPr>
        <w:spacing w:after="80"/>
      </w:pPr>
      <w:r>
        <w:rPr>
          <w:rFonts w:ascii="Arial" w:cs="Arial" w:eastAsia="Arial" w:hAnsi="Arial"/>
          <w:sz w:val="22"/>
          <w:szCs w:val="22"/>
        </w:rPr>
        <w:t xml:space="preserve">UNIQUE (xero_connection_id, xero_invoice_id) on xero_bills.</w:t>
      </w:r>
    </w:p>
    <w:p>
      <w:pPr>
        <w:pStyle w:val="ListParagraph"/>
        <w:numPr>
          <w:ilvl w:val="0"/>
          <w:numId w:val="2"/>
        </w:numPr>
        <w:spacing w:after="80"/>
      </w:pPr>
      <w:r>
        <w:rPr>
          <w:rFonts w:ascii="Arial" w:cs="Arial" w:eastAsia="Arial" w:hAnsi="Arial"/>
          <w:sz w:val="22"/>
          <w:szCs w:val="22"/>
        </w:rPr>
        <w:t xml:space="preserve">UNIQUE (budget_id, cost_code_id, cost_code_subcategory_id) on budget_lines.</w:t>
      </w:r>
    </w:p>
    <w:p>
      <w:pPr>
        <w:pStyle w:val="Heading2"/>
        <w:spacing w:after="150" w:before="300"/>
      </w:pPr>
      <w:r>
        <w:rPr>
          <w:rFonts w:ascii="Arial" w:cs="Arial" w:eastAsia="Arial" w:hAnsi="Arial"/>
          <w:b/>
          <w:bCs/>
          <w:color w:val="E85A1B"/>
          <w:sz w:val="28"/>
          <w:szCs w:val="28"/>
        </w:rPr>
        <w:t xml:space="preserve">Standard audit fields</w:t>
      </w:r>
    </w:p>
    <w:p>
      <w:pPr>
        <w:spacing w:after="120" w:before="0"/>
        <w:jc w:val="left"/>
      </w:pPr>
      <w:r>
        <w:rPr>
          <w:rFonts w:ascii="Arial" w:cs="Arial" w:eastAsia="Arial" w:hAnsi="Arial"/>
          <w:sz w:val="22"/>
          <w:szCs w:val="22"/>
        </w:rPr>
        <w:t xml:space="preserve">Every table (except append-only logs where they're intrinsic) carries created_at and updated_at timestamps. Most tables also carry created_by_user_id. Triggers ensure updated_at is refreshed on every save.</w:t>
      </w:r>
    </w:p>
    <w:p>
      <w:pPr>
        <w:pStyle w:val="Heading2"/>
        <w:spacing w:after="150" w:before="300"/>
      </w:pPr>
      <w:r>
        <w:rPr>
          <w:rFonts w:ascii="Arial" w:cs="Arial" w:eastAsia="Arial" w:hAnsi="Arial"/>
          <w:b/>
          <w:bCs/>
          <w:color w:val="E85A1B"/>
          <w:sz w:val="28"/>
          <w:szCs w:val="28"/>
        </w:rPr>
        <w:t xml:space="preserve">Soft deletion</w:t>
      </w:r>
    </w:p>
    <w:p>
      <w:pPr>
        <w:spacing w:after="120" w:before="0"/>
        <w:jc w:val="left"/>
      </w:pPr>
      <w:r>
        <w:rPr>
          <w:rFonts w:ascii="Arial" w:cs="Arial" w:eastAsia="Arial" w:hAnsi="Arial"/>
          <w:sz w:val="22"/>
          <w:szCs w:val="22"/>
        </w:rPr>
        <w:t xml:space="preserve">The platform uses status fields rather than physical deletion for entities with financial history. Users archived rather than deleted. Projects marked Dead or Complete rather than removed. Cost codes marked Retired. This preserves FK integrity and audit trail. True deletion reserved for genuinely abandoned records (draft appraisals, unused templates) with no dependents.</w:t>
      </w:r>
    </w:p>
    <w:p>
      <w:pPr>
        <w:pStyle w:val="Heading2"/>
        <w:spacing w:after="150" w:before="300"/>
      </w:pPr>
      <w:r>
        <w:rPr>
          <w:rFonts w:ascii="Arial" w:cs="Arial" w:eastAsia="Arial" w:hAnsi="Arial"/>
          <w:b/>
          <w:bCs/>
          <w:color w:val="E85A1B"/>
          <w:sz w:val="28"/>
          <w:szCs w:val="28"/>
        </w:rPr>
        <w:t xml:space="preserve">Money handling</w:t>
      </w:r>
    </w:p>
    <w:p>
      <w:pPr>
        <w:spacing w:after="120" w:before="0"/>
        <w:jc w:val="left"/>
      </w:pPr>
      <w:r>
        <w:rPr>
          <w:rFonts w:ascii="Arial" w:cs="Arial" w:eastAsia="Arial" w:hAnsi="Arial"/>
          <w:sz w:val="22"/>
          <w:szCs w:val="22"/>
        </w:rPr>
        <w:t xml:space="preserve">All monetary amounts use DECIMAL (not FLOAT) to avoid rounding errors. Precision chosen to handle pence across billions of pounds. Currency field present on any table that could theoretically be multi-currency (actuals, commitments, valuations); defaulted to GBP throughout. Exchange rate stored alongside for non-GBP records.</w:t>
      </w:r>
    </w:p>
    <w:p>
      <w:r>
        <w:br w:type="page"/>
      </w:r>
    </w:p>
    <w:p>
      <w:pPr>
        <w:pStyle w:val="Heading1"/>
        <w:spacing w:after="200" w:before="400"/>
      </w:pPr>
      <w:r>
        <w:rPr>
          <w:rFonts w:ascii="Arial" w:cs="Arial" w:eastAsia="Arial" w:hAnsi="Arial"/>
          <w:b/>
          <w:bCs/>
          <w:color w:val="1F2D3D"/>
          <w:sz w:val="36"/>
          <w:szCs w:val="36"/>
        </w:rPr>
        <w:t xml:space="preserve">Security Model</w:t>
      </w:r>
    </w:p>
    <w:p>
      <w:pPr>
        <w:pStyle w:val="Heading2"/>
        <w:spacing w:after="150" w:before="300"/>
      </w:pPr>
      <w:r>
        <w:rPr>
          <w:rFonts w:ascii="Arial" w:cs="Arial" w:eastAsia="Arial" w:hAnsi="Arial"/>
          <w:b/>
          <w:bCs/>
          <w:color w:val="E85A1B"/>
          <w:sz w:val="28"/>
          <w:szCs w:val="28"/>
        </w:rPr>
        <w:t xml:space="preserve">Authentication</w:t>
      </w:r>
    </w:p>
    <w:p>
      <w:pPr>
        <w:spacing w:after="120" w:before="0"/>
        <w:jc w:val="left"/>
      </w:pPr>
      <w:r>
        <w:rPr>
          <w:rFonts w:ascii="Arial" w:cs="Arial" w:eastAsia="Arial" w:hAnsi="Arial"/>
          <w:sz w:val="22"/>
          <w:szCs w:val="22"/>
        </w:rPr>
        <w:t xml:space="preserve">Passwords hashed with Argon2id (minimum memory 64MB, iterations 3, parallelism 4). Previous hashes retained (last 5) to prevent reuse. Password minimum length 12 characters, complexity requirements per NIST 800-63B. Account lockout after 5 failed attempts within 15 minutes — lockout duration 15 minutes, escalating for repeated lockouts.</w:t>
      </w:r>
    </w:p>
    <w:p>
      <w:pPr>
        <w:spacing w:after="120" w:before="0"/>
        <w:jc w:val="left"/>
      </w:pPr>
      <w:r>
        <w:rPr>
          <w:rFonts w:ascii="Arial" w:cs="Arial" w:eastAsia="Arial" w:hAnsi="Arial"/>
          <w:sz w:val="22"/>
          <w:szCs w:val="22"/>
        </w:rPr>
        <w:t xml:space="preserve">MFA options: TOTP (preferred), SMS (fallback), email (weakest). Ten single-use backup codes generated on MFA enrolment, each usable once. MFA required for super_admin, director, finance roles; voluntary for others.</w:t>
      </w:r>
    </w:p>
    <w:p>
      <w:pPr>
        <w:pStyle w:val="Heading2"/>
        <w:spacing w:after="150" w:before="300"/>
      </w:pPr>
      <w:r>
        <w:rPr>
          <w:rFonts w:ascii="Arial" w:cs="Arial" w:eastAsia="Arial" w:hAnsi="Arial"/>
          <w:b/>
          <w:bCs/>
          <w:color w:val="E85A1B"/>
          <w:sz w:val="28"/>
          <w:szCs w:val="28"/>
        </w:rPr>
        <w:t xml:space="preserve">Sessions</w:t>
      </w:r>
    </w:p>
    <w:p>
      <w:pPr>
        <w:spacing w:after="120" w:before="0"/>
        <w:jc w:val="left"/>
      </w:pPr>
      <w:r>
        <w:rPr>
          <w:rFonts w:ascii="Arial" w:cs="Arial" w:eastAsia="Arial" w:hAnsi="Arial"/>
          <w:sz w:val="22"/>
          <w:szCs w:val="22"/>
        </w:rPr>
        <w:t xml:space="preserve">Access tokens 15-minute lifespan. Refresh tokens 30-day rolling (90-day with "remember me"). Refresh tokens rotate on every use — old token becomes invalid as soon as refresh completes. Idle timeout of 60 minutes forces re-authentication. New-country logins trigger email alerts. Revoked sessions immediately invalidated (not on next check).</w:t>
      </w:r>
    </w:p>
    <w:p>
      <w:pPr>
        <w:pStyle w:val="Heading2"/>
        <w:spacing w:after="150" w:before="300"/>
      </w:pPr>
      <w:r>
        <w:rPr>
          <w:rFonts w:ascii="Arial" w:cs="Arial" w:eastAsia="Arial" w:hAnsi="Arial"/>
          <w:b/>
          <w:bCs/>
          <w:color w:val="E85A1B"/>
          <w:sz w:val="28"/>
          <w:szCs w:val="28"/>
        </w:rPr>
        <w:t xml:space="preserve">Authorisation</w:t>
      </w:r>
    </w:p>
    <w:p>
      <w:pPr>
        <w:spacing w:after="120" w:before="0"/>
        <w:jc w:val="left"/>
      </w:pPr>
      <w:r>
        <w:rPr>
          <w:rFonts w:ascii="Arial" w:cs="Arial" w:eastAsia="Arial" w:hAnsi="Arial"/>
          <w:sz w:val="22"/>
          <w:szCs w:val="22"/>
        </w:rPr>
        <w:t xml:space="preserve">Three-dimensional model: who (user), what (role-based permissions), where (entity and project scope). Effective permissions are the union of all active role assignments. view_overrides can narrow but never widen. Super_admin impersonation allowed (under audit); impersonating another super_admin requires second super_admin approval (future — see Future Tasks).</w:t>
      </w:r>
    </w:p>
    <w:p>
      <w:pPr>
        <w:pStyle w:val="Heading2"/>
        <w:spacing w:after="150" w:before="300"/>
      </w:pPr>
      <w:r>
        <w:rPr>
          <w:rFonts w:ascii="Arial" w:cs="Arial" w:eastAsia="Arial" w:hAnsi="Arial"/>
          <w:b/>
          <w:bCs/>
          <w:color w:val="E85A1B"/>
          <w:sz w:val="28"/>
          <w:szCs w:val="28"/>
        </w:rPr>
        <w:t xml:space="preserve">API keys</w:t>
      </w:r>
    </w:p>
    <w:p>
      <w:pPr>
        <w:spacing w:after="120" w:before="0"/>
        <w:jc w:val="left"/>
      </w:pPr>
      <w:r>
        <w:rPr>
          <w:rFonts w:ascii="Arial" w:cs="Arial" w:eastAsia="Arial" w:hAnsi="Arial"/>
          <w:sz w:val="22"/>
          <w:szCs w:val="22"/>
        </w:rPr>
        <w:t xml:space="preserve">Service-to-service authentication only — never for human login. Keys shown once at creation, stored as SHA-256 hash. Annual rotation reminders. Usage anomaly detection via user_login_history patterns (future).</w:t>
      </w:r>
    </w:p>
    <w:p>
      <w:pPr>
        <w:pStyle w:val="Heading2"/>
        <w:spacing w:after="150" w:before="300"/>
      </w:pPr>
      <w:r>
        <w:rPr>
          <w:rFonts w:ascii="Arial" w:cs="Arial" w:eastAsia="Arial" w:hAnsi="Arial"/>
          <w:b/>
          <w:bCs/>
          <w:color w:val="E85A1B"/>
          <w:sz w:val="28"/>
          <w:szCs w:val="28"/>
        </w:rPr>
        <w:t xml:space="preserve">Data protection</w:t>
      </w:r>
    </w:p>
    <w:p>
      <w:pPr>
        <w:spacing w:after="120" w:before="0"/>
        <w:jc w:val="left"/>
      </w:pPr>
      <w:r>
        <w:rPr>
          <w:rFonts w:ascii="Arial" w:cs="Arial" w:eastAsia="Arial" w:hAnsi="Arial"/>
          <w:sz w:val="22"/>
          <w:szCs w:val="22"/>
        </w:rPr>
        <w:t xml:space="preserve">Encryption at rest: database encrypted with AWS RDS encryption or equivalent. Per-tenant keys for sensitive fields (Xero tokens, MFA secrets) derived from master key in cloud KMS. Encryption in transit: TLS 1.3 minimum; HTTPS-only. No data logged in plaintext — sensitive fields substituted with [REDACTED] in all logs.</w:t>
      </w:r>
    </w:p>
    <w:p>
      <w:pPr>
        <w:pStyle w:val="Heading2"/>
        <w:spacing w:after="150" w:before="300"/>
      </w:pPr>
      <w:r>
        <w:rPr>
          <w:rFonts w:ascii="Arial" w:cs="Arial" w:eastAsia="Arial" w:hAnsi="Arial"/>
          <w:b/>
          <w:bCs/>
          <w:color w:val="E85A1B"/>
          <w:sz w:val="28"/>
          <w:szCs w:val="28"/>
        </w:rPr>
        <w:t xml:space="preserve">GDPR compliance</w:t>
      </w:r>
    </w:p>
    <w:p>
      <w:pPr>
        <w:spacing w:after="120" w:before="0"/>
        <w:jc w:val="left"/>
      </w:pPr>
      <w:r>
        <w:rPr>
          <w:rFonts w:ascii="Arial" w:cs="Arial" w:eastAsia="Arial" w:hAnsi="Arial"/>
          <w:sz w:val="22"/>
          <w:szCs w:val="22"/>
        </w:rPr>
        <w:t xml:space="preserve">Personal data handling:</w:t>
      </w:r>
    </w:p>
    <w:p>
      <w:pPr>
        <w:pStyle w:val="ListParagraph"/>
        <w:numPr>
          <w:ilvl w:val="0"/>
          <w:numId w:val="2"/>
        </w:numPr>
        <w:spacing w:after="80"/>
      </w:pPr>
      <w:r>
        <w:rPr>
          <w:rFonts w:ascii="Arial" w:cs="Arial" w:eastAsia="Arial" w:hAnsi="Arial"/>
          <w:sz w:val="22"/>
          <w:szCs w:val="22"/>
        </w:rPr>
        <w:t xml:space="preserve">Data processing records maintained for every category of personal data.</w:t>
      </w:r>
    </w:p>
    <w:p>
      <w:pPr>
        <w:pStyle w:val="ListParagraph"/>
        <w:numPr>
          <w:ilvl w:val="0"/>
          <w:numId w:val="2"/>
        </w:numPr>
        <w:spacing w:after="80"/>
      </w:pPr>
      <w:r>
        <w:rPr>
          <w:rFonts w:ascii="Arial" w:cs="Arial" w:eastAsia="Arial" w:hAnsi="Arial"/>
          <w:sz w:val="22"/>
          <w:szCs w:val="22"/>
        </w:rPr>
        <w:t xml:space="preserve">Retention: user accounts indefinite while active; archived accounts preserved for FK integrity with PII scrubbed on deletion request.</w:t>
      </w:r>
    </w:p>
    <w:p>
      <w:pPr>
        <w:pStyle w:val="ListParagraph"/>
        <w:numPr>
          <w:ilvl w:val="0"/>
          <w:numId w:val="2"/>
        </w:numPr>
        <w:spacing w:after="80"/>
      </w:pPr>
      <w:r>
        <w:rPr>
          <w:rFonts w:ascii="Arial" w:cs="Arial" w:eastAsia="Arial" w:hAnsi="Arial"/>
          <w:sz w:val="22"/>
          <w:szCs w:val="22"/>
        </w:rPr>
        <w:t xml:space="preserve">Subject access request: export tool generates the user's full data in JSON + CSV.</w:t>
      </w:r>
    </w:p>
    <w:p>
      <w:pPr>
        <w:pStyle w:val="ListParagraph"/>
        <w:numPr>
          <w:ilvl w:val="0"/>
          <w:numId w:val="2"/>
        </w:numPr>
        <w:spacing w:after="80"/>
      </w:pPr>
      <w:r>
        <w:rPr>
          <w:rFonts w:ascii="Arial" w:cs="Arial" w:eastAsia="Arial" w:hAnsi="Arial"/>
          <w:sz w:val="22"/>
          <w:szCs w:val="22"/>
        </w:rPr>
        <w:t xml:space="preserve">Right to erasure: PII scrubbed while preserving FK integrity (user names replaced with "Deleted User [UUID]").</w:t>
      </w:r>
    </w:p>
    <w:p>
      <w:pPr>
        <w:pStyle w:val="ListParagraph"/>
        <w:numPr>
          <w:ilvl w:val="0"/>
          <w:numId w:val="2"/>
        </w:numPr>
        <w:spacing w:after="80"/>
      </w:pPr>
      <w:r>
        <w:rPr>
          <w:rFonts w:ascii="Arial" w:cs="Arial" w:eastAsia="Arial" w:hAnsi="Arial"/>
          <w:sz w:val="22"/>
          <w:szCs w:val="22"/>
        </w:rPr>
        <w:t xml:space="preserve">Audit log retention: 2 years for most events, 7+ years for financial and contractual events (legitimate interest for regulatory defence).</w:t>
      </w:r>
    </w:p>
    <w:p>
      <w:r>
        <w:br w:type="page"/>
      </w:r>
    </w:p>
    <w:p>
      <w:pPr>
        <w:pStyle w:val="Heading1"/>
        <w:spacing w:after="200" w:before="400"/>
      </w:pPr>
      <w:r>
        <w:rPr>
          <w:rFonts w:ascii="Arial" w:cs="Arial" w:eastAsia="Arial" w:hAnsi="Arial"/>
          <w:b/>
          <w:bCs/>
          <w:color w:val="1F2D3D"/>
          <w:sz w:val="36"/>
          <w:szCs w:val="36"/>
        </w:rPr>
        <w:t xml:space="preserve">Recommended Build Approach</w:t>
      </w:r>
    </w:p>
    <w:p>
      <w:pPr>
        <w:pStyle w:val="Heading2"/>
        <w:spacing w:after="150" w:before="300"/>
      </w:pPr>
      <w:r>
        <w:rPr>
          <w:rFonts w:ascii="Arial" w:cs="Arial" w:eastAsia="Arial" w:hAnsi="Arial"/>
          <w:b/>
          <w:bCs/>
          <w:color w:val="E85A1B"/>
          <w:sz w:val="28"/>
          <w:szCs w:val="28"/>
        </w:rPr>
        <w:t xml:space="preserve">Sequencing</w:t>
      </w:r>
    </w:p>
    <w:p>
      <w:pPr>
        <w:spacing w:after="120" w:before="0"/>
        <w:jc w:val="left"/>
      </w:pPr>
      <w:r>
        <w:rPr>
          <w:rFonts w:ascii="Arial" w:cs="Arial" w:eastAsia="Arial" w:hAnsi="Arial"/>
          <w:sz w:val="22"/>
          <w:szCs w:val="22"/>
        </w:rPr>
        <w:t xml:space="preserve">The Build Order tab in the spreadsheet defines the recommended sequence — 25 numbered phases across five build tracks. Key dependencies:</w:t>
      </w:r>
    </w:p>
    <w:p>
      <w:pPr>
        <w:pStyle w:val="ListParagraph"/>
        <w:numPr>
          <w:ilvl w:val="0"/>
          <w:numId w:val="2"/>
        </w:numPr>
        <w:spacing w:after="80"/>
      </w:pPr>
      <w:r>
        <w:rPr>
          <w:rFonts w:ascii="Arial" w:cs="Arial" w:eastAsia="Arial" w:hAnsi="Arial"/>
          <w:sz w:val="22"/>
          <w:szCs w:val="22"/>
        </w:rPr>
        <w:t xml:space="preserve">Phase 1 (Foundation) is critical path. Target 3-4 weeks.</w:t>
      </w:r>
    </w:p>
    <w:p>
      <w:pPr>
        <w:pStyle w:val="ListParagraph"/>
        <w:numPr>
          <w:ilvl w:val="0"/>
          <w:numId w:val="2"/>
        </w:numPr>
        <w:spacing w:after="80"/>
      </w:pPr>
      <w:r>
        <w:rPr>
          <w:rFonts w:ascii="Arial" w:cs="Arial" w:eastAsia="Arial" w:hAnsi="Arial"/>
          <w:sz w:val="22"/>
          <w:szCs w:val="22"/>
        </w:rPr>
        <w:t xml:space="preserve">Phase 2 (Commercial Engine) — 6-8 weeks. Can split into 2.1-2.4 (appraisal + budget core) and 2.5-2.7 (actuals, commitments, cash flow).</w:t>
      </w:r>
    </w:p>
    <w:p>
      <w:pPr>
        <w:pStyle w:val="ListParagraph"/>
        <w:numPr>
          <w:ilvl w:val="0"/>
          <w:numId w:val="2"/>
        </w:numPr>
        <w:spacing w:after="80"/>
      </w:pPr>
      <w:r>
        <w:rPr>
          <w:rFonts w:ascii="Arial" w:cs="Arial" w:eastAsia="Arial" w:hAnsi="Arial"/>
          <w:sz w:val="22"/>
          <w:szCs w:val="22"/>
        </w:rPr>
        <w:t xml:space="preserve">Phase 3 (Programme) is independent from Phase 2 — can be built in parallel by a separate team.</w:t>
      </w:r>
    </w:p>
    <w:p>
      <w:pPr>
        <w:pStyle w:val="ListParagraph"/>
        <w:numPr>
          <w:ilvl w:val="0"/>
          <w:numId w:val="2"/>
        </w:numPr>
        <w:spacing w:after="80"/>
      </w:pPr>
      <w:r>
        <w:rPr>
          <w:rFonts w:ascii="Arial" w:cs="Arial" w:eastAsia="Arial" w:hAnsi="Arial"/>
          <w:sz w:val="22"/>
          <w:szCs w:val="22"/>
        </w:rPr>
        <w:t xml:space="preserve">Phase 4 (QA &amp; Documents) largely independent — parallelisable.</w:t>
      </w:r>
    </w:p>
    <w:p>
      <w:pPr>
        <w:pStyle w:val="ListParagraph"/>
        <w:numPr>
          <w:ilvl w:val="0"/>
          <w:numId w:val="2"/>
        </w:numPr>
        <w:spacing w:after="80"/>
      </w:pPr>
      <w:r>
        <w:rPr>
          <w:rFonts w:ascii="Arial" w:cs="Arial" w:eastAsia="Arial" w:hAnsi="Arial"/>
          <w:sz w:val="22"/>
          <w:szCs w:val="22"/>
        </w:rPr>
        <w:t xml:space="preserve">Phase 5 (Xero) last because it depends on entities, projects, cost codes, budgets, and actuals all being live.</w:t>
      </w:r>
    </w:p>
    <w:p>
      <w:pPr>
        <w:spacing w:after="120" w:before="0"/>
        <w:jc w:val="left"/>
      </w:pPr>
      <w:r>
        <w:rPr>
          <w:rFonts w:ascii="Arial" w:cs="Arial" w:eastAsia="Arial" w:hAnsi="Arial"/>
          <w:sz w:val="22"/>
          <w:szCs w:val="22"/>
        </w:rPr>
        <w:t xml:space="preserve">Target: 4-6 months for full Phase 1 with testing. Can compress to 3 months with parallel teams but risk increases.</w:t>
      </w:r>
    </w:p>
    <w:p>
      <w:pPr>
        <w:pStyle w:val="Heading2"/>
        <w:spacing w:after="150" w:before="300"/>
      </w:pPr>
      <w:r>
        <w:rPr>
          <w:rFonts w:ascii="Arial" w:cs="Arial" w:eastAsia="Arial" w:hAnsi="Arial"/>
          <w:b/>
          <w:bCs/>
          <w:color w:val="E85A1B"/>
          <w:sz w:val="28"/>
          <w:szCs w:val="28"/>
        </w:rPr>
        <w:t xml:space="preserve">Testing strategy</w:t>
      </w:r>
    </w:p>
    <w:p>
      <w:pPr>
        <w:spacing w:after="120" w:before="0"/>
        <w:jc w:val="left"/>
      </w:pPr>
      <w:r>
        <w:rPr>
          <w:rFonts w:ascii="Arial" w:cs="Arial" w:eastAsia="Arial" w:hAnsi="Arial"/>
          <w:sz w:val="22"/>
          <w:szCs w:val="22"/>
        </w:rPr>
        <w:t xml:space="preserve">Each phase deliverable must include:</w:t>
      </w:r>
    </w:p>
    <w:p>
      <w:pPr>
        <w:pStyle w:val="ListParagraph"/>
        <w:numPr>
          <w:ilvl w:val="0"/>
          <w:numId w:val="2"/>
        </w:numPr>
        <w:spacing w:after="80"/>
      </w:pPr>
      <w:r>
        <w:rPr>
          <w:rFonts w:ascii="Arial" w:cs="Arial" w:eastAsia="Arial" w:hAnsi="Arial"/>
          <w:sz w:val="22"/>
          <w:szCs w:val="22"/>
        </w:rPr>
        <w:t xml:space="preserve">Migration scripts — schema changes applied cleanly from empty or existing database.</w:t>
      </w:r>
    </w:p>
    <w:p>
      <w:pPr>
        <w:pStyle w:val="ListParagraph"/>
        <w:numPr>
          <w:ilvl w:val="0"/>
          <w:numId w:val="2"/>
        </w:numPr>
        <w:spacing w:after="80"/>
      </w:pPr>
      <w:r>
        <w:rPr>
          <w:rFonts w:ascii="Arial" w:cs="Arial" w:eastAsia="Arial" w:hAnsi="Arial"/>
          <w:sz w:val="22"/>
          <w:szCs w:val="22"/>
        </w:rPr>
        <w:t xml:space="preserve">Seed data — loaded via versioned files under source control.</w:t>
      </w:r>
    </w:p>
    <w:p>
      <w:pPr>
        <w:pStyle w:val="ListParagraph"/>
        <w:numPr>
          <w:ilvl w:val="0"/>
          <w:numId w:val="2"/>
        </w:numPr>
        <w:spacing w:after="80"/>
      </w:pPr>
      <w:r>
        <w:rPr>
          <w:rFonts w:ascii="Arial" w:cs="Arial" w:eastAsia="Arial" w:hAnsi="Arial"/>
          <w:sz w:val="22"/>
          <w:szCs w:val="22"/>
        </w:rPr>
        <w:t xml:space="preserve">Admin UI — data inspection and manual correction capability (hidden from normal users).</w:t>
      </w:r>
    </w:p>
    <w:p>
      <w:pPr>
        <w:pStyle w:val="ListParagraph"/>
        <w:numPr>
          <w:ilvl w:val="0"/>
          <w:numId w:val="2"/>
        </w:numPr>
        <w:spacing w:after="80"/>
      </w:pPr>
      <w:r>
        <w:rPr>
          <w:rFonts w:ascii="Arial" w:cs="Arial" w:eastAsia="Arial" w:hAnsi="Arial"/>
          <w:sz w:val="22"/>
          <w:szCs w:val="22"/>
        </w:rPr>
        <w:t xml:space="preserve">Integration tests — covering key workflows end-to-end.</w:t>
      </w:r>
    </w:p>
    <w:p>
      <w:pPr>
        <w:pStyle w:val="ListParagraph"/>
        <w:numPr>
          <w:ilvl w:val="0"/>
          <w:numId w:val="2"/>
        </w:numPr>
        <w:spacing w:after="80"/>
      </w:pPr>
      <w:r>
        <w:rPr>
          <w:rFonts w:ascii="Arial" w:cs="Arial" w:eastAsia="Arial" w:hAnsi="Arial"/>
          <w:sz w:val="22"/>
          <w:szCs w:val="22"/>
        </w:rPr>
        <w:t xml:space="preserve">Smoke tests — essential functions work in production-like environment.</w:t>
      </w:r>
    </w:p>
    <w:p>
      <w:pPr>
        <w:pStyle w:val="ListParagraph"/>
        <w:numPr>
          <w:ilvl w:val="0"/>
          <w:numId w:val="2"/>
        </w:numPr>
        <w:spacing w:after="80"/>
      </w:pPr>
      <w:r>
        <w:rPr>
          <w:rFonts w:ascii="Arial" w:cs="Arial" w:eastAsia="Arial" w:hAnsi="Arial"/>
          <w:sz w:val="22"/>
          <w:szCs w:val="22"/>
        </w:rPr>
        <w:t xml:space="preserve">Load tests for dashboards — key reports render under 2 seconds with realistic data volumes.</w:t>
      </w:r>
    </w:p>
    <w:p>
      <w:pPr>
        <w:spacing w:after="120" w:before="0"/>
        <w:jc w:val="left"/>
      </w:pPr>
      <w:r>
        <w:rPr>
          <w:rFonts w:ascii="Arial" w:cs="Arial" w:eastAsia="Arial" w:hAnsi="Arial"/>
          <w:sz w:val="22"/>
          <w:szCs w:val="22"/>
        </w:rPr>
        <w:t xml:space="preserve">Recommend building entire Phase 1 end-to-end with small test data first (1-2 live projects), then migrating historical data in Phase 5 completion. This is safer than building a full system in isolation and hoping it works at go-live.</w:t>
      </w:r>
    </w:p>
    <w:p>
      <w:pPr>
        <w:pStyle w:val="Heading2"/>
        <w:spacing w:after="150" w:before="300"/>
      </w:pPr>
      <w:r>
        <w:rPr>
          <w:rFonts w:ascii="Arial" w:cs="Arial" w:eastAsia="Arial" w:hAnsi="Arial"/>
          <w:b/>
          <w:bCs/>
          <w:color w:val="E85A1B"/>
          <w:sz w:val="28"/>
          <w:szCs w:val="28"/>
        </w:rPr>
        <w:t xml:space="preserve">Build platform</w:t>
      </w:r>
    </w:p>
    <w:p>
      <w:pPr>
        <w:spacing w:after="120" w:before="0"/>
        <w:jc w:val="left"/>
      </w:pPr>
      <w:r>
        <w:rPr>
          <w:rFonts w:ascii="Arial" w:cs="Arial" w:eastAsia="Arial" w:hAnsi="Arial"/>
          <w:sz w:val="22"/>
          <w:szCs w:val="22"/>
        </w:rPr>
        <w:t xml:space="preserve">Phase 1 is targeted at Emergent AI for rapid build velocity. Emergent's strengths are rapid CRUD scaffolding, schema-driven UI generation, and standard workflows. Its weaknesses are complex calculation engines (SDLT, CPM, finance interest) and deep third-party integrations (Xero OAuth + webhooks + sync queue).</w:t>
      </w:r>
    </w:p>
    <w:p>
      <w:pPr>
        <w:spacing w:after="120" w:before="0"/>
        <w:jc w:val="left"/>
      </w:pPr>
      <w:r>
        <w:rPr>
          <w:rFonts w:ascii="Arial" w:cs="Arial" w:eastAsia="Arial" w:hAnsi="Arial"/>
          <w:sz w:val="22"/>
          <w:szCs w:val="22"/>
        </w:rPr>
        <w:t xml:space="preserve">Recommended approach:</w:t>
      </w:r>
    </w:p>
    <w:p>
      <w:pPr>
        <w:pStyle w:val="ListParagraph"/>
        <w:numPr>
          <w:ilvl w:val="0"/>
          <w:numId w:val="2"/>
        </w:numPr>
        <w:spacing w:after="80"/>
      </w:pPr>
      <w:r>
        <w:rPr>
          <w:rFonts w:ascii="Arial" w:cs="Arial" w:eastAsia="Arial" w:hAnsi="Arial"/>
          <w:sz w:val="22"/>
          <w:szCs w:val="22"/>
        </w:rPr>
        <w:t xml:space="preserve">Build schema, CRUD, standard UI, permissions, audit in Emergent.</w:t>
      </w:r>
    </w:p>
    <w:p>
      <w:pPr>
        <w:pStyle w:val="ListParagraph"/>
        <w:numPr>
          <w:ilvl w:val="0"/>
          <w:numId w:val="2"/>
        </w:numPr>
        <w:spacing w:after="80"/>
      </w:pPr>
      <w:r>
        <w:rPr>
          <w:rFonts w:ascii="Arial" w:cs="Arial" w:eastAsia="Arial" w:hAnsi="Arial"/>
          <w:sz w:val="22"/>
          <w:szCs w:val="22"/>
        </w:rPr>
        <w:t xml:space="preserve">Extract calculation engines (SDLT, RLV, CPM, FTC) as testable modules with deterministic input/output — whether implemented in Emergent or in a dedicated microservice.</w:t>
      </w:r>
    </w:p>
    <w:p>
      <w:pPr>
        <w:pStyle w:val="ListParagraph"/>
        <w:numPr>
          <w:ilvl w:val="0"/>
          <w:numId w:val="2"/>
        </w:numPr>
        <w:spacing w:after="80"/>
      </w:pPr>
      <w:r>
        <w:rPr>
          <w:rFonts w:ascii="Arial" w:cs="Arial" w:eastAsia="Arial" w:hAnsi="Arial"/>
          <w:sz w:val="22"/>
          <w:szCs w:val="22"/>
        </w:rPr>
        <w:t xml:space="preserve">Build Xero integration as a dedicated service (Python or Node) with Emergent consuming its outputs. The OAuth flow, webhook receiver, and sync queue are best handled outside an app builder.</w:t>
      </w:r>
    </w:p>
    <w:p>
      <w:pPr>
        <w:spacing w:after="120" w:before="0"/>
        <w:jc w:val="left"/>
      </w:pPr>
      <w:r>
        <w:rPr>
          <w:rFonts w:ascii="Arial" w:cs="Arial" w:eastAsia="Arial" w:hAnsi="Arial"/>
          <w:sz w:val="22"/>
          <w:szCs w:val="22"/>
        </w:rPr>
        <w:t xml:space="preserve">Long-term, the platform may outgrow Emergent for some or all components. Architecture should anticipate this — clean API boundaries between schema/UI and business logic, so modules can be reimplemented without breaking the whole.</w:t>
      </w:r>
    </w:p>
    <w:p>
      <w:pPr>
        <w:pStyle w:val="Heading2"/>
        <w:spacing w:after="150" w:before="300"/>
      </w:pPr>
      <w:r>
        <w:rPr>
          <w:rFonts w:ascii="Arial" w:cs="Arial" w:eastAsia="Arial" w:hAnsi="Arial"/>
          <w:b/>
          <w:bCs/>
          <w:color w:val="E85A1B"/>
          <w:sz w:val="28"/>
          <w:szCs w:val="28"/>
        </w:rPr>
        <w:t xml:space="preserve">Handover and ownership</w:t>
      </w:r>
    </w:p>
    <w:p>
      <w:pPr>
        <w:spacing w:after="120" w:before="0"/>
        <w:jc w:val="left"/>
      </w:pPr>
      <w:r>
        <w:rPr>
          <w:rFonts w:ascii="Arial" w:cs="Arial" w:eastAsia="Arial" w:hAnsi="Arial"/>
          <w:sz w:val="22"/>
          <w:szCs w:val="22"/>
        </w:rPr>
        <w:t xml:space="preserve">The platform is a strategic asset. Key protections:</w:t>
      </w:r>
    </w:p>
    <w:p>
      <w:pPr>
        <w:pStyle w:val="ListParagraph"/>
        <w:numPr>
          <w:ilvl w:val="0"/>
          <w:numId w:val="2"/>
        </w:numPr>
        <w:spacing w:after="80"/>
      </w:pPr>
      <w:r>
        <w:rPr>
          <w:rFonts w:ascii="Arial" w:cs="Arial" w:eastAsia="Arial" w:hAnsi="Arial"/>
          <w:sz w:val="22"/>
          <w:szCs w:val="22"/>
        </w:rPr>
        <w:t xml:space="preserve">Full source code in a source control system (Git) owned by SY Homes.</w:t>
      </w:r>
    </w:p>
    <w:p>
      <w:pPr>
        <w:pStyle w:val="ListParagraph"/>
        <w:numPr>
          <w:ilvl w:val="0"/>
          <w:numId w:val="2"/>
        </w:numPr>
        <w:spacing w:after="80"/>
      </w:pPr>
      <w:r>
        <w:rPr>
          <w:rFonts w:ascii="Arial" w:cs="Arial" w:eastAsia="Arial" w:hAnsi="Arial"/>
          <w:sz w:val="22"/>
          <w:szCs w:val="22"/>
        </w:rPr>
        <w:t xml:space="preserve">Database schema, migration history, and seed data all under version control.</w:t>
      </w:r>
    </w:p>
    <w:p>
      <w:pPr>
        <w:pStyle w:val="ListParagraph"/>
        <w:numPr>
          <w:ilvl w:val="0"/>
          <w:numId w:val="2"/>
        </w:numPr>
        <w:spacing w:after="80"/>
      </w:pPr>
      <w:r>
        <w:rPr>
          <w:rFonts w:ascii="Arial" w:cs="Arial" w:eastAsia="Arial" w:hAnsi="Arial"/>
          <w:sz w:val="22"/>
          <w:szCs w:val="22"/>
        </w:rPr>
        <w:t xml:space="preserve">Deployment automated via CI/CD with rollback capability.</w:t>
      </w:r>
    </w:p>
    <w:p>
      <w:pPr>
        <w:pStyle w:val="ListParagraph"/>
        <w:numPr>
          <w:ilvl w:val="0"/>
          <w:numId w:val="2"/>
        </w:numPr>
        <w:spacing w:after="80"/>
      </w:pPr>
      <w:r>
        <w:rPr>
          <w:rFonts w:ascii="Arial" w:cs="Arial" w:eastAsia="Arial" w:hAnsi="Arial"/>
          <w:sz w:val="22"/>
          <w:szCs w:val="22"/>
        </w:rPr>
        <w:t xml:space="preserve">Documentation (including this spec and the data model spreadsheet) maintained as the platform evolves.</w:t>
      </w:r>
    </w:p>
    <w:p>
      <w:pPr>
        <w:pStyle w:val="ListParagraph"/>
        <w:numPr>
          <w:ilvl w:val="0"/>
          <w:numId w:val="2"/>
        </w:numPr>
        <w:spacing w:after="80"/>
      </w:pPr>
      <w:r>
        <w:rPr>
          <w:rFonts w:ascii="Arial" w:cs="Arial" w:eastAsia="Arial" w:hAnsi="Arial"/>
          <w:sz w:val="22"/>
          <w:szCs w:val="22"/>
        </w:rPr>
        <w:t xml:space="preserve">Backup and disaster recovery tested quarterly — point-in-time recovery available for at least 30 days.</w:t>
      </w:r>
    </w:p>
    <w:p>
      <w:pPr>
        <w:pStyle w:val="ListParagraph"/>
        <w:numPr>
          <w:ilvl w:val="0"/>
          <w:numId w:val="2"/>
        </w:numPr>
        <w:spacing w:after="80"/>
      </w:pPr>
      <w:r>
        <w:rPr>
          <w:rFonts w:ascii="Arial" w:cs="Arial" w:eastAsia="Arial" w:hAnsi="Arial"/>
          <w:sz w:val="22"/>
          <w:szCs w:val="22"/>
        </w:rPr>
        <w:t xml:space="preserve">Clear exit strategy from any third-party dependencies (Emergent, Xero, cloud provider) with data export formats documented.</w:t>
      </w:r>
    </w:p>
    <w:p>
      <w:r>
        <w:br w:type="page"/>
      </w:r>
    </w:p>
    <w:p>
      <w:pPr>
        <w:pStyle w:val="Heading1"/>
        <w:spacing w:after="200" w:before="400"/>
      </w:pPr>
      <w:r>
        <w:rPr>
          <w:rFonts w:ascii="Arial" w:cs="Arial" w:eastAsia="Arial" w:hAnsi="Arial"/>
          <w:b/>
          <w:bCs/>
          <w:color w:val="1F2D3D"/>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1F2D3D" w:val="clear"/>
            <w:tcMar>
              <w:top w:type="dxa" w:w="100"/>
              <w:left w:type="dxa" w:w="120"/>
              <w:bottom w:type="dxa" w:w="100"/>
              <w:right w:type="dxa" w:w="120"/>
            </w:tcMar>
          </w:tcPr>
          <w:p>
            <w:r>
              <w:rPr>
                <w:rFonts w:ascii="Arial" w:cs="Arial" w:eastAsia="Arial" w:hAnsi="Arial"/>
                <w:b/>
                <w:bCs/>
                <w:color w:val="FFFFFF"/>
                <w:sz w:val="22"/>
                <w:szCs w:val="22"/>
              </w:rPr>
              <w:t xml:space="preserve">Term</w:t>
            </w:r>
          </w:p>
        </w:tc>
        <w:tc>
          <w:tcPr>
            <w:tcW w:type="dxa" w:w="6860"/>
            <w:shd w:fill="1F2D3D"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Actuals</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Posted cost records. The single ledger of all cost postings across a project.</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Appraisal</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Feasibility model of a potential development, with GDV, costs, profit, and residual land value.</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BSA</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Building Safety Act 2022 — regulates higher-risk buildings (over 18m or 7+ storeys residential).</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CDM 2015</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Construction (Design and Management) Regulations 2015 — safety regulations.</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CIS</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Construction Industry Scheme — HMRC scheme for tax deductions from subcontractor payments.</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CIS300</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Monthly CIS return filed with HMRC.</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Commitment</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Money owed under a signed contract not yet invoiced.</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CPM</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Critical Path Method — project scheduling algorithm that identifies the longest chain of dependent tasks.</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FFC</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Forecast Final Cost — actuals + committed + forecast to complete.</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FTC</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Forecast to Complete — expected further spend after actuals and commitments.</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GDV</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Gross Development Value — total sales value of the developed scheme.</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Golden thread</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The audit trail of information that enables a building to be maintained safely throughout its lifecycle (BSA requirement).</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HMRC</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His Majesty's Revenue and Customs — UK tax authority.</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IRR</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Internal Rate of Return — time-weighted return on a cash flow.</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LDs</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Liquidated damages — pre-agreed damages for delay in completion.</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NHBC</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National House Building Council — structural warranty provider.</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Part L / O / Q</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Building Regulations parts — L for energy, O for overheating, Q for security.</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PC</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Practical completion — substantial completion milestone in construction.</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RAMS</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Risk Assessment Method Statement.</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RLV</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Residual Land Value — maximum land price payable given a target profit.</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ROCE</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Return on Capital Employed.</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S106</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Section 106 agreement — planning obligations imposed by the local authority.</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SDLT</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Stamp Duty Land Tax.</w:t>
            </w:r>
          </w:p>
        </w:tc>
      </w:tr>
      <w:tr>
        <w:tc>
          <w:tcPr>
            <w:tcW w:type="dxa" w:w="2500"/>
            <w:shd w:fill="FFFFFF" w:val="clear"/>
            <w:tcMar>
              <w:top w:type="dxa" w:w="80"/>
              <w:left w:type="dxa" w:w="120"/>
              <w:bottom w:type="dxa" w:w="80"/>
              <w:right w:type="dxa" w:w="120"/>
            </w:tcMar>
          </w:tcPr>
          <w:p>
            <w:r>
              <w:rPr>
                <w:rFonts w:ascii="Arial" w:cs="Arial" w:eastAsia="Arial" w:hAnsi="Arial"/>
                <w:b/>
                <w:bCs/>
                <w:sz w:val="20"/>
                <w:szCs w:val="20"/>
              </w:rPr>
              <w:t xml:space="preserve">SPV</w:t>
            </w:r>
          </w:p>
        </w:tc>
        <w:tc>
          <w:tcPr>
            <w:tcW w:type="dxa" w:w="6860"/>
            <w:shd w:fill="FFFFFF" w:val="clear"/>
            <w:tcMar>
              <w:top w:type="dxa" w:w="80"/>
              <w:left w:type="dxa" w:w="120"/>
              <w:bottom w:type="dxa" w:w="80"/>
              <w:right w:type="dxa" w:w="120"/>
            </w:tcMar>
          </w:tcPr>
          <w:p>
            <w:r>
              <w:rPr>
                <w:rFonts w:ascii="Arial" w:cs="Arial" w:eastAsia="Arial" w:hAnsi="Arial"/>
                <w:sz w:val="20"/>
                <w:szCs w:val="20"/>
              </w:rPr>
              <w:t xml:space="preserve">Special Purpose Vehicle — single-project company structure.</w:t>
            </w:r>
          </w:p>
        </w:tc>
      </w:tr>
      <w:tr>
        <w:tc>
          <w:tcPr>
            <w:tcW w:type="dxa" w:w="2500"/>
            <w:shd w:fill="FAFAFA" w:val="clear"/>
            <w:tcMar>
              <w:top w:type="dxa" w:w="80"/>
              <w:left w:type="dxa" w:w="120"/>
              <w:bottom w:type="dxa" w:w="80"/>
              <w:right w:type="dxa" w:w="120"/>
            </w:tcMar>
          </w:tcPr>
          <w:p>
            <w:r>
              <w:rPr>
                <w:rFonts w:ascii="Arial" w:cs="Arial" w:eastAsia="Arial" w:hAnsi="Arial"/>
                <w:b/>
                <w:bCs/>
                <w:sz w:val="20"/>
                <w:szCs w:val="20"/>
              </w:rPr>
              <w:t xml:space="preserve">VAT</w:t>
            </w:r>
          </w:p>
        </w:tc>
        <w:tc>
          <w:tcPr>
            <w:tcW w:type="dxa" w:w="6860"/>
            <w:shd w:fill="FAFAFA" w:val="clear"/>
            <w:tcMar>
              <w:top w:type="dxa" w:w="80"/>
              <w:left w:type="dxa" w:w="120"/>
              <w:bottom w:type="dxa" w:w="80"/>
              <w:right w:type="dxa" w:w="120"/>
            </w:tcMar>
          </w:tcPr>
          <w:p>
            <w:r>
              <w:rPr>
                <w:rFonts w:ascii="Arial" w:cs="Arial" w:eastAsia="Arial" w:hAnsi="Arial"/>
                <w:sz w:val="20"/>
                <w:szCs w:val="20"/>
              </w:rPr>
              <w:t xml:space="preserve">Value Added Tax.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Confidential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SY Homes — Platform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D3D"/>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E85A1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2026-04-19T14:10:27.218Z</dcterms:created>
  <dcterms:modified xsi:type="dcterms:W3CDTF">2026-04-19T14:10:27.219Z</dcterms:modified>
</cp:coreProperties>
</file>

<file path=docProps/custom.xml><?xml version="1.0" encoding="utf-8"?>
<Properties xmlns="http://schemas.openxmlformats.org/officeDocument/2006/custom-properties" xmlns:vt="http://schemas.openxmlformats.org/officeDocument/2006/docPropsVTypes"/>
</file>