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CFA" w:rsidRPr="00300ED2" w:rsidRDefault="00C0012D" w:rsidP="00C0012D">
      <w:pPr>
        <w:jc w:val="center"/>
        <w:rPr>
          <w:rFonts w:hint="eastAsia"/>
          <w:b/>
          <w:szCs w:val="24"/>
          <w:u w:val="single"/>
          <w:lang w:eastAsia="zh-HK"/>
        </w:rPr>
      </w:pPr>
      <w:r w:rsidRPr="00300ED2">
        <w:rPr>
          <w:rFonts w:hint="eastAsia"/>
          <w:b/>
          <w:szCs w:val="24"/>
          <w:u w:val="single"/>
          <w:lang w:eastAsia="zh-HK"/>
        </w:rPr>
        <w:t xml:space="preserve">Air Quality Issues in </w:t>
      </w:r>
      <w:r w:rsidR="00933CFA" w:rsidRPr="00300ED2">
        <w:rPr>
          <w:rFonts w:hint="eastAsia"/>
          <w:b/>
          <w:szCs w:val="24"/>
          <w:u w:val="single"/>
          <w:lang w:eastAsia="zh-HK"/>
        </w:rPr>
        <w:t>Jockey Club Postgraduate Hall 2 &amp; 3</w:t>
      </w:r>
    </w:p>
    <w:p w:rsidR="00933CFA" w:rsidRPr="00860279" w:rsidRDefault="00933CFA">
      <w:pPr>
        <w:rPr>
          <w:rFonts w:hint="eastAsia"/>
          <w:szCs w:val="24"/>
          <w:lang w:eastAsia="zh-HK"/>
        </w:rPr>
      </w:pPr>
    </w:p>
    <w:p w:rsidR="007F1C5F" w:rsidRPr="00C0012D" w:rsidRDefault="00C0012D" w:rsidP="00C0012D">
      <w:pPr>
        <w:pStyle w:val="ListParagraph"/>
        <w:numPr>
          <w:ilvl w:val="0"/>
          <w:numId w:val="1"/>
        </w:numPr>
        <w:ind w:leftChars="0"/>
        <w:rPr>
          <w:rFonts w:ascii="Calibri" w:hAnsi="Calibri" w:hint="eastAsia"/>
          <w:b/>
          <w:szCs w:val="24"/>
          <w:lang w:eastAsia="zh-HK"/>
        </w:rPr>
      </w:pPr>
      <w:r w:rsidRPr="00C0012D">
        <w:rPr>
          <w:rFonts w:ascii="Calibri" w:hAnsi="Calibri" w:hint="eastAsia"/>
          <w:b/>
          <w:szCs w:val="24"/>
          <w:lang w:eastAsia="zh-HK"/>
        </w:rPr>
        <w:t>Current Situations</w:t>
      </w:r>
    </w:p>
    <w:p w:rsidR="006B21A5" w:rsidRDefault="00300ED2" w:rsidP="00CA1FD2">
      <w:pPr>
        <w:jc w:val="both"/>
        <w:rPr>
          <w:rFonts w:hint="eastAsia"/>
          <w:szCs w:val="24"/>
          <w:lang w:eastAsia="zh-HK"/>
        </w:rPr>
      </w:pPr>
      <w:r>
        <w:rPr>
          <w:rFonts w:ascii="Calibri" w:hAnsi="Calibri" w:hint="eastAsia"/>
          <w:szCs w:val="24"/>
          <w:lang w:eastAsia="zh-HK"/>
        </w:rPr>
        <w:t>In accordance with Campus Development Office (CDO), u</w:t>
      </w:r>
      <w:r w:rsidR="00933CFA" w:rsidRPr="00860279">
        <w:rPr>
          <w:rFonts w:ascii="Calibri" w:hAnsi="Calibri" w:hint="eastAsia"/>
          <w:szCs w:val="24"/>
          <w:lang w:eastAsia="zh-HK"/>
        </w:rPr>
        <w:t>pon completion of any construction projects</w:t>
      </w:r>
      <w:r w:rsidR="00A202A8">
        <w:rPr>
          <w:rFonts w:ascii="Calibri" w:hAnsi="Calibri" w:hint="eastAsia"/>
          <w:szCs w:val="24"/>
          <w:lang w:eastAsia="zh-HK"/>
        </w:rPr>
        <w:t xml:space="preserve"> in CUHK</w:t>
      </w:r>
      <w:r w:rsidR="00933CFA" w:rsidRPr="00860279">
        <w:rPr>
          <w:rFonts w:ascii="Calibri" w:hAnsi="Calibri" w:hint="eastAsia"/>
          <w:szCs w:val="24"/>
          <w:lang w:eastAsia="zh-HK"/>
        </w:rPr>
        <w:t xml:space="preserve">, all </w:t>
      </w:r>
      <w:r w:rsidR="00933CFA" w:rsidRPr="00860279">
        <w:rPr>
          <w:rFonts w:ascii="Calibri" w:hAnsi="Calibri"/>
          <w:szCs w:val="24"/>
        </w:rPr>
        <w:t xml:space="preserve">buildings </w:t>
      </w:r>
      <w:r w:rsidR="00933CFA" w:rsidRPr="00860279">
        <w:rPr>
          <w:rFonts w:ascii="Calibri" w:hAnsi="Calibri" w:hint="eastAsia"/>
          <w:szCs w:val="24"/>
          <w:lang w:eastAsia="zh-HK"/>
        </w:rPr>
        <w:t>will</w:t>
      </w:r>
      <w:r w:rsidR="00933CFA" w:rsidRPr="00860279">
        <w:rPr>
          <w:rFonts w:ascii="Calibri" w:hAnsi="Calibri"/>
          <w:szCs w:val="24"/>
        </w:rPr>
        <w:t xml:space="preserve"> </w:t>
      </w:r>
      <w:r w:rsidR="00933CFA" w:rsidRPr="00860279">
        <w:rPr>
          <w:rFonts w:ascii="Calibri" w:hAnsi="Calibri" w:hint="eastAsia"/>
          <w:szCs w:val="24"/>
          <w:lang w:eastAsia="zh-HK"/>
        </w:rPr>
        <w:t xml:space="preserve">be </w:t>
      </w:r>
      <w:r w:rsidR="00933CFA" w:rsidRPr="00860279">
        <w:rPr>
          <w:rFonts w:ascii="Calibri" w:hAnsi="Calibri"/>
          <w:szCs w:val="24"/>
        </w:rPr>
        <w:t xml:space="preserve">reviewed by the </w:t>
      </w:r>
      <w:r>
        <w:rPr>
          <w:rFonts w:ascii="Calibri" w:hAnsi="Calibri" w:hint="eastAsia"/>
          <w:szCs w:val="24"/>
          <w:lang w:eastAsia="zh-HK"/>
        </w:rPr>
        <w:t>p</w:t>
      </w:r>
      <w:r>
        <w:rPr>
          <w:rFonts w:ascii="Calibri" w:hAnsi="Calibri"/>
          <w:szCs w:val="24"/>
        </w:rPr>
        <w:t xml:space="preserve">roject </w:t>
      </w:r>
      <w:r>
        <w:rPr>
          <w:rFonts w:ascii="Calibri" w:hAnsi="Calibri" w:hint="eastAsia"/>
          <w:szCs w:val="24"/>
          <w:lang w:eastAsia="zh-HK"/>
        </w:rPr>
        <w:t>c</w:t>
      </w:r>
      <w:r w:rsidR="00933CFA" w:rsidRPr="00860279">
        <w:rPr>
          <w:rFonts w:ascii="Calibri" w:hAnsi="Calibri"/>
          <w:szCs w:val="24"/>
        </w:rPr>
        <w:t>onsultant and the</w:t>
      </w:r>
      <w:r w:rsidR="00860279" w:rsidRPr="00860279">
        <w:rPr>
          <w:rFonts w:ascii="Calibri" w:hAnsi="Calibri"/>
          <w:szCs w:val="24"/>
        </w:rPr>
        <w:t>ir environmental sub-consultant</w:t>
      </w:r>
      <w:r w:rsidR="00860279" w:rsidRPr="00860279">
        <w:rPr>
          <w:rFonts w:ascii="Calibri" w:hAnsi="Calibri" w:hint="eastAsia"/>
          <w:szCs w:val="24"/>
          <w:lang w:eastAsia="zh-HK"/>
        </w:rPr>
        <w:t>.</w:t>
      </w:r>
      <w:r w:rsidR="00933CFA" w:rsidRPr="00860279">
        <w:rPr>
          <w:rFonts w:ascii="Calibri" w:hAnsi="Calibri"/>
          <w:szCs w:val="24"/>
        </w:rPr>
        <w:t xml:space="preserve"> </w:t>
      </w:r>
      <w:r w:rsidR="00860279" w:rsidRPr="00860279">
        <w:rPr>
          <w:rFonts w:ascii="Calibri" w:hAnsi="Calibri" w:hint="eastAsia"/>
          <w:szCs w:val="24"/>
          <w:lang w:eastAsia="zh-HK"/>
        </w:rPr>
        <w:t>T</w:t>
      </w:r>
      <w:r w:rsidR="00933CFA" w:rsidRPr="00860279">
        <w:rPr>
          <w:rFonts w:ascii="Calibri" w:hAnsi="Calibri"/>
          <w:szCs w:val="24"/>
        </w:rPr>
        <w:t xml:space="preserve">he Buildings Authority, Fire Services Department, Water Supply Department </w:t>
      </w:r>
      <w:r w:rsidR="00860279" w:rsidRPr="00860279">
        <w:rPr>
          <w:rFonts w:ascii="Calibri" w:hAnsi="Calibri" w:hint="eastAsia"/>
          <w:szCs w:val="24"/>
          <w:lang w:eastAsia="zh-HK"/>
        </w:rPr>
        <w:t>would</w:t>
      </w:r>
      <w:r w:rsidR="00860279" w:rsidRPr="00860279">
        <w:rPr>
          <w:rFonts w:ascii="Calibri" w:hAnsi="Calibri"/>
          <w:szCs w:val="24"/>
        </w:rPr>
        <w:t xml:space="preserve"> advise</w:t>
      </w:r>
      <w:r w:rsidR="00933CFA" w:rsidRPr="00860279">
        <w:rPr>
          <w:rFonts w:ascii="Calibri" w:hAnsi="Calibri"/>
          <w:szCs w:val="24"/>
        </w:rPr>
        <w:t xml:space="preserve"> </w:t>
      </w:r>
      <w:r w:rsidR="00860279" w:rsidRPr="00860279">
        <w:rPr>
          <w:rFonts w:ascii="Calibri" w:hAnsi="Calibri" w:hint="eastAsia"/>
          <w:szCs w:val="24"/>
          <w:lang w:eastAsia="zh-HK"/>
        </w:rPr>
        <w:t>if the premises</w:t>
      </w:r>
      <w:r w:rsidR="00933CFA" w:rsidRPr="00860279">
        <w:rPr>
          <w:rFonts w:ascii="Calibri" w:hAnsi="Calibri"/>
          <w:szCs w:val="24"/>
        </w:rPr>
        <w:t xml:space="preserve"> </w:t>
      </w:r>
      <w:r w:rsidR="00860279" w:rsidRPr="00860279">
        <w:rPr>
          <w:rFonts w:ascii="Calibri" w:hAnsi="Calibri" w:hint="eastAsia"/>
          <w:szCs w:val="24"/>
          <w:lang w:eastAsia="zh-HK"/>
        </w:rPr>
        <w:t>are</w:t>
      </w:r>
      <w:r w:rsidR="00933CFA" w:rsidRPr="00860279">
        <w:rPr>
          <w:rFonts w:ascii="Calibri" w:hAnsi="Calibri"/>
          <w:szCs w:val="24"/>
        </w:rPr>
        <w:t xml:space="preserve"> operable with the issue of </w:t>
      </w:r>
      <w:r>
        <w:rPr>
          <w:rFonts w:ascii="Calibri" w:hAnsi="Calibri" w:hint="eastAsia"/>
          <w:szCs w:val="24"/>
          <w:lang w:eastAsia="zh-HK"/>
        </w:rPr>
        <w:t xml:space="preserve">an </w:t>
      </w:r>
      <w:r w:rsidR="00933CFA" w:rsidRPr="00860279">
        <w:rPr>
          <w:rFonts w:ascii="Calibri" w:hAnsi="Calibri"/>
          <w:szCs w:val="24"/>
        </w:rPr>
        <w:t xml:space="preserve">Occupation Permit and Certificate of Practical Completion. </w:t>
      </w:r>
      <w:r w:rsidR="00860279" w:rsidRPr="00860279">
        <w:rPr>
          <w:rFonts w:ascii="Calibri" w:hAnsi="Calibri" w:hint="eastAsia"/>
          <w:szCs w:val="24"/>
          <w:lang w:eastAsia="zh-HK"/>
        </w:rPr>
        <w:t xml:space="preserve">In Jockey Club Postgraduate Hall (JCPGH) 2 &amp; 3, all </w:t>
      </w:r>
      <w:r w:rsidR="00933CFA" w:rsidRPr="00860279">
        <w:rPr>
          <w:rFonts w:ascii="Calibri" w:hAnsi="Calibri"/>
          <w:szCs w:val="24"/>
        </w:rPr>
        <w:t>statutory requirements for regulatory compliance,</w:t>
      </w:r>
      <w:r w:rsidR="00860279" w:rsidRPr="00860279">
        <w:rPr>
          <w:rFonts w:ascii="Calibri" w:hAnsi="Calibri" w:hint="eastAsia"/>
          <w:szCs w:val="24"/>
          <w:lang w:eastAsia="zh-HK"/>
        </w:rPr>
        <w:t xml:space="preserve"> which included</w:t>
      </w:r>
      <w:r w:rsidR="00933CFA" w:rsidRPr="00860279">
        <w:rPr>
          <w:rFonts w:ascii="Calibri" w:hAnsi="Calibri"/>
          <w:szCs w:val="24"/>
        </w:rPr>
        <w:t xml:space="preserve"> building completion and occupation</w:t>
      </w:r>
      <w:r w:rsidR="00860279" w:rsidRPr="00860279">
        <w:rPr>
          <w:rFonts w:ascii="Calibri" w:hAnsi="Calibri" w:hint="eastAsia"/>
          <w:szCs w:val="24"/>
          <w:lang w:eastAsia="zh-HK"/>
        </w:rPr>
        <w:t>,</w:t>
      </w:r>
      <w:r w:rsidR="00933CFA" w:rsidRPr="00860279">
        <w:rPr>
          <w:rFonts w:ascii="Calibri" w:hAnsi="Calibri"/>
          <w:szCs w:val="24"/>
        </w:rPr>
        <w:t xml:space="preserve"> are satisfied and with relevant permits in place.</w:t>
      </w:r>
      <w:r w:rsidR="00933CFA" w:rsidRPr="00860279">
        <w:rPr>
          <w:rFonts w:hint="eastAsia"/>
          <w:szCs w:val="24"/>
          <w:lang w:eastAsia="zh-HK"/>
        </w:rPr>
        <w:t xml:space="preserve"> </w:t>
      </w:r>
      <w:r w:rsidR="00860279" w:rsidRPr="00860279">
        <w:rPr>
          <w:szCs w:val="24"/>
          <w:lang w:eastAsia="zh-HK"/>
        </w:rPr>
        <w:t>B</w:t>
      </w:r>
      <w:r w:rsidR="00860279" w:rsidRPr="00860279">
        <w:rPr>
          <w:rFonts w:hint="eastAsia"/>
          <w:szCs w:val="24"/>
          <w:lang w:eastAsia="zh-HK"/>
        </w:rPr>
        <w:t xml:space="preserve">oth </w:t>
      </w:r>
      <w:r w:rsidR="00860279" w:rsidRPr="00860279">
        <w:rPr>
          <w:rFonts w:hint="eastAsia"/>
          <w:szCs w:val="24"/>
        </w:rPr>
        <w:t>hostels have been inspected by the Fire Services Department and Buildings Authority to their s</w:t>
      </w:r>
      <w:r>
        <w:rPr>
          <w:rFonts w:hint="eastAsia"/>
          <w:szCs w:val="24"/>
        </w:rPr>
        <w:t xml:space="preserve">atisfaction with the issue of </w:t>
      </w:r>
      <w:r>
        <w:rPr>
          <w:rFonts w:hint="eastAsia"/>
          <w:szCs w:val="24"/>
          <w:lang w:eastAsia="zh-HK"/>
        </w:rPr>
        <w:t>the</w:t>
      </w:r>
      <w:r w:rsidR="00860279" w:rsidRPr="00860279">
        <w:rPr>
          <w:rFonts w:hint="eastAsia"/>
          <w:szCs w:val="24"/>
        </w:rPr>
        <w:t xml:space="preserve"> Occupation Permit in Novembe</w:t>
      </w:r>
      <w:r w:rsidR="008B3AE3">
        <w:rPr>
          <w:rFonts w:hint="eastAsia"/>
          <w:szCs w:val="24"/>
        </w:rPr>
        <w:t xml:space="preserve">r, the </w:t>
      </w:r>
      <w:r>
        <w:rPr>
          <w:rFonts w:hint="eastAsia"/>
          <w:szCs w:val="24"/>
          <w:lang w:eastAsia="zh-HK"/>
        </w:rPr>
        <w:t>a</w:t>
      </w:r>
      <w:r w:rsidR="008B3AE3">
        <w:rPr>
          <w:rFonts w:hint="eastAsia"/>
          <w:szCs w:val="24"/>
        </w:rPr>
        <w:t>rchitect and consultant</w:t>
      </w:r>
      <w:r w:rsidR="00860279" w:rsidRPr="00860279">
        <w:rPr>
          <w:rFonts w:hint="eastAsia"/>
          <w:szCs w:val="24"/>
        </w:rPr>
        <w:t xml:space="preserve"> team have also inspected the buildings and test</w:t>
      </w:r>
      <w:r w:rsidR="00860279" w:rsidRPr="00860279">
        <w:rPr>
          <w:rFonts w:hint="eastAsia"/>
          <w:szCs w:val="24"/>
          <w:lang w:eastAsia="zh-HK"/>
        </w:rPr>
        <w:t>ed</w:t>
      </w:r>
      <w:r w:rsidR="00860279" w:rsidRPr="00860279">
        <w:rPr>
          <w:rFonts w:hint="eastAsia"/>
          <w:szCs w:val="24"/>
        </w:rPr>
        <w:t xml:space="preserve"> the systems before certifying Practical Completion and arranged</w:t>
      </w:r>
      <w:r w:rsidR="00860279" w:rsidRPr="00860279">
        <w:rPr>
          <w:rFonts w:hint="eastAsia"/>
          <w:szCs w:val="24"/>
          <w:lang w:eastAsia="zh-HK"/>
        </w:rPr>
        <w:t xml:space="preserve"> </w:t>
      </w:r>
      <w:r w:rsidR="00860279" w:rsidRPr="00860279">
        <w:rPr>
          <w:rFonts w:hint="eastAsia"/>
          <w:szCs w:val="24"/>
        </w:rPr>
        <w:t>the handover of particular floors / areas.</w:t>
      </w:r>
    </w:p>
    <w:p w:rsidR="007F1C5F" w:rsidRDefault="007F1C5F" w:rsidP="00CA1FD2">
      <w:pPr>
        <w:jc w:val="both"/>
        <w:rPr>
          <w:rFonts w:hint="eastAsia"/>
          <w:szCs w:val="24"/>
          <w:lang w:eastAsia="zh-HK"/>
        </w:rPr>
      </w:pPr>
    </w:p>
    <w:p w:rsidR="007F1C5F" w:rsidRDefault="007F1C5F" w:rsidP="00CA1FD2">
      <w:pPr>
        <w:jc w:val="both"/>
        <w:rPr>
          <w:rFonts w:hint="eastAsia"/>
          <w:szCs w:val="24"/>
          <w:lang w:eastAsia="zh-HK"/>
        </w:rPr>
      </w:pPr>
      <w:r>
        <w:rPr>
          <w:rFonts w:hint="eastAsia"/>
          <w:szCs w:val="24"/>
          <w:lang w:eastAsia="zh-HK"/>
        </w:rPr>
        <w:t xml:space="preserve">Apart from checking on the certificates provided by </w:t>
      </w:r>
      <w:r w:rsidR="00300ED2">
        <w:rPr>
          <w:rFonts w:hint="eastAsia"/>
          <w:szCs w:val="24"/>
          <w:lang w:eastAsia="zh-HK"/>
        </w:rPr>
        <w:t>CDO</w:t>
      </w:r>
      <w:r>
        <w:rPr>
          <w:rFonts w:hint="eastAsia"/>
          <w:szCs w:val="24"/>
          <w:lang w:eastAsia="zh-HK"/>
        </w:rPr>
        <w:t>, U</w:t>
      </w:r>
      <w:r w:rsidR="008B3AE3">
        <w:rPr>
          <w:rFonts w:hint="eastAsia"/>
          <w:szCs w:val="24"/>
          <w:lang w:eastAsia="zh-HK"/>
        </w:rPr>
        <w:t>niversity Safety Office (USO) wou</w:t>
      </w:r>
      <w:r>
        <w:rPr>
          <w:rFonts w:hint="eastAsia"/>
          <w:szCs w:val="24"/>
          <w:lang w:eastAsia="zh-HK"/>
        </w:rPr>
        <w:t xml:space="preserve">ld </w:t>
      </w:r>
      <w:r w:rsidR="00300ED2">
        <w:rPr>
          <w:rFonts w:hint="eastAsia"/>
          <w:szCs w:val="24"/>
          <w:lang w:eastAsia="zh-HK"/>
        </w:rPr>
        <w:t xml:space="preserve">also </w:t>
      </w:r>
      <w:r>
        <w:rPr>
          <w:rFonts w:hint="eastAsia"/>
          <w:szCs w:val="24"/>
          <w:lang w:eastAsia="zh-HK"/>
        </w:rPr>
        <w:t>arrange spot check</w:t>
      </w:r>
      <w:r w:rsidR="008B3AE3">
        <w:rPr>
          <w:rFonts w:hint="eastAsia"/>
          <w:szCs w:val="24"/>
          <w:lang w:eastAsia="zh-HK"/>
        </w:rPr>
        <w:t>s</w:t>
      </w:r>
      <w:r>
        <w:rPr>
          <w:rFonts w:hint="eastAsia"/>
          <w:szCs w:val="24"/>
          <w:lang w:eastAsia="zh-HK"/>
        </w:rPr>
        <w:t xml:space="preserve"> to obtain the general picture of air quality in the new </w:t>
      </w:r>
      <w:r w:rsidR="008B3AE3">
        <w:rPr>
          <w:rFonts w:hint="eastAsia"/>
          <w:szCs w:val="24"/>
          <w:lang w:eastAsia="zh-HK"/>
        </w:rPr>
        <w:t>buildings</w:t>
      </w:r>
      <w:r w:rsidR="00300ED2">
        <w:rPr>
          <w:rFonts w:hint="eastAsia"/>
          <w:szCs w:val="24"/>
          <w:lang w:eastAsia="zh-HK"/>
        </w:rPr>
        <w:t>. Having c</w:t>
      </w:r>
      <w:r>
        <w:rPr>
          <w:rFonts w:hint="eastAsia"/>
          <w:szCs w:val="24"/>
          <w:lang w:eastAsia="zh-HK"/>
        </w:rPr>
        <w:t>onside</w:t>
      </w:r>
      <w:r w:rsidR="00300ED2">
        <w:rPr>
          <w:rFonts w:hint="eastAsia"/>
          <w:szCs w:val="24"/>
          <w:lang w:eastAsia="zh-HK"/>
        </w:rPr>
        <w:t xml:space="preserve">red </w:t>
      </w:r>
      <w:r>
        <w:rPr>
          <w:rFonts w:hint="eastAsia"/>
          <w:szCs w:val="24"/>
          <w:lang w:eastAsia="zh-HK"/>
        </w:rPr>
        <w:t xml:space="preserve">the construction method, materials used and main concerns from </w:t>
      </w:r>
      <w:r w:rsidR="008B3AE3">
        <w:rPr>
          <w:rFonts w:hint="eastAsia"/>
          <w:szCs w:val="24"/>
          <w:lang w:eastAsia="zh-HK"/>
        </w:rPr>
        <w:t xml:space="preserve">the </w:t>
      </w:r>
      <w:r>
        <w:rPr>
          <w:rFonts w:hint="eastAsia"/>
          <w:szCs w:val="24"/>
          <w:lang w:eastAsia="zh-HK"/>
        </w:rPr>
        <w:t>potential occupants, two parameters namely Total Volatile Organic Compounds (TVOC) and formaldehyde were</w:t>
      </w:r>
      <w:r w:rsidR="008B3AE3">
        <w:rPr>
          <w:rFonts w:hint="eastAsia"/>
          <w:szCs w:val="24"/>
          <w:lang w:eastAsia="zh-HK"/>
        </w:rPr>
        <w:t xml:space="preserve"> usually</w:t>
      </w:r>
      <w:r>
        <w:rPr>
          <w:rFonts w:hint="eastAsia"/>
          <w:szCs w:val="24"/>
          <w:lang w:eastAsia="zh-HK"/>
        </w:rPr>
        <w:t xml:space="preserve"> selected for carrying out the spot check</w:t>
      </w:r>
      <w:r w:rsidR="008B3AE3">
        <w:rPr>
          <w:rFonts w:hint="eastAsia"/>
          <w:szCs w:val="24"/>
          <w:lang w:eastAsia="zh-HK"/>
        </w:rPr>
        <w:t>s</w:t>
      </w:r>
      <w:r>
        <w:rPr>
          <w:rFonts w:hint="eastAsia"/>
          <w:szCs w:val="24"/>
          <w:lang w:eastAsia="zh-HK"/>
        </w:rPr>
        <w:t>. Owing to the homogenous nature of</w:t>
      </w:r>
      <w:r w:rsidR="008B3AE3">
        <w:rPr>
          <w:rFonts w:hint="eastAsia"/>
          <w:szCs w:val="24"/>
          <w:lang w:eastAsia="zh-HK"/>
        </w:rPr>
        <w:t xml:space="preserve"> the</w:t>
      </w:r>
      <w:r>
        <w:rPr>
          <w:rFonts w:hint="eastAsia"/>
          <w:szCs w:val="24"/>
          <w:lang w:eastAsia="zh-HK"/>
        </w:rPr>
        <w:t xml:space="preserve"> indoor environment with no</w:t>
      </w:r>
      <w:r w:rsidR="00300ED2">
        <w:rPr>
          <w:rFonts w:hint="eastAsia"/>
          <w:szCs w:val="24"/>
          <w:lang w:eastAsia="zh-HK"/>
        </w:rPr>
        <w:t xml:space="preserve"> other</w:t>
      </w:r>
      <w:r>
        <w:rPr>
          <w:rFonts w:hint="eastAsia"/>
          <w:szCs w:val="24"/>
          <w:lang w:eastAsia="zh-HK"/>
        </w:rPr>
        <w:t xml:space="preserve"> </w:t>
      </w:r>
      <w:r>
        <w:rPr>
          <w:szCs w:val="24"/>
          <w:lang w:eastAsia="zh-HK"/>
        </w:rPr>
        <w:t>anthropogenic</w:t>
      </w:r>
      <w:r w:rsidR="00300ED2">
        <w:rPr>
          <w:rFonts w:hint="eastAsia"/>
          <w:szCs w:val="24"/>
          <w:lang w:eastAsia="zh-HK"/>
        </w:rPr>
        <w:t xml:space="preserve"> source and</w:t>
      </w:r>
      <w:r>
        <w:rPr>
          <w:rFonts w:hint="eastAsia"/>
          <w:szCs w:val="24"/>
          <w:lang w:eastAsia="zh-HK"/>
        </w:rPr>
        <w:t xml:space="preserve"> activit</w:t>
      </w:r>
      <w:r w:rsidR="00300ED2">
        <w:rPr>
          <w:rFonts w:hint="eastAsia"/>
          <w:szCs w:val="24"/>
          <w:lang w:eastAsia="zh-HK"/>
        </w:rPr>
        <w:t>y</w:t>
      </w:r>
      <w:r>
        <w:rPr>
          <w:rFonts w:hint="eastAsia"/>
          <w:szCs w:val="24"/>
          <w:lang w:eastAsia="zh-HK"/>
        </w:rPr>
        <w:t>, spot grab sampling</w:t>
      </w:r>
      <w:r w:rsidR="008B3AE3">
        <w:rPr>
          <w:rFonts w:hint="eastAsia"/>
          <w:szCs w:val="24"/>
          <w:lang w:eastAsia="zh-HK"/>
        </w:rPr>
        <w:t xml:space="preserve"> method</w:t>
      </w:r>
      <w:r>
        <w:rPr>
          <w:rFonts w:hint="eastAsia"/>
          <w:szCs w:val="24"/>
          <w:lang w:eastAsia="zh-HK"/>
        </w:rPr>
        <w:t xml:space="preserve"> was used</w:t>
      </w:r>
      <w:r w:rsidR="008B3AE3">
        <w:rPr>
          <w:rFonts w:hint="eastAsia"/>
          <w:szCs w:val="24"/>
          <w:lang w:eastAsia="zh-HK"/>
        </w:rPr>
        <w:t xml:space="preserve"> in JCPGH</w:t>
      </w:r>
      <w:r>
        <w:rPr>
          <w:rFonts w:hint="eastAsia"/>
          <w:szCs w:val="24"/>
          <w:lang w:eastAsia="zh-HK"/>
        </w:rPr>
        <w:t xml:space="preserve"> to quickly identify if there is any </w:t>
      </w:r>
      <w:r>
        <w:rPr>
          <w:szCs w:val="24"/>
          <w:lang w:eastAsia="zh-HK"/>
        </w:rPr>
        <w:t>abnormality</w:t>
      </w:r>
      <w:r w:rsidR="008B3AE3">
        <w:rPr>
          <w:rFonts w:hint="eastAsia"/>
          <w:szCs w:val="24"/>
          <w:lang w:eastAsia="zh-HK"/>
        </w:rPr>
        <w:t xml:space="preserve"> in these</w:t>
      </w:r>
      <w:r>
        <w:rPr>
          <w:rFonts w:hint="eastAsia"/>
          <w:szCs w:val="24"/>
          <w:lang w:eastAsia="zh-HK"/>
        </w:rPr>
        <w:t xml:space="preserve"> new premises. </w:t>
      </w:r>
    </w:p>
    <w:p w:rsidR="007F1C5F" w:rsidRPr="008B3AE3" w:rsidRDefault="007F1C5F" w:rsidP="00CA1FD2">
      <w:pPr>
        <w:jc w:val="both"/>
        <w:rPr>
          <w:rFonts w:hint="eastAsia"/>
          <w:szCs w:val="24"/>
          <w:lang w:eastAsia="zh-HK"/>
        </w:rPr>
      </w:pPr>
    </w:p>
    <w:p w:rsidR="007F1C5F" w:rsidRPr="00C0012D" w:rsidRDefault="007F1C5F" w:rsidP="00CA1FD2">
      <w:pPr>
        <w:pStyle w:val="ListParagraph"/>
        <w:numPr>
          <w:ilvl w:val="0"/>
          <w:numId w:val="1"/>
        </w:numPr>
        <w:ind w:leftChars="0"/>
        <w:jc w:val="both"/>
        <w:rPr>
          <w:rFonts w:hint="eastAsia"/>
          <w:b/>
          <w:szCs w:val="24"/>
          <w:lang w:eastAsia="zh-HK"/>
        </w:rPr>
      </w:pPr>
      <w:r w:rsidRPr="00C0012D">
        <w:rPr>
          <w:rFonts w:hint="eastAsia"/>
          <w:b/>
          <w:szCs w:val="24"/>
          <w:lang w:eastAsia="zh-HK"/>
        </w:rPr>
        <w:t>Statutory Requirement of Indoor Air Quality in Residential Premises</w:t>
      </w:r>
    </w:p>
    <w:p w:rsidR="00CA1FD2" w:rsidRDefault="007F1C5F" w:rsidP="00CA1FD2">
      <w:pPr>
        <w:jc w:val="both"/>
        <w:rPr>
          <w:rFonts w:hint="eastAsia"/>
          <w:szCs w:val="24"/>
          <w:lang w:eastAsia="zh-HK"/>
        </w:rPr>
      </w:pPr>
      <w:r>
        <w:rPr>
          <w:rFonts w:hint="eastAsia"/>
          <w:szCs w:val="24"/>
          <w:lang w:eastAsia="zh-HK"/>
        </w:rPr>
        <w:t xml:space="preserve">In Hong Kong, there is no regulation and statutory requirement to govern air quality within residential </w:t>
      </w:r>
      <w:r w:rsidR="008B3AE3">
        <w:rPr>
          <w:rFonts w:hint="eastAsia"/>
          <w:szCs w:val="24"/>
          <w:lang w:eastAsia="zh-HK"/>
        </w:rPr>
        <w:t xml:space="preserve">or domestic </w:t>
      </w:r>
      <w:r>
        <w:rPr>
          <w:rFonts w:hint="eastAsia"/>
          <w:szCs w:val="24"/>
          <w:lang w:eastAsia="zh-HK"/>
        </w:rPr>
        <w:t xml:space="preserve">buildings. </w:t>
      </w:r>
      <w:r w:rsidR="00C0012D">
        <w:rPr>
          <w:rFonts w:hint="eastAsia"/>
          <w:szCs w:val="24"/>
          <w:lang w:eastAsia="zh-HK"/>
        </w:rPr>
        <w:t xml:space="preserve">Statues and </w:t>
      </w:r>
      <w:r w:rsidR="00C0012D">
        <w:rPr>
          <w:szCs w:val="24"/>
          <w:lang w:eastAsia="zh-HK"/>
        </w:rPr>
        <w:t>government</w:t>
      </w:r>
      <w:r w:rsidR="00C0012D">
        <w:rPr>
          <w:rFonts w:hint="eastAsia"/>
          <w:szCs w:val="24"/>
          <w:lang w:eastAsia="zh-HK"/>
        </w:rPr>
        <w:t xml:space="preserve"> regulations including the Building (Planning) Regulations, Building (Ventilation Systems) Regulations, Air Pollution Control Ordinance</w:t>
      </w:r>
      <w:r w:rsidR="00300ED2">
        <w:rPr>
          <w:rFonts w:hint="eastAsia"/>
          <w:szCs w:val="24"/>
          <w:lang w:eastAsia="zh-HK"/>
        </w:rPr>
        <w:t>, Occupational Safety and Health Ordinance</w:t>
      </w:r>
      <w:r w:rsidR="00C0012D">
        <w:rPr>
          <w:rFonts w:hint="eastAsia"/>
          <w:szCs w:val="24"/>
          <w:lang w:eastAsia="zh-HK"/>
        </w:rPr>
        <w:t xml:space="preserve"> and etc. stipulate the requirement of provision of ventilating system and/or the amount of fresh air supplied to certain buildings under certain circumstances. </w:t>
      </w:r>
      <w:r>
        <w:rPr>
          <w:rFonts w:hint="eastAsia"/>
          <w:szCs w:val="24"/>
          <w:lang w:eastAsia="zh-HK"/>
        </w:rPr>
        <w:t>The Indoor Air Quality (IAQ) Certification Scheme administered by the IAQ Management Group under the Environmental Protection Department (EPD) of Hong Kong is on voluntary basis and it applies only to</w:t>
      </w:r>
      <w:r w:rsidR="00076FFB">
        <w:rPr>
          <w:rFonts w:hint="eastAsia"/>
          <w:szCs w:val="24"/>
          <w:lang w:eastAsia="zh-HK"/>
        </w:rPr>
        <w:t xml:space="preserve"> </w:t>
      </w:r>
      <w:r w:rsidR="00300ED2">
        <w:rPr>
          <w:rFonts w:hint="eastAsia"/>
          <w:szCs w:val="24"/>
          <w:lang w:eastAsia="zh-HK"/>
        </w:rPr>
        <w:t xml:space="preserve">the </w:t>
      </w:r>
      <w:r w:rsidR="00076FFB">
        <w:rPr>
          <w:rFonts w:hint="eastAsia"/>
          <w:szCs w:val="24"/>
          <w:lang w:eastAsia="zh-HK"/>
        </w:rPr>
        <w:t>areas served with mechanical ventilation and air conditioning (MVAC) system</w:t>
      </w:r>
      <w:r w:rsidR="00300ED2">
        <w:rPr>
          <w:rFonts w:hint="eastAsia"/>
          <w:szCs w:val="24"/>
          <w:lang w:eastAsia="zh-HK"/>
        </w:rPr>
        <w:t xml:space="preserve"> (</w:t>
      </w:r>
      <w:r w:rsidR="00C0012D">
        <w:rPr>
          <w:rFonts w:hint="eastAsia"/>
          <w:szCs w:val="24"/>
          <w:lang w:eastAsia="zh-HK"/>
        </w:rPr>
        <w:t xml:space="preserve">it does not cover </w:t>
      </w:r>
      <w:r w:rsidR="00C0012D">
        <w:rPr>
          <w:rFonts w:hint="eastAsia"/>
          <w:szCs w:val="24"/>
          <w:lang w:eastAsia="zh-HK"/>
        </w:rPr>
        <w:lastRenderedPageBreak/>
        <w:t>window-type air-conditioners or split-type air-conditioners)</w:t>
      </w:r>
      <w:r w:rsidR="00076FFB">
        <w:rPr>
          <w:rFonts w:hint="eastAsia"/>
          <w:szCs w:val="24"/>
          <w:lang w:eastAsia="zh-HK"/>
        </w:rPr>
        <w:t xml:space="preserve"> for human </w:t>
      </w:r>
      <w:r w:rsidR="00076FFB">
        <w:rPr>
          <w:szCs w:val="24"/>
          <w:lang w:eastAsia="zh-HK"/>
        </w:rPr>
        <w:t>comfort</w:t>
      </w:r>
      <w:r w:rsidR="00076FFB">
        <w:rPr>
          <w:rFonts w:hint="eastAsia"/>
          <w:szCs w:val="24"/>
          <w:lang w:eastAsia="zh-HK"/>
        </w:rPr>
        <w:t xml:space="preserve"> except any area or any part of the building which is constructed, used or intended to be used for domestic purposes.</w:t>
      </w:r>
      <w:r w:rsidR="00C0012D">
        <w:rPr>
          <w:rFonts w:hint="eastAsia"/>
          <w:szCs w:val="24"/>
          <w:lang w:eastAsia="zh-HK"/>
        </w:rPr>
        <w:t xml:space="preserve"> Legislative provisions stipulated in the regulations should be complied with as minimal standard while the IAQ objectives set out in the IAQ Certification Scheme should be considered as good practice.</w:t>
      </w:r>
      <w:r w:rsidR="00076FFB">
        <w:rPr>
          <w:rFonts w:hint="eastAsia"/>
          <w:szCs w:val="24"/>
          <w:lang w:eastAsia="zh-HK"/>
        </w:rPr>
        <w:t xml:space="preserve"> </w:t>
      </w:r>
      <w:r>
        <w:rPr>
          <w:rFonts w:hint="eastAsia"/>
          <w:szCs w:val="24"/>
          <w:lang w:eastAsia="zh-HK"/>
        </w:rPr>
        <w:t xml:space="preserve">  </w:t>
      </w:r>
    </w:p>
    <w:p w:rsidR="00CA1FD2" w:rsidRDefault="00CA1FD2" w:rsidP="00CA1FD2">
      <w:pPr>
        <w:jc w:val="both"/>
        <w:rPr>
          <w:rFonts w:hint="eastAsia"/>
          <w:szCs w:val="24"/>
          <w:lang w:eastAsia="zh-HK"/>
        </w:rPr>
      </w:pPr>
    </w:p>
    <w:p w:rsidR="00CA1FD2" w:rsidRPr="004129CE" w:rsidRDefault="00CA1FD2" w:rsidP="00CA1FD2">
      <w:pPr>
        <w:pStyle w:val="ListParagraph"/>
        <w:numPr>
          <w:ilvl w:val="0"/>
          <w:numId w:val="1"/>
        </w:numPr>
        <w:ind w:leftChars="0"/>
        <w:jc w:val="both"/>
        <w:rPr>
          <w:rFonts w:hint="eastAsia"/>
          <w:b/>
          <w:szCs w:val="24"/>
          <w:lang w:eastAsia="zh-HK"/>
        </w:rPr>
      </w:pPr>
      <w:r w:rsidRPr="004129CE">
        <w:rPr>
          <w:rFonts w:hint="eastAsia"/>
          <w:b/>
          <w:szCs w:val="24"/>
          <w:lang w:eastAsia="zh-HK"/>
        </w:rPr>
        <w:t>References and Standards</w:t>
      </w:r>
    </w:p>
    <w:p w:rsidR="00CA1FD2" w:rsidRDefault="00CA1FD2" w:rsidP="00CA1FD2">
      <w:pPr>
        <w:jc w:val="both"/>
        <w:rPr>
          <w:rFonts w:hint="eastAsia"/>
          <w:szCs w:val="24"/>
          <w:lang w:eastAsia="zh-HK"/>
        </w:rPr>
      </w:pPr>
      <w:r>
        <w:rPr>
          <w:rFonts w:hint="eastAsia"/>
          <w:szCs w:val="24"/>
          <w:lang w:eastAsia="zh-HK"/>
        </w:rPr>
        <w:t xml:space="preserve">Due to the </w:t>
      </w:r>
      <w:r>
        <w:rPr>
          <w:szCs w:val="24"/>
          <w:lang w:eastAsia="zh-HK"/>
        </w:rPr>
        <w:t>carcinogen</w:t>
      </w:r>
      <w:r>
        <w:rPr>
          <w:rFonts w:hint="eastAsia"/>
          <w:szCs w:val="24"/>
          <w:lang w:eastAsia="zh-HK"/>
        </w:rPr>
        <w:t xml:space="preserve">icity of formaldehyde, strict environmental standard has been adopted for monitoring </w:t>
      </w:r>
      <w:r w:rsidR="008B3AE3">
        <w:rPr>
          <w:rFonts w:hint="eastAsia"/>
          <w:szCs w:val="24"/>
          <w:lang w:eastAsia="zh-HK"/>
        </w:rPr>
        <w:t>formaldehyde levels</w:t>
      </w:r>
      <w:r>
        <w:rPr>
          <w:rFonts w:hint="eastAsia"/>
          <w:szCs w:val="24"/>
          <w:lang w:eastAsia="zh-HK"/>
        </w:rPr>
        <w:t xml:space="preserve"> </w:t>
      </w:r>
      <w:r w:rsidR="008B3AE3">
        <w:rPr>
          <w:rFonts w:hint="eastAsia"/>
          <w:szCs w:val="24"/>
          <w:lang w:eastAsia="zh-HK"/>
        </w:rPr>
        <w:t>in</w:t>
      </w:r>
      <w:r>
        <w:rPr>
          <w:rFonts w:hint="eastAsia"/>
          <w:szCs w:val="24"/>
          <w:lang w:eastAsia="zh-HK"/>
        </w:rPr>
        <w:t xml:space="preserve"> hostels. In accordance with IAQ Management Group, </w:t>
      </w:r>
      <w:r w:rsidR="00300ED2">
        <w:rPr>
          <w:rFonts w:hint="eastAsia"/>
          <w:szCs w:val="24"/>
          <w:lang w:eastAsia="zh-HK"/>
        </w:rPr>
        <w:t>the Good Class IAQ Objective</w:t>
      </w:r>
      <w:r>
        <w:rPr>
          <w:rFonts w:hint="eastAsia"/>
          <w:szCs w:val="24"/>
          <w:lang w:eastAsia="zh-HK"/>
        </w:rPr>
        <w:t xml:space="preserve"> </w:t>
      </w:r>
      <w:r w:rsidR="00300ED2">
        <w:rPr>
          <w:rFonts w:hint="eastAsia"/>
          <w:szCs w:val="24"/>
          <w:lang w:eastAsia="zh-HK"/>
        </w:rPr>
        <w:t>of</w:t>
      </w:r>
      <w:r>
        <w:rPr>
          <w:rFonts w:hint="eastAsia"/>
          <w:szCs w:val="24"/>
          <w:lang w:eastAsia="zh-HK"/>
        </w:rPr>
        <w:t xml:space="preserve"> formaldehyde is 81 ppb (parts per billion). In this case, 81 ppb</w:t>
      </w:r>
      <w:r w:rsidR="000F6874">
        <w:rPr>
          <w:rFonts w:hint="eastAsia"/>
          <w:szCs w:val="24"/>
          <w:lang w:eastAsia="zh-HK"/>
        </w:rPr>
        <w:t xml:space="preserve"> (IAQ Management Group, 2003)</w:t>
      </w:r>
      <w:r>
        <w:rPr>
          <w:rFonts w:hint="eastAsia"/>
          <w:szCs w:val="24"/>
          <w:lang w:eastAsia="zh-HK"/>
        </w:rPr>
        <w:t xml:space="preserve"> has been adopted as the reference stan</w:t>
      </w:r>
      <w:r w:rsidR="008B3AE3">
        <w:rPr>
          <w:rFonts w:hint="eastAsia"/>
          <w:szCs w:val="24"/>
          <w:lang w:eastAsia="zh-HK"/>
        </w:rPr>
        <w:t>dard for formaldehyde exposures</w:t>
      </w:r>
      <w:r w:rsidR="00300ED2">
        <w:rPr>
          <w:rFonts w:hint="eastAsia"/>
          <w:szCs w:val="24"/>
          <w:lang w:eastAsia="zh-HK"/>
        </w:rPr>
        <w:t xml:space="preserve"> in indoor environment</w:t>
      </w:r>
      <w:r>
        <w:rPr>
          <w:rFonts w:hint="eastAsia"/>
          <w:szCs w:val="24"/>
          <w:lang w:eastAsia="zh-HK"/>
        </w:rPr>
        <w:t>.</w:t>
      </w:r>
    </w:p>
    <w:p w:rsidR="00CA1FD2" w:rsidRPr="008B3AE3" w:rsidRDefault="00CA1FD2" w:rsidP="00CA1FD2">
      <w:pPr>
        <w:jc w:val="both"/>
        <w:rPr>
          <w:rFonts w:hint="eastAsia"/>
          <w:szCs w:val="24"/>
          <w:lang w:eastAsia="zh-HK"/>
        </w:rPr>
      </w:pPr>
    </w:p>
    <w:p w:rsidR="00AA682F" w:rsidRDefault="00CA1FD2" w:rsidP="00CA1FD2">
      <w:pPr>
        <w:jc w:val="both"/>
        <w:rPr>
          <w:rFonts w:hint="eastAsia"/>
          <w:szCs w:val="24"/>
          <w:lang w:eastAsia="zh-HK"/>
        </w:rPr>
      </w:pPr>
      <w:r>
        <w:rPr>
          <w:rFonts w:hint="eastAsia"/>
          <w:szCs w:val="24"/>
          <w:lang w:eastAsia="zh-HK"/>
        </w:rPr>
        <w:t xml:space="preserve">Volatile Organic Compounds (VOCs) are </w:t>
      </w:r>
      <w:r>
        <w:rPr>
          <w:szCs w:val="24"/>
          <w:lang w:eastAsia="zh-HK"/>
        </w:rPr>
        <w:t>chemical</w:t>
      </w:r>
      <w:r>
        <w:rPr>
          <w:rFonts w:hint="eastAsia"/>
          <w:szCs w:val="24"/>
          <w:lang w:eastAsia="zh-HK"/>
        </w:rPr>
        <w:t xml:space="preserve"> compounds </w:t>
      </w:r>
      <w:r w:rsidR="000F6874">
        <w:rPr>
          <w:rFonts w:hint="eastAsia"/>
          <w:szCs w:val="24"/>
          <w:lang w:eastAsia="zh-HK"/>
        </w:rPr>
        <w:t xml:space="preserve">that may enter from the outdoor environment, or be emitted from building materials. </w:t>
      </w:r>
      <w:r w:rsidR="000F6874">
        <w:rPr>
          <w:szCs w:val="24"/>
          <w:lang w:eastAsia="zh-HK"/>
        </w:rPr>
        <w:t>S</w:t>
      </w:r>
      <w:r w:rsidR="000F6874">
        <w:rPr>
          <w:rFonts w:hint="eastAsia"/>
          <w:szCs w:val="24"/>
          <w:lang w:eastAsia="zh-HK"/>
        </w:rPr>
        <w:t xml:space="preserve">ince the TVOC level could be originated from </w:t>
      </w:r>
      <w:r w:rsidR="000F6874">
        <w:rPr>
          <w:szCs w:val="24"/>
          <w:lang w:eastAsia="zh-HK"/>
        </w:rPr>
        <w:t>multiple</w:t>
      </w:r>
      <w:r w:rsidR="000F6874">
        <w:rPr>
          <w:rFonts w:hint="eastAsia"/>
          <w:szCs w:val="24"/>
          <w:lang w:eastAsia="zh-HK"/>
        </w:rPr>
        <w:t xml:space="preserve"> source</w:t>
      </w:r>
      <w:r w:rsidR="008B3AE3">
        <w:rPr>
          <w:rFonts w:hint="eastAsia"/>
          <w:szCs w:val="24"/>
          <w:lang w:eastAsia="zh-HK"/>
        </w:rPr>
        <w:t>s and there is no</w:t>
      </w:r>
      <w:r w:rsidR="000F6874">
        <w:rPr>
          <w:rFonts w:hint="eastAsia"/>
          <w:szCs w:val="24"/>
          <w:lang w:eastAsia="zh-HK"/>
        </w:rPr>
        <w:t xml:space="preserve"> proof that it is carcinogenic at lower level. The Good IAQ Objective </w:t>
      </w:r>
      <w:r w:rsidR="00300ED2">
        <w:rPr>
          <w:rFonts w:hint="eastAsia"/>
          <w:szCs w:val="24"/>
          <w:lang w:eastAsia="zh-HK"/>
        </w:rPr>
        <w:t>of</w:t>
      </w:r>
      <w:r w:rsidR="000F6874">
        <w:rPr>
          <w:rFonts w:hint="eastAsia"/>
          <w:szCs w:val="24"/>
          <w:lang w:eastAsia="zh-HK"/>
        </w:rPr>
        <w:t xml:space="preserve"> TVOC </w:t>
      </w:r>
      <w:r w:rsidR="00300ED2">
        <w:rPr>
          <w:rFonts w:hint="eastAsia"/>
          <w:szCs w:val="24"/>
          <w:lang w:eastAsia="zh-HK"/>
        </w:rPr>
        <w:t xml:space="preserve">was set </w:t>
      </w:r>
      <w:r w:rsidR="000F6874">
        <w:rPr>
          <w:rFonts w:hint="eastAsia"/>
          <w:szCs w:val="24"/>
          <w:lang w:eastAsia="zh-HK"/>
        </w:rPr>
        <w:t>at 216 ppb</w:t>
      </w:r>
      <w:r w:rsidR="00300ED2">
        <w:rPr>
          <w:rFonts w:hint="eastAsia"/>
          <w:szCs w:val="24"/>
          <w:lang w:eastAsia="zh-HK"/>
        </w:rPr>
        <w:t>, which</w:t>
      </w:r>
      <w:r w:rsidR="000F6874">
        <w:rPr>
          <w:rFonts w:hint="eastAsia"/>
          <w:szCs w:val="24"/>
          <w:lang w:eastAsia="zh-HK"/>
        </w:rPr>
        <w:t xml:space="preserve"> is for good reference only. In accordance with </w:t>
      </w:r>
      <w:proofErr w:type="spellStart"/>
      <w:r w:rsidR="000F6874">
        <w:rPr>
          <w:rFonts w:hint="eastAsia"/>
          <w:szCs w:val="24"/>
          <w:lang w:eastAsia="zh-HK"/>
        </w:rPr>
        <w:t>Molhave</w:t>
      </w:r>
      <w:proofErr w:type="spellEnd"/>
      <w:r w:rsidR="000F6874">
        <w:rPr>
          <w:rFonts w:hint="eastAsia"/>
          <w:szCs w:val="24"/>
          <w:lang w:eastAsia="zh-HK"/>
        </w:rPr>
        <w:t xml:space="preserve"> (1991),</w:t>
      </w:r>
      <w:r w:rsidR="000F6874" w:rsidRPr="000F6874">
        <w:rPr>
          <w:rFonts w:ascii="Calibri" w:hAnsi="Calibri"/>
          <w:color w:val="1F497D"/>
          <w:lang w:eastAsia="zh-HK"/>
        </w:rPr>
        <w:t xml:space="preserve"> </w:t>
      </w:r>
      <w:r w:rsidR="000F6874" w:rsidRPr="000F6874">
        <w:rPr>
          <w:rFonts w:ascii="Calibri" w:hAnsi="Calibri"/>
          <w:lang w:eastAsia="zh-HK"/>
        </w:rPr>
        <w:t>no effects are expected as a result of TV</w:t>
      </w:r>
      <w:r w:rsidR="008B3AE3">
        <w:rPr>
          <w:rFonts w:ascii="Calibri" w:hAnsi="Calibri"/>
          <w:lang w:eastAsia="zh-HK"/>
        </w:rPr>
        <w:t>OC exposure lower than 0.2 mg/m</w:t>
      </w:r>
      <w:r w:rsidR="008B3AE3" w:rsidRPr="008B3AE3">
        <w:rPr>
          <w:rFonts w:ascii="Calibri" w:hAnsi="Calibri"/>
          <w:vertAlign w:val="superscript"/>
          <w:lang w:eastAsia="zh-HK"/>
        </w:rPr>
        <w:t>3</w:t>
      </w:r>
      <w:r w:rsidR="000F6874" w:rsidRPr="000F6874">
        <w:rPr>
          <w:rFonts w:ascii="Calibri" w:hAnsi="Calibri"/>
          <w:lang w:eastAsia="zh-HK"/>
        </w:rPr>
        <w:t xml:space="preserve"> (87 ppb), </w:t>
      </w:r>
      <w:proofErr w:type="gramStart"/>
      <w:r w:rsidR="000F6874" w:rsidRPr="000F6874">
        <w:rPr>
          <w:rFonts w:ascii="Calibri" w:hAnsi="Calibri"/>
          <w:lang w:eastAsia="zh-HK"/>
        </w:rPr>
        <w:t>at 3mg/m</w:t>
      </w:r>
      <w:r w:rsidR="000F6874" w:rsidRPr="008B3AE3">
        <w:rPr>
          <w:rFonts w:ascii="Calibri" w:hAnsi="Calibri"/>
          <w:vertAlign w:val="superscript"/>
          <w:lang w:eastAsia="zh-HK"/>
        </w:rPr>
        <w:t>3</w:t>
      </w:r>
      <w:r w:rsidR="000F6874" w:rsidRPr="000F6874">
        <w:rPr>
          <w:rFonts w:ascii="Calibri" w:hAnsi="Calibri"/>
          <w:lang w:eastAsia="zh-HK"/>
        </w:rPr>
        <w:t xml:space="preserve"> (1,305 ppb)</w:t>
      </w:r>
      <w:proofErr w:type="gramEnd"/>
      <w:r w:rsidR="000F6874" w:rsidRPr="000F6874">
        <w:rPr>
          <w:rFonts w:ascii="Calibri" w:hAnsi="Calibri"/>
          <w:lang w:eastAsia="zh-HK"/>
        </w:rPr>
        <w:t xml:space="preserve"> or higher, complaints from occupants occurred in all investigated buildings with occupants having symptoms. TVOC concentration in between 0.2 mg/m</w:t>
      </w:r>
      <w:r w:rsidR="008B3AE3" w:rsidRPr="008B3AE3">
        <w:rPr>
          <w:rFonts w:ascii="Calibri" w:hAnsi="Calibri"/>
          <w:vertAlign w:val="superscript"/>
          <w:lang w:eastAsia="zh-HK"/>
        </w:rPr>
        <w:t>3</w:t>
      </w:r>
      <w:r w:rsidR="008B3AE3">
        <w:rPr>
          <w:rFonts w:ascii="Calibri" w:hAnsi="Calibri"/>
          <w:lang w:eastAsia="zh-HK"/>
        </w:rPr>
        <w:t xml:space="preserve"> and 3 mg/m</w:t>
      </w:r>
      <w:r w:rsidR="008B3AE3" w:rsidRPr="008B3AE3">
        <w:rPr>
          <w:rFonts w:ascii="Calibri" w:hAnsi="Calibri"/>
          <w:vertAlign w:val="superscript"/>
          <w:lang w:eastAsia="zh-HK"/>
        </w:rPr>
        <w:t>3</w:t>
      </w:r>
      <w:r w:rsidR="000F6874" w:rsidRPr="000F6874">
        <w:rPr>
          <w:rFonts w:ascii="Calibri" w:hAnsi="Calibri"/>
          <w:lang w:eastAsia="zh-HK"/>
        </w:rPr>
        <w:t>, it is regarded as a range of multifactorial exposures that any symptoms experienced by the testing occupan</w:t>
      </w:r>
      <w:r w:rsidR="008B3AE3">
        <w:rPr>
          <w:rFonts w:ascii="Calibri" w:hAnsi="Calibri"/>
          <w:lang w:eastAsia="zh-HK"/>
        </w:rPr>
        <w:t xml:space="preserve">ts could be caused by </w:t>
      </w:r>
      <w:r w:rsidR="008B3AE3">
        <w:rPr>
          <w:rFonts w:ascii="Calibri" w:hAnsi="Calibri" w:hint="eastAsia"/>
          <w:lang w:eastAsia="zh-HK"/>
        </w:rPr>
        <w:t>multiple</w:t>
      </w:r>
      <w:r w:rsidR="000F6874" w:rsidRPr="000F6874">
        <w:rPr>
          <w:rFonts w:ascii="Calibri" w:hAnsi="Calibri"/>
          <w:lang w:eastAsia="zh-HK"/>
        </w:rPr>
        <w:t xml:space="preserve"> factors </w:t>
      </w:r>
      <w:r w:rsidR="00300ED2">
        <w:rPr>
          <w:rFonts w:ascii="Calibri" w:hAnsi="Calibri"/>
          <w:lang w:eastAsia="zh-HK"/>
        </w:rPr>
        <w:t>other than</w:t>
      </w:r>
      <w:r w:rsidR="008B3AE3">
        <w:rPr>
          <w:rFonts w:ascii="Calibri" w:hAnsi="Calibri"/>
          <w:lang w:eastAsia="zh-HK"/>
        </w:rPr>
        <w:t xml:space="preserve"> TVOC </w:t>
      </w:r>
      <w:r w:rsidR="008B3AE3">
        <w:rPr>
          <w:rFonts w:ascii="Calibri" w:hAnsi="Calibri" w:hint="eastAsia"/>
          <w:lang w:eastAsia="zh-HK"/>
        </w:rPr>
        <w:t>within</w:t>
      </w:r>
      <w:r w:rsidR="000F6874" w:rsidRPr="000F6874">
        <w:rPr>
          <w:rFonts w:ascii="Calibri" w:hAnsi="Calibri"/>
          <w:lang w:eastAsia="zh-HK"/>
        </w:rPr>
        <w:t xml:space="preserve"> the premises. In this case, there are uncertainties in this range and it has no evidence to demonstrate the causative relationship between the exposure and ill health of occupants.</w:t>
      </w:r>
      <w:r w:rsidR="000F6874">
        <w:rPr>
          <w:rFonts w:hint="eastAsia"/>
          <w:szCs w:val="24"/>
          <w:lang w:eastAsia="zh-HK"/>
        </w:rPr>
        <w:t xml:space="preserve"> As such, we have adopted the level between no effect (i.e. 87 ppb) and </w:t>
      </w:r>
      <w:r w:rsidR="00300ED2">
        <w:rPr>
          <w:szCs w:val="24"/>
          <w:lang w:eastAsia="zh-HK"/>
        </w:rPr>
        <w:t>the</w:t>
      </w:r>
      <w:r w:rsidR="00300ED2">
        <w:rPr>
          <w:rFonts w:hint="eastAsia"/>
          <w:szCs w:val="24"/>
          <w:lang w:eastAsia="zh-HK"/>
        </w:rPr>
        <w:t xml:space="preserve"> </w:t>
      </w:r>
      <w:r w:rsidR="000F6874">
        <w:rPr>
          <w:szCs w:val="24"/>
          <w:lang w:eastAsia="zh-HK"/>
        </w:rPr>
        <w:t xml:space="preserve">significant level of showing adverse health effect at 1,305 ppb </w:t>
      </w:r>
      <w:r w:rsidR="00AA682F">
        <w:rPr>
          <w:rFonts w:hint="eastAsia"/>
          <w:szCs w:val="24"/>
          <w:lang w:eastAsia="zh-HK"/>
        </w:rPr>
        <w:t xml:space="preserve">(i.e. </w:t>
      </w:r>
      <w:proofErr w:type="spellStart"/>
      <w:r w:rsidR="00AA682F">
        <w:rPr>
          <w:rFonts w:hint="eastAsia"/>
          <w:szCs w:val="24"/>
          <w:lang w:eastAsia="zh-HK"/>
        </w:rPr>
        <w:t>apprx</w:t>
      </w:r>
      <w:proofErr w:type="spellEnd"/>
      <w:r w:rsidR="00AA682F">
        <w:rPr>
          <w:rFonts w:hint="eastAsia"/>
          <w:szCs w:val="24"/>
          <w:lang w:eastAsia="zh-HK"/>
        </w:rPr>
        <w:t>. 700 ppb) to benchmark the situation of TVOC within hostels not served by MVAC. Despite there is no definite standard, the instant TVOC reading taken serve</w:t>
      </w:r>
      <w:r w:rsidR="008B3AE3">
        <w:rPr>
          <w:rFonts w:hint="eastAsia"/>
          <w:szCs w:val="24"/>
          <w:lang w:eastAsia="zh-HK"/>
        </w:rPr>
        <w:t>d</w:t>
      </w:r>
      <w:r w:rsidR="00AA682F">
        <w:rPr>
          <w:rFonts w:hint="eastAsia"/>
          <w:szCs w:val="24"/>
          <w:lang w:eastAsia="zh-HK"/>
        </w:rPr>
        <w:t xml:space="preserve"> as a good indicator to quantify air quality </w:t>
      </w:r>
      <w:r w:rsidR="00737E1E">
        <w:rPr>
          <w:rFonts w:hint="eastAsia"/>
          <w:szCs w:val="24"/>
          <w:lang w:eastAsia="zh-HK"/>
        </w:rPr>
        <w:t>problem in</w:t>
      </w:r>
      <w:r w:rsidR="00AA682F">
        <w:rPr>
          <w:rFonts w:hint="eastAsia"/>
          <w:szCs w:val="24"/>
          <w:lang w:eastAsia="zh-HK"/>
        </w:rPr>
        <w:t xml:space="preserve"> </w:t>
      </w:r>
      <w:r w:rsidR="00737E1E">
        <w:rPr>
          <w:rFonts w:hint="eastAsia"/>
          <w:szCs w:val="24"/>
          <w:lang w:eastAsia="zh-HK"/>
        </w:rPr>
        <w:t>an</w:t>
      </w:r>
      <w:r w:rsidR="00AA682F">
        <w:rPr>
          <w:rFonts w:hint="eastAsia"/>
          <w:szCs w:val="24"/>
          <w:lang w:eastAsia="zh-HK"/>
        </w:rPr>
        <w:t xml:space="preserve"> indoor environment and identify area for improvement (e.g. particular area</w:t>
      </w:r>
      <w:r w:rsidR="008B3AE3">
        <w:rPr>
          <w:rFonts w:hint="eastAsia"/>
          <w:szCs w:val="24"/>
          <w:lang w:eastAsia="zh-HK"/>
        </w:rPr>
        <w:t>s</w:t>
      </w:r>
      <w:r w:rsidR="00AA682F">
        <w:rPr>
          <w:rFonts w:hint="eastAsia"/>
          <w:szCs w:val="24"/>
          <w:lang w:eastAsia="zh-HK"/>
        </w:rPr>
        <w:t xml:space="preserve"> needing more purging or ventilation).</w:t>
      </w:r>
    </w:p>
    <w:p w:rsidR="00AA682F" w:rsidRPr="008B3AE3" w:rsidRDefault="00AA682F" w:rsidP="00CA1FD2">
      <w:pPr>
        <w:jc w:val="both"/>
        <w:rPr>
          <w:rFonts w:hint="eastAsia"/>
          <w:szCs w:val="24"/>
          <w:lang w:eastAsia="zh-HK"/>
        </w:rPr>
      </w:pPr>
    </w:p>
    <w:p w:rsidR="00AA682F" w:rsidRDefault="00AA682F" w:rsidP="00CA1FD2">
      <w:pPr>
        <w:jc w:val="both"/>
        <w:rPr>
          <w:rFonts w:hint="eastAsia"/>
          <w:szCs w:val="24"/>
          <w:lang w:eastAsia="zh-HK"/>
        </w:rPr>
      </w:pPr>
      <w:r>
        <w:rPr>
          <w:rFonts w:hint="eastAsia"/>
          <w:szCs w:val="24"/>
          <w:lang w:eastAsia="zh-HK"/>
        </w:rPr>
        <w:t>Nonetheless, it is noteworthy that IAQ Management Group (2003) suggested that measurement should not be made in any part of the premise/</w:t>
      </w:r>
      <w:r>
        <w:rPr>
          <w:szCs w:val="24"/>
          <w:lang w:eastAsia="zh-HK"/>
        </w:rPr>
        <w:t>building</w:t>
      </w:r>
      <w:r>
        <w:rPr>
          <w:rFonts w:hint="eastAsia"/>
          <w:szCs w:val="24"/>
          <w:lang w:eastAsia="zh-HK"/>
        </w:rPr>
        <w:t xml:space="preserve"> where it is totally enclosed but not served by MVAC syst</w:t>
      </w:r>
      <w:r w:rsidR="00737E1E">
        <w:rPr>
          <w:rFonts w:hint="eastAsia"/>
          <w:szCs w:val="24"/>
          <w:lang w:eastAsia="zh-HK"/>
        </w:rPr>
        <w:t xml:space="preserve">em. The reference levels should </w:t>
      </w:r>
      <w:r>
        <w:rPr>
          <w:rFonts w:hint="eastAsia"/>
          <w:szCs w:val="24"/>
          <w:lang w:eastAsia="zh-HK"/>
        </w:rPr>
        <w:t xml:space="preserve">be considered </w:t>
      </w:r>
      <w:r w:rsidR="00737E1E">
        <w:rPr>
          <w:rFonts w:hint="eastAsia"/>
          <w:szCs w:val="24"/>
          <w:lang w:eastAsia="zh-HK"/>
        </w:rPr>
        <w:t xml:space="preserve">and comparable </w:t>
      </w:r>
      <w:r>
        <w:rPr>
          <w:rFonts w:hint="eastAsia"/>
          <w:szCs w:val="24"/>
          <w:lang w:eastAsia="zh-HK"/>
        </w:rPr>
        <w:t xml:space="preserve">only if the measurement was taken with </w:t>
      </w:r>
      <w:r>
        <w:rPr>
          <w:szCs w:val="24"/>
          <w:lang w:eastAsia="zh-HK"/>
        </w:rPr>
        <w:t>continuous</w:t>
      </w:r>
      <w:r>
        <w:rPr>
          <w:rFonts w:hint="eastAsia"/>
          <w:szCs w:val="24"/>
          <w:lang w:eastAsia="zh-HK"/>
        </w:rPr>
        <w:t xml:space="preserve"> </w:t>
      </w:r>
      <w:r>
        <w:rPr>
          <w:rFonts w:hint="eastAsia"/>
          <w:szCs w:val="24"/>
          <w:lang w:eastAsia="zh-HK"/>
        </w:rPr>
        <w:lastRenderedPageBreak/>
        <w:t>fresh air supply.</w:t>
      </w:r>
    </w:p>
    <w:p w:rsidR="00737E1E" w:rsidRDefault="00737E1E" w:rsidP="00CA1FD2">
      <w:pPr>
        <w:jc w:val="both"/>
        <w:rPr>
          <w:rFonts w:hint="eastAsia"/>
          <w:szCs w:val="24"/>
          <w:lang w:eastAsia="zh-HK"/>
        </w:rPr>
      </w:pPr>
    </w:p>
    <w:p w:rsidR="00AA682F" w:rsidRPr="004129CE" w:rsidRDefault="00AA682F" w:rsidP="00E31F4E">
      <w:pPr>
        <w:pStyle w:val="ListParagraph"/>
        <w:numPr>
          <w:ilvl w:val="0"/>
          <w:numId w:val="1"/>
        </w:numPr>
        <w:ind w:leftChars="0"/>
        <w:jc w:val="both"/>
        <w:rPr>
          <w:rFonts w:hint="eastAsia"/>
          <w:b/>
          <w:szCs w:val="24"/>
          <w:lang w:eastAsia="zh-HK"/>
        </w:rPr>
      </w:pPr>
      <w:r w:rsidRPr="004129CE">
        <w:rPr>
          <w:rFonts w:hint="eastAsia"/>
          <w:b/>
          <w:szCs w:val="24"/>
          <w:lang w:eastAsia="zh-HK"/>
        </w:rPr>
        <w:t>Action Taken</w:t>
      </w:r>
      <w:r w:rsidR="004129CE" w:rsidRPr="004129CE">
        <w:rPr>
          <w:rFonts w:hint="eastAsia"/>
          <w:b/>
          <w:szCs w:val="24"/>
          <w:lang w:eastAsia="zh-HK"/>
        </w:rPr>
        <w:t xml:space="preserve"> and Methodology of Measurements</w:t>
      </w:r>
    </w:p>
    <w:p w:rsidR="00AA682F" w:rsidRDefault="00AA682F" w:rsidP="00E31F4E">
      <w:pPr>
        <w:jc w:val="both"/>
        <w:rPr>
          <w:rFonts w:hint="eastAsia"/>
          <w:szCs w:val="24"/>
          <w:lang w:eastAsia="zh-HK"/>
        </w:rPr>
      </w:pPr>
      <w:r>
        <w:rPr>
          <w:rFonts w:hint="eastAsia"/>
          <w:szCs w:val="24"/>
          <w:lang w:eastAsia="zh-HK"/>
        </w:rPr>
        <w:t xml:space="preserve">After meeting with the student representatives on 28 December 2018, the following arrangement for additional air monitoring </w:t>
      </w:r>
      <w:r>
        <w:rPr>
          <w:szCs w:val="24"/>
          <w:lang w:eastAsia="zh-HK"/>
        </w:rPr>
        <w:t>exercise</w:t>
      </w:r>
      <w:r w:rsidR="004129CE">
        <w:rPr>
          <w:rFonts w:hint="eastAsia"/>
          <w:szCs w:val="24"/>
          <w:lang w:eastAsia="zh-HK"/>
        </w:rPr>
        <w:t>s</w:t>
      </w:r>
      <w:r>
        <w:rPr>
          <w:rFonts w:hint="eastAsia"/>
          <w:szCs w:val="24"/>
          <w:lang w:eastAsia="zh-HK"/>
        </w:rPr>
        <w:t xml:space="preserve"> </w:t>
      </w:r>
      <w:r w:rsidR="004129CE">
        <w:rPr>
          <w:rFonts w:hint="eastAsia"/>
          <w:szCs w:val="24"/>
          <w:lang w:eastAsia="zh-HK"/>
        </w:rPr>
        <w:t>were agreed and implemented</w:t>
      </w:r>
      <w:r>
        <w:rPr>
          <w:rFonts w:hint="eastAsia"/>
          <w:szCs w:val="24"/>
          <w:lang w:eastAsia="zh-HK"/>
        </w:rPr>
        <w:t>:</w:t>
      </w:r>
    </w:p>
    <w:p w:rsidR="004129CE" w:rsidRDefault="004129CE" w:rsidP="00E31F4E">
      <w:pPr>
        <w:pStyle w:val="ListParagraph"/>
        <w:numPr>
          <w:ilvl w:val="0"/>
          <w:numId w:val="3"/>
        </w:numPr>
        <w:ind w:leftChars="0"/>
        <w:jc w:val="both"/>
      </w:pPr>
      <w:r>
        <w:rPr>
          <w:rFonts w:hint="eastAsia"/>
        </w:rPr>
        <w:t xml:space="preserve">A RAE3000 </w:t>
      </w:r>
      <w:r>
        <w:rPr>
          <w:rFonts w:hint="eastAsia"/>
          <w:lang w:eastAsia="zh-HK"/>
        </w:rPr>
        <w:t xml:space="preserve">(Photo-Ionization Detector) </w:t>
      </w:r>
      <w:r>
        <w:rPr>
          <w:rFonts w:hint="eastAsia"/>
        </w:rPr>
        <w:t xml:space="preserve">real time </w:t>
      </w:r>
      <w:r>
        <w:rPr>
          <w:rFonts w:hint="eastAsia"/>
          <w:lang w:eastAsia="zh-HK"/>
        </w:rPr>
        <w:t xml:space="preserve">TVOC </w:t>
      </w:r>
      <w:r>
        <w:rPr>
          <w:rFonts w:hint="eastAsia"/>
        </w:rPr>
        <w:t xml:space="preserve">monitor, which has been </w:t>
      </w:r>
      <w:r>
        <w:t>officially</w:t>
      </w:r>
      <w:r>
        <w:rPr>
          <w:rFonts w:hint="eastAsia"/>
        </w:rPr>
        <w:t xml:space="preserve"> calibrated, </w:t>
      </w:r>
      <w:r>
        <w:rPr>
          <w:rFonts w:hint="eastAsia"/>
          <w:lang w:eastAsia="zh-HK"/>
        </w:rPr>
        <w:t>wa</w:t>
      </w:r>
      <w:r>
        <w:rPr>
          <w:rFonts w:hint="eastAsia"/>
        </w:rPr>
        <w:t>s used in the monitoring;</w:t>
      </w:r>
    </w:p>
    <w:p w:rsidR="004129CE" w:rsidRDefault="004129CE" w:rsidP="00E31F4E">
      <w:pPr>
        <w:pStyle w:val="ListParagraph"/>
        <w:numPr>
          <w:ilvl w:val="0"/>
          <w:numId w:val="3"/>
        </w:numPr>
        <w:ind w:leftChars="0"/>
        <w:jc w:val="both"/>
      </w:pPr>
      <w:r>
        <w:rPr>
          <w:rFonts w:hint="eastAsia"/>
        </w:rPr>
        <w:t xml:space="preserve">Four 30-min measurements </w:t>
      </w:r>
      <w:r>
        <w:rPr>
          <w:rFonts w:hint="eastAsia"/>
          <w:lang w:eastAsia="zh-HK"/>
        </w:rPr>
        <w:t>we</w:t>
      </w:r>
      <w:r>
        <w:rPr>
          <w:rFonts w:hint="eastAsia"/>
        </w:rPr>
        <w:t>re conducted in a designated room;</w:t>
      </w:r>
    </w:p>
    <w:p w:rsidR="004129CE" w:rsidRDefault="004129CE" w:rsidP="00E31F4E">
      <w:pPr>
        <w:pStyle w:val="ListParagraph"/>
        <w:numPr>
          <w:ilvl w:val="0"/>
          <w:numId w:val="3"/>
        </w:numPr>
        <w:ind w:leftChars="0"/>
        <w:jc w:val="both"/>
      </w:pPr>
      <w:r>
        <w:rPr>
          <w:rFonts w:hint="eastAsia"/>
        </w:rPr>
        <w:t xml:space="preserve">The monitor </w:t>
      </w:r>
      <w:r>
        <w:rPr>
          <w:rFonts w:hint="eastAsia"/>
          <w:lang w:eastAsia="zh-HK"/>
        </w:rPr>
        <w:t>was</w:t>
      </w:r>
      <w:r>
        <w:rPr>
          <w:rFonts w:hint="eastAsia"/>
        </w:rPr>
        <w:t xml:space="preserve"> placed inside the room at a place </w:t>
      </w:r>
      <w:r>
        <w:rPr>
          <w:rFonts w:hint="eastAsia"/>
        </w:rPr>
        <w:t xml:space="preserve">where it </w:t>
      </w:r>
      <w:r>
        <w:rPr>
          <w:rFonts w:hint="eastAsia"/>
          <w:lang w:eastAsia="zh-HK"/>
        </w:rPr>
        <w:t>was</w:t>
      </w:r>
      <w:r>
        <w:rPr>
          <w:rFonts w:hint="eastAsia"/>
        </w:rPr>
        <w:t xml:space="preserve"> at least 0.5</w:t>
      </w:r>
      <w:r w:rsidR="008B3AE3">
        <w:rPr>
          <w:rFonts w:hint="eastAsia"/>
          <w:lang w:eastAsia="zh-HK"/>
        </w:rPr>
        <w:t xml:space="preserve"> </w:t>
      </w:r>
      <w:r>
        <w:rPr>
          <w:rFonts w:hint="eastAsia"/>
        </w:rPr>
        <w:t>m from windows, not within 2</w:t>
      </w:r>
      <w:r w:rsidR="008B3AE3">
        <w:rPr>
          <w:rFonts w:hint="eastAsia"/>
          <w:lang w:eastAsia="zh-HK"/>
        </w:rPr>
        <w:t xml:space="preserve"> </w:t>
      </w:r>
      <w:r>
        <w:rPr>
          <w:rFonts w:hint="eastAsia"/>
        </w:rPr>
        <w:t>m of doors, about 1.1</w:t>
      </w:r>
      <w:r w:rsidR="008B3AE3">
        <w:rPr>
          <w:rFonts w:hint="eastAsia"/>
          <w:lang w:eastAsia="zh-HK"/>
        </w:rPr>
        <w:t xml:space="preserve"> </w:t>
      </w:r>
      <w:r>
        <w:rPr>
          <w:rFonts w:hint="eastAsia"/>
        </w:rPr>
        <w:t>m above the floor (inlet of monitor), not under direct sunlight;</w:t>
      </w:r>
    </w:p>
    <w:p w:rsidR="004129CE" w:rsidRDefault="004129CE" w:rsidP="00E31F4E">
      <w:pPr>
        <w:pStyle w:val="ListParagraph"/>
        <w:numPr>
          <w:ilvl w:val="0"/>
          <w:numId w:val="3"/>
        </w:numPr>
        <w:ind w:leftChars="0"/>
        <w:jc w:val="both"/>
      </w:pPr>
      <w:r>
        <w:rPr>
          <w:rFonts w:hint="eastAsia"/>
        </w:rPr>
        <w:t xml:space="preserve">All windows and the door </w:t>
      </w:r>
      <w:r>
        <w:rPr>
          <w:rFonts w:hint="eastAsia"/>
          <w:lang w:eastAsia="zh-HK"/>
        </w:rPr>
        <w:t>were</w:t>
      </w:r>
      <w:r w:rsidR="00C0029E">
        <w:rPr>
          <w:rFonts w:hint="eastAsia"/>
        </w:rPr>
        <w:t xml:space="preserve"> closed with fan o</w:t>
      </w:r>
      <w:r w:rsidR="00C0029E">
        <w:rPr>
          <w:rFonts w:hint="eastAsia"/>
          <w:lang w:eastAsia="zh-HK"/>
        </w:rPr>
        <w:t>ff</w:t>
      </w:r>
      <w:r>
        <w:rPr>
          <w:rFonts w:hint="eastAsia"/>
          <w:lang w:eastAsia="zh-HK"/>
        </w:rPr>
        <w:t xml:space="preserve"> </w:t>
      </w:r>
      <w:r w:rsidRPr="008B3AE3">
        <w:rPr>
          <w:rFonts w:hint="eastAsia"/>
          <w:i/>
          <w:lang w:eastAsia="zh-HK"/>
        </w:rPr>
        <w:t>(Note: This method is not recommended by the IAQ Management Group as mentioned in the last paragraph of Section 3 of this paper</w:t>
      </w:r>
      <w:r w:rsidR="00C0029E">
        <w:rPr>
          <w:rFonts w:hint="eastAsia"/>
          <w:i/>
          <w:lang w:eastAsia="zh-HK"/>
        </w:rPr>
        <w:t xml:space="preserve"> but insisted by the students</w:t>
      </w:r>
      <w:r w:rsidRPr="008B3AE3">
        <w:rPr>
          <w:rFonts w:hint="eastAsia"/>
          <w:i/>
          <w:lang w:eastAsia="zh-HK"/>
        </w:rPr>
        <w:t>)</w:t>
      </w:r>
      <w:r>
        <w:rPr>
          <w:rFonts w:hint="eastAsia"/>
          <w:lang w:eastAsia="zh-HK"/>
        </w:rPr>
        <w:t xml:space="preserve">; </w:t>
      </w:r>
    </w:p>
    <w:p w:rsidR="004129CE" w:rsidRDefault="004129CE" w:rsidP="00E31F4E">
      <w:pPr>
        <w:pStyle w:val="ListParagraph"/>
        <w:numPr>
          <w:ilvl w:val="0"/>
          <w:numId w:val="3"/>
        </w:numPr>
        <w:ind w:leftChars="0"/>
        <w:jc w:val="both"/>
      </w:pPr>
      <w:r>
        <w:rPr>
          <w:rFonts w:hint="eastAsia"/>
        </w:rPr>
        <w:t xml:space="preserve">A 30-min Average TVOC level </w:t>
      </w:r>
      <w:r w:rsidR="00737E1E">
        <w:rPr>
          <w:rFonts w:hint="eastAsia"/>
          <w:lang w:eastAsia="zh-HK"/>
        </w:rPr>
        <w:t>wa</w:t>
      </w:r>
      <w:r>
        <w:rPr>
          <w:rFonts w:hint="eastAsia"/>
        </w:rPr>
        <w:t>s recorded after the measurement;</w:t>
      </w:r>
    </w:p>
    <w:p w:rsidR="004129CE" w:rsidRDefault="004129CE" w:rsidP="00E31F4E">
      <w:pPr>
        <w:pStyle w:val="ListParagraph"/>
        <w:numPr>
          <w:ilvl w:val="0"/>
          <w:numId w:val="3"/>
        </w:numPr>
        <w:ind w:leftChars="0"/>
        <w:jc w:val="both"/>
      </w:pPr>
      <w:r>
        <w:rPr>
          <w:rFonts w:hint="eastAsia"/>
        </w:rPr>
        <w:t xml:space="preserve">Other three </w:t>
      </w:r>
      <w:r>
        <w:t>monitoring</w:t>
      </w:r>
      <w:r>
        <w:rPr>
          <w:rFonts w:hint="eastAsia"/>
        </w:rPr>
        <w:t xml:space="preserve"> </w:t>
      </w:r>
      <w:r w:rsidR="00737E1E">
        <w:rPr>
          <w:rFonts w:hint="eastAsia"/>
          <w:lang w:eastAsia="zh-HK"/>
        </w:rPr>
        <w:t>were</w:t>
      </w:r>
      <w:r>
        <w:rPr>
          <w:rFonts w:hint="eastAsia"/>
        </w:rPr>
        <w:t xml:space="preserve"> co</w:t>
      </w:r>
      <w:r w:rsidR="008B3AE3">
        <w:rPr>
          <w:rFonts w:hint="eastAsia"/>
        </w:rPr>
        <w:t xml:space="preserve">nducted as the same way as the </w:t>
      </w:r>
      <w:r w:rsidR="008B3AE3">
        <w:rPr>
          <w:rFonts w:hint="eastAsia"/>
          <w:lang w:eastAsia="zh-HK"/>
        </w:rPr>
        <w:t>first</w:t>
      </w:r>
      <w:r>
        <w:rPr>
          <w:rFonts w:hint="eastAsia"/>
        </w:rPr>
        <w:t xml:space="preserve"> one on the same day under the same condition; (Note: one 30-min measurement is conducted in the existing PGHs for comparison);</w:t>
      </w:r>
    </w:p>
    <w:p w:rsidR="004129CE" w:rsidRDefault="004129CE" w:rsidP="00E31F4E">
      <w:pPr>
        <w:pStyle w:val="ListParagraph"/>
        <w:numPr>
          <w:ilvl w:val="0"/>
          <w:numId w:val="3"/>
        </w:numPr>
        <w:ind w:leftChars="0"/>
        <w:jc w:val="both"/>
      </w:pPr>
      <w:r>
        <w:rPr>
          <w:rFonts w:hint="eastAsia"/>
        </w:rPr>
        <w:t>A total o</w:t>
      </w:r>
      <w:r w:rsidR="00737E1E">
        <w:rPr>
          <w:rFonts w:hint="eastAsia"/>
        </w:rPr>
        <w:t xml:space="preserve">f four 30-min measurement data </w:t>
      </w:r>
      <w:r w:rsidR="00737E1E">
        <w:rPr>
          <w:rFonts w:hint="eastAsia"/>
          <w:lang w:eastAsia="zh-HK"/>
        </w:rPr>
        <w:t>were</w:t>
      </w:r>
      <w:r>
        <w:rPr>
          <w:rFonts w:hint="eastAsia"/>
        </w:rPr>
        <w:t xml:space="preserve"> collected in each designated room for further analysis</w:t>
      </w:r>
      <w:r w:rsidR="00E31F4E">
        <w:rPr>
          <w:rFonts w:hint="eastAsia"/>
          <w:lang w:eastAsia="zh-HK"/>
        </w:rPr>
        <w:t xml:space="preserve">. The average of 30-min measurements conducted at four time-slots would be used as it is </w:t>
      </w:r>
      <w:r w:rsidR="008B3AE3">
        <w:rPr>
          <w:rFonts w:hint="eastAsia"/>
          <w:lang w:eastAsia="zh-HK"/>
        </w:rPr>
        <w:t xml:space="preserve">also </w:t>
      </w:r>
      <w:r w:rsidR="00E31F4E">
        <w:rPr>
          <w:rFonts w:hint="eastAsia"/>
          <w:lang w:eastAsia="zh-HK"/>
        </w:rPr>
        <w:t>considered acceptable (IAQ Management Group, 2003).</w:t>
      </w:r>
    </w:p>
    <w:p w:rsidR="007F1C5F" w:rsidRDefault="007F1C5F" w:rsidP="00CA1FD2">
      <w:pPr>
        <w:jc w:val="both"/>
        <w:rPr>
          <w:rFonts w:hint="eastAsia"/>
          <w:szCs w:val="24"/>
          <w:lang w:eastAsia="zh-HK"/>
        </w:rPr>
      </w:pPr>
    </w:p>
    <w:p w:rsidR="004129CE" w:rsidRPr="00587723" w:rsidRDefault="004129CE" w:rsidP="004129CE">
      <w:pPr>
        <w:pStyle w:val="ListParagraph"/>
        <w:numPr>
          <w:ilvl w:val="0"/>
          <w:numId w:val="1"/>
        </w:numPr>
        <w:ind w:leftChars="0"/>
        <w:jc w:val="both"/>
        <w:rPr>
          <w:rFonts w:hint="eastAsia"/>
          <w:b/>
          <w:szCs w:val="24"/>
          <w:lang w:eastAsia="zh-HK"/>
        </w:rPr>
      </w:pPr>
      <w:r w:rsidRPr="00587723">
        <w:rPr>
          <w:rFonts w:hint="eastAsia"/>
          <w:b/>
          <w:szCs w:val="24"/>
          <w:lang w:eastAsia="zh-HK"/>
        </w:rPr>
        <w:t>Results</w:t>
      </w:r>
    </w:p>
    <w:p w:rsidR="004129CE" w:rsidRDefault="00E31F4E" w:rsidP="004129CE">
      <w:pPr>
        <w:jc w:val="both"/>
        <w:rPr>
          <w:rFonts w:hint="eastAsia"/>
          <w:szCs w:val="24"/>
          <w:lang w:eastAsia="zh-HK"/>
        </w:rPr>
      </w:pPr>
      <w:r>
        <w:rPr>
          <w:rFonts w:hint="eastAsia"/>
          <w:szCs w:val="24"/>
          <w:lang w:eastAsia="zh-HK"/>
        </w:rPr>
        <w:t>The monitoring results of TVOC and formaldehyde in last three days are tabulated as follows:</w:t>
      </w:r>
    </w:p>
    <w:p w:rsidR="008B3AE3" w:rsidRPr="008B3AE3" w:rsidRDefault="008B3AE3" w:rsidP="004129CE">
      <w:pPr>
        <w:jc w:val="both"/>
        <w:rPr>
          <w:rFonts w:hint="eastAsia"/>
          <w:b/>
          <w:szCs w:val="24"/>
          <w:lang w:eastAsia="zh-HK"/>
        </w:rPr>
      </w:pPr>
    </w:p>
    <w:tbl>
      <w:tblPr>
        <w:tblStyle w:val="TableGrid"/>
        <w:tblW w:w="0" w:type="auto"/>
        <w:tblLook w:val="04A0" w:firstRow="1" w:lastRow="0" w:firstColumn="1" w:lastColumn="0" w:noHBand="0" w:noVBand="1"/>
      </w:tblPr>
      <w:tblGrid>
        <w:gridCol w:w="1809"/>
        <w:gridCol w:w="2127"/>
        <w:gridCol w:w="2335"/>
        <w:gridCol w:w="2091"/>
      </w:tblGrid>
      <w:tr w:rsidR="00E31F4E" w:rsidRPr="008B3AE3" w:rsidTr="00E31F4E">
        <w:tc>
          <w:tcPr>
            <w:tcW w:w="1809" w:type="dxa"/>
          </w:tcPr>
          <w:p w:rsidR="00E31F4E" w:rsidRPr="008B3AE3" w:rsidRDefault="00E31F4E" w:rsidP="00587723">
            <w:pPr>
              <w:contextualSpacing/>
              <w:jc w:val="both"/>
              <w:rPr>
                <w:rFonts w:hint="eastAsia"/>
                <w:b/>
                <w:sz w:val="20"/>
                <w:szCs w:val="20"/>
                <w:lang w:eastAsia="zh-HK"/>
              </w:rPr>
            </w:pPr>
            <w:r w:rsidRPr="008B3AE3">
              <w:rPr>
                <w:rFonts w:hint="eastAsia"/>
                <w:b/>
                <w:sz w:val="20"/>
                <w:szCs w:val="20"/>
                <w:lang w:eastAsia="zh-HK"/>
              </w:rPr>
              <w:t>Sampling Date</w:t>
            </w:r>
          </w:p>
        </w:tc>
        <w:tc>
          <w:tcPr>
            <w:tcW w:w="2127" w:type="dxa"/>
          </w:tcPr>
          <w:p w:rsidR="00E31F4E" w:rsidRPr="008B3AE3" w:rsidRDefault="00E31F4E" w:rsidP="00587723">
            <w:pPr>
              <w:contextualSpacing/>
              <w:jc w:val="both"/>
              <w:rPr>
                <w:rFonts w:hint="eastAsia"/>
                <w:b/>
                <w:sz w:val="20"/>
                <w:szCs w:val="20"/>
                <w:lang w:eastAsia="zh-HK"/>
              </w:rPr>
            </w:pPr>
            <w:r w:rsidRPr="008B3AE3">
              <w:rPr>
                <w:rFonts w:hint="eastAsia"/>
                <w:b/>
                <w:sz w:val="20"/>
                <w:szCs w:val="20"/>
                <w:lang w:eastAsia="zh-HK"/>
              </w:rPr>
              <w:t>Sampling Location</w:t>
            </w:r>
          </w:p>
        </w:tc>
        <w:tc>
          <w:tcPr>
            <w:tcW w:w="2335" w:type="dxa"/>
          </w:tcPr>
          <w:p w:rsidR="00E31F4E" w:rsidRPr="008B3AE3" w:rsidRDefault="00E31F4E" w:rsidP="00587723">
            <w:pPr>
              <w:contextualSpacing/>
              <w:jc w:val="both"/>
              <w:rPr>
                <w:rFonts w:hint="eastAsia"/>
                <w:b/>
                <w:sz w:val="20"/>
                <w:szCs w:val="20"/>
                <w:lang w:eastAsia="zh-HK"/>
              </w:rPr>
            </w:pPr>
            <w:r w:rsidRPr="008B3AE3">
              <w:rPr>
                <w:rFonts w:hint="eastAsia"/>
                <w:b/>
                <w:sz w:val="20"/>
                <w:szCs w:val="20"/>
                <w:lang w:eastAsia="zh-HK"/>
              </w:rPr>
              <w:t>Formaldehyde (ppb)</w:t>
            </w:r>
          </w:p>
        </w:tc>
        <w:tc>
          <w:tcPr>
            <w:tcW w:w="2091" w:type="dxa"/>
          </w:tcPr>
          <w:p w:rsidR="00E31F4E" w:rsidRPr="008B3AE3" w:rsidRDefault="00E31F4E" w:rsidP="00587723">
            <w:pPr>
              <w:contextualSpacing/>
              <w:jc w:val="both"/>
              <w:rPr>
                <w:rFonts w:hint="eastAsia"/>
                <w:b/>
                <w:sz w:val="20"/>
                <w:szCs w:val="20"/>
                <w:lang w:eastAsia="zh-HK"/>
              </w:rPr>
            </w:pPr>
            <w:r w:rsidRPr="008B3AE3">
              <w:rPr>
                <w:rFonts w:hint="eastAsia"/>
                <w:b/>
                <w:sz w:val="20"/>
                <w:szCs w:val="20"/>
                <w:lang w:eastAsia="zh-HK"/>
              </w:rPr>
              <w:t>TVOC (ppb)</w:t>
            </w:r>
          </w:p>
        </w:tc>
      </w:tr>
      <w:tr w:rsidR="00E31F4E" w:rsidTr="00E31F4E">
        <w:tc>
          <w:tcPr>
            <w:tcW w:w="1809"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31 Dec 2018</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 2 Room 816</w:t>
            </w:r>
          </w:p>
        </w:tc>
        <w:tc>
          <w:tcPr>
            <w:tcW w:w="2335"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194</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31 Dec 2018</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 2 Room 904</w:t>
            </w:r>
          </w:p>
        </w:tc>
        <w:tc>
          <w:tcPr>
            <w:tcW w:w="2335"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244</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31 Dec 2018</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 3</w:t>
            </w:r>
            <w:r w:rsidRPr="00587723">
              <w:rPr>
                <w:rFonts w:hint="eastAsia"/>
                <w:sz w:val="20"/>
                <w:szCs w:val="20"/>
                <w:lang w:eastAsia="zh-HK"/>
              </w:rPr>
              <w:t xml:space="preserve"> Room</w:t>
            </w:r>
            <w:r w:rsidRPr="00587723">
              <w:rPr>
                <w:rFonts w:hint="eastAsia"/>
                <w:sz w:val="20"/>
                <w:szCs w:val="20"/>
                <w:lang w:eastAsia="zh-HK"/>
              </w:rPr>
              <w:t xml:space="preserve"> 819</w:t>
            </w:r>
          </w:p>
        </w:tc>
        <w:tc>
          <w:tcPr>
            <w:tcW w:w="2335"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289</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31 Dec 2018</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 3</w:t>
            </w:r>
            <w:r w:rsidRPr="00587723">
              <w:rPr>
                <w:rFonts w:hint="eastAsia"/>
                <w:sz w:val="20"/>
                <w:szCs w:val="20"/>
                <w:lang w:eastAsia="zh-HK"/>
              </w:rPr>
              <w:t xml:space="preserve"> Room</w:t>
            </w:r>
            <w:r w:rsidRPr="00587723">
              <w:rPr>
                <w:rFonts w:hint="eastAsia"/>
                <w:sz w:val="20"/>
                <w:szCs w:val="20"/>
                <w:lang w:eastAsia="zh-HK"/>
              </w:rPr>
              <w:t xml:space="preserve"> 918</w:t>
            </w:r>
          </w:p>
        </w:tc>
        <w:tc>
          <w:tcPr>
            <w:tcW w:w="2335"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288</w:t>
            </w:r>
          </w:p>
        </w:tc>
      </w:tr>
      <w:tr w:rsidR="00E31F4E" w:rsidTr="00E31F4E">
        <w:tc>
          <w:tcPr>
            <w:tcW w:w="1809"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2 Jan 2019</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w:t>
            </w:r>
            <w:r w:rsidRPr="00587723">
              <w:rPr>
                <w:rFonts w:hint="eastAsia"/>
                <w:sz w:val="20"/>
                <w:szCs w:val="20"/>
                <w:lang w:eastAsia="zh-HK"/>
              </w:rPr>
              <w:t xml:space="preserve"> </w:t>
            </w:r>
            <w:r w:rsidR="007B4F9D" w:rsidRPr="00587723">
              <w:rPr>
                <w:rFonts w:hint="eastAsia"/>
                <w:sz w:val="20"/>
                <w:szCs w:val="20"/>
                <w:lang w:eastAsia="zh-HK"/>
              </w:rPr>
              <w:t>2</w:t>
            </w:r>
            <w:r w:rsidRPr="00587723">
              <w:rPr>
                <w:rFonts w:hint="eastAsia"/>
                <w:sz w:val="20"/>
                <w:szCs w:val="20"/>
                <w:lang w:eastAsia="zh-HK"/>
              </w:rPr>
              <w:t xml:space="preserve"> Room </w:t>
            </w:r>
            <w:r w:rsidR="007B4F9D" w:rsidRPr="00587723">
              <w:rPr>
                <w:rFonts w:hint="eastAsia"/>
                <w:sz w:val="20"/>
                <w:szCs w:val="20"/>
                <w:lang w:eastAsia="zh-HK"/>
              </w:rPr>
              <w:t>701</w:t>
            </w:r>
          </w:p>
        </w:tc>
        <w:tc>
          <w:tcPr>
            <w:tcW w:w="2335"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505</w:t>
            </w:r>
            <w:r w:rsidRPr="00587723">
              <w:rPr>
                <w:rFonts w:hint="eastAsia"/>
                <w:sz w:val="20"/>
                <w:szCs w:val="20"/>
                <w:vertAlign w:val="superscript"/>
                <w:lang w:eastAsia="zh-HK"/>
              </w:rPr>
              <w:t>#</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2 Jan 2019</w:t>
            </w:r>
          </w:p>
        </w:tc>
        <w:tc>
          <w:tcPr>
            <w:tcW w:w="2127" w:type="dxa"/>
          </w:tcPr>
          <w:p w:rsidR="00E31F4E" w:rsidRPr="00587723" w:rsidRDefault="00E31F4E" w:rsidP="00587723">
            <w:pPr>
              <w:contextualSpacing/>
              <w:jc w:val="both"/>
              <w:rPr>
                <w:rFonts w:hint="eastAsia"/>
                <w:sz w:val="20"/>
                <w:szCs w:val="20"/>
                <w:lang w:eastAsia="zh-HK"/>
              </w:rPr>
            </w:pPr>
            <w:r w:rsidRPr="00587723">
              <w:rPr>
                <w:rFonts w:hint="eastAsia"/>
                <w:sz w:val="20"/>
                <w:szCs w:val="20"/>
                <w:lang w:eastAsia="zh-HK"/>
              </w:rPr>
              <w:t>PGH</w:t>
            </w:r>
            <w:r w:rsidR="007B4F9D" w:rsidRPr="00587723">
              <w:rPr>
                <w:rFonts w:hint="eastAsia"/>
                <w:sz w:val="20"/>
                <w:szCs w:val="20"/>
                <w:lang w:eastAsia="zh-HK"/>
              </w:rPr>
              <w:t xml:space="preserve"> 2</w:t>
            </w:r>
            <w:r w:rsidR="007B4F9D" w:rsidRPr="00587723">
              <w:rPr>
                <w:rFonts w:hint="eastAsia"/>
                <w:sz w:val="20"/>
                <w:szCs w:val="20"/>
                <w:lang w:eastAsia="zh-HK"/>
              </w:rPr>
              <w:t xml:space="preserve"> Room</w:t>
            </w:r>
            <w:r w:rsidR="007B4F9D" w:rsidRPr="00587723">
              <w:rPr>
                <w:rFonts w:hint="eastAsia"/>
                <w:sz w:val="20"/>
                <w:szCs w:val="20"/>
                <w:lang w:eastAsia="zh-HK"/>
              </w:rPr>
              <w:t xml:space="preserve"> 621</w:t>
            </w:r>
          </w:p>
        </w:tc>
        <w:tc>
          <w:tcPr>
            <w:tcW w:w="2335"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547</w:t>
            </w:r>
            <w:r w:rsidRPr="00587723">
              <w:rPr>
                <w:rFonts w:hint="eastAsia"/>
                <w:sz w:val="20"/>
                <w:szCs w:val="20"/>
                <w:vertAlign w:val="superscript"/>
                <w:lang w:eastAsia="zh-HK"/>
              </w:rPr>
              <w:t>#</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2 Jan 2019</w:t>
            </w:r>
          </w:p>
        </w:tc>
        <w:tc>
          <w:tcPr>
            <w:tcW w:w="2127" w:type="dxa"/>
          </w:tcPr>
          <w:p w:rsidR="00E31F4E" w:rsidRPr="00587723" w:rsidRDefault="00E31F4E" w:rsidP="00587723">
            <w:pPr>
              <w:contextualSpacing/>
              <w:rPr>
                <w:sz w:val="20"/>
                <w:szCs w:val="20"/>
              </w:rPr>
            </w:pPr>
            <w:r w:rsidRPr="00587723">
              <w:rPr>
                <w:rFonts w:hint="eastAsia"/>
                <w:sz w:val="20"/>
                <w:szCs w:val="20"/>
                <w:lang w:eastAsia="zh-HK"/>
              </w:rPr>
              <w:t>PGH</w:t>
            </w:r>
            <w:r w:rsidR="007B4F9D" w:rsidRPr="00587723">
              <w:rPr>
                <w:rFonts w:hint="eastAsia"/>
                <w:sz w:val="20"/>
                <w:szCs w:val="20"/>
                <w:lang w:eastAsia="zh-HK"/>
              </w:rPr>
              <w:t xml:space="preserve"> </w:t>
            </w:r>
            <w:r w:rsidR="007B4F9D" w:rsidRPr="00587723">
              <w:rPr>
                <w:rFonts w:hint="eastAsia"/>
                <w:sz w:val="20"/>
                <w:szCs w:val="20"/>
                <w:lang w:eastAsia="zh-HK"/>
              </w:rPr>
              <w:t>3 Room 706</w:t>
            </w:r>
          </w:p>
        </w:tc>
        <w:tc>
          <w:tcPr>
            <w:tcW w:w="2335"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466</w:t>
            </w:r>
          </w:p>
        </w:tc>
      </w:tr>
      <w:tr w:rsidR="00E31F4E" w:rsidTr="00E31F4E">
        <w:tc>
          <w:tcPr>
            <w:tcW w:w="1809" w:type="dxa"/>
          </w:tcPr>
          <w:p w:rsidR="00E31F4E" w:rsidRPr="00587723" w:rsidRDefault="00E31F4E" w:rsidP="00587723">
            <w:pPr>
              <w:contextualSpacing/>
              <w:rPr>
                <w:sz w:val="20"/>
                <w:szCs w:val="20"/>
              </w:rPr>
            </w:pPr>
            <w:r w:rsidRPr="00587723">
              <w:rPr>
                <w:rFonts w:hint="eastAsia"/>
                <w:sz w:val="20"/>
                <w:szCs w:val="20"/>
                <w:lang w:eastAsia="zh-HK"/>
              </w:rPr>
              <w:t>2 Jan 2019</w:t>
            </w:r>
          </w:p>
        </w:tc>
        <w:tc>
          <w:tcPr>
            <w:tcW w:w="2127" w:type="dxa"/>
          </w:tcPr>
          <w:p w:rsidR="00E31F4E" w:rsidRPr="00587723" w:rsidRDefault="00E31F4E" w:rsidP="00587723">
            <w:pPr>
              <w:contextualSpacing/>
              <w:rPr>
                <w:sz w:val="20"/>
                <w:szCs w:val="20"/>
              </w:rPr>
            </w:pPr>
            <w:r w:rsidRPr="00587723">
              <w:rPr>
                <w:rFonts w:hint="eastAsia"/>
                <w:sz w:val="20"/>
                <w:szCs w:val="20"/>
                <w:lang w:eastAsia="zh-HK"/>
              </w:rPr>
              <w:t>PGH</w:t>
            </w:r>
            <w:r w:rsidR="007B4F9D" w:rsidRPr="00587723">
              <w:rPr>
                <w:rFonts w:hint="eastAsia"/>
                <w:sz w:val="20"/>
                <w:szCs w:val="20"/>
                <w:lang w:eastAsia="zh-HK"/>
              </w:rPr>
              <w:t xml:space="preserve"> 3 Room 615</w:t>
            </w:r>
          </w:p>
        </w:tc>
        <w:tc>
          <w:tcPr>
            <w:tcW w:w="2335"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 xml:space="preserve">&lt;10 </w:t>
            </w:r>
          </w:p>
        </w:tc>
        <w:tc>
          <w:tcPr>
            <w:tcW w:w="2091" w:type="dxa"/>
          </w:tcPr>
          <w:p w:rsidR="00E31F4E" w:rsidRPr="00587723" w:rsidRDefault="007B4F9D" w:rsidP="00587723">
            <w:pPr>
              <w:contextualSpacing/>
              <w:jc w:val="both"/>
              <w:rPr>
                <w:rFonts w:hint="eastAsia"/>
                <w:sz w:val="20"/>
                <w:szCs w:val="20"/>
                <w:lang w:eastAsia="zh-HK"/>
              </w:rPr>
            </w:pPr>
            <w:r w:rsidRPr="00587723">
              <w:rPr>
                <w:rFonts w:hint="eastAsia"/>
                <w:sz w:val="20"/>
                <w:szCs w:val="20"/>
                <w:lang w:eastAsia="zh-HK"/>
              </w:rPr>
              <w:t>485</w:t>
            </w:r>
          </w:p>
        </w:tc>
      </w:tr>
      <w:tr w:rsidR="007B4F9D" w:rsidTr="00E31F4E">
        <w:tc>
          <w:tcPr>
            <w:tcW w:w="1809" w:type="dxa"/>
          </w:tcPr>
          <w:p w:rsidR="007B4F9D" w:rsidRPr="00587723" w:rsidRDefault="007B4F9D" w:rsidP="00587723">
            <w:pPr>
              <w:contextualSpacing/>
              <w:rPr>
                <w:sz w:val="20"/>
                <w:szCs w:val="20"/>
              </w:rPr>
            </w:pPr>
            <w:r w:rsidRPr="00587723">
              <w:rPr>
                <w:rFonts w:hint="eastAsia"/>
                <w:sz w:val="20"/>
                <w:szCs w:val="20"/>
                <w:lang w:eastAsia="zh-HK"/>
              </w:rPr>
              <w:t>2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w:t>
            </w:r>
            <w:r w:rsidRPr="00587723">
              <w:rPr>
                <w:rFonts w:hint="eastAsia"/>
                <w:sz w:val="20"/>
                <w:szCs w:val="20"/>
                <w:lang w:eastAsia="zh-HK"/>
              </w:rPr>
              <w:t>3 Room</w:t>
            </w:r>
            <w:r w:rsidRPr="00587723">
              <w:rPr>
                <w:rFonts w:hint="eastAsia"/>
                <w:sz w:val="20"/>
                <w:szCs w:val="20"/>
                <w:lang w:eastAsia="zh-HK"/>
              </w:rPr>
              <w:t xml:space="preserve"> 419</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Not measured</w:t>
            </w:r>
            <w:r w:rsidR="00587723" w:rsidRPr="00587723">
              <w:rPr>
                <w:rFonts w:hint="eastAsia"/>
                <w:sz w:val="20"/>
                <w:szCs w:val="20"/>
                <w:vertAlign w:val="superscript"/>
                <w:lang w:eastAsia="zh-HK"/>
              </w:rPr>
              <w:t>(Notes)</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611</w:t>
            </w:r>
          </w:p>
        </w:tc>
      </w:tr>
      <w:tr w:rsidR="007B4F9D" w:rsidTr="00E31F4E">
        <w:tc>
          <w:tcPr>
            <w:tcW w:w="1809" w:type="dxa"/>
          </w:tcPr>
          <w:p w:rsidR="007B4F9D" w:rsidRPr="00587723" w:rsidRDefault="007B4F9D" w:rsidP="00587723">
            <w:pPr>
              <w:contextualSpacing/>
              <w:rPr>
                <w:sz w:val="20"/>
                <w:szCs w:val="20"/>
              </w:rPr>
            </w:pPr>
            <w:r w:rsidRPr="00587723">
              <w:rPr>
                <w:rFonts w:hint="eastAsia"/>
                <w:sz w:val="20"/>
                <w:szCs w:val="20"/>
                <w:lang w:eastAsia="zh-HK"/>
              </w:rPr>
              <w:lastRenderedPageBreak/>
              <w:t>2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w:t>
            </w:r>
            <w:r w:rsidRPr="00587723">
              <w:rPr>
                <w:rFonts w:hint="eastAsia"/>
                <w:sz w:val="20"/>
                <w:szCs w:val="20"/>
                <w:lang w:eastAsia="zh-HK"/>
              </w:rPr>
              <w:t>3 Room</w:t>
            </w:r>
            <w:r w:rsidRPr="00587723">
              <w:rPr>
                <w:rFonts w:hint="eastAsia"/>
                <w:sz w:val="20"/>
                <w:szCs w:val="20"/>
                <w:lang w:eastAsia="zh-HK"/>
              </w:rPr>
              <w:t xml:space="preserve"> 509</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Not measured</w:t>
            </w:r>
            <w:r w:rsidR="00587723">
              <w:rPr>
                <w:rFonts w:hint="eastAsia"/>
                <w:sz w:val="20"/>
                <w:szCs w:val="20"/>
                <w:lang w:eastAsia="zh-HK"/>
              </w:rPr>
              <w:t xml:space="preserve"> </w:t>
            </w:r>
            <w:r w:rsidR="00587723" w:rsidRPr="00587723">
              <w:rPr>
                <w:rFonts w:hint="eastAsia"/>
                <w:sz w:val="20"/>
                <w:szCs w:val="20"/>
                <w:vertAlign w:val="superscript"/>
                <w:lang w:eastAsia="zh-HK"/>
              </w:rPr>
              <w:t>(Notes)</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583</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2 Room 502</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759</w:t>
            </w:r>
            <w:r w:rsidRPr="00587723">
              <w:rPr>
                <w:rFonts w:hint="eastAsia"/>
                <w:sz w:val="20"/>
                <w:szCs w:val="20"/>
                <w:vertAlign w:val="superscript"/>
                <w:lang w:eastAsia="zh-HK"/>
              </w:rPr>
              <w:t>#</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2 Room 410</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775</w:t>
            </w:r>
            <w:r w:rsidRPr="00587723">
              <w:rPr>
                <w:rFonts w:hint="eastAsia"/>
                <w:sz w:val="20"/>
                <w:szCs w:val="20"/>
                <w:vertAlign w:val="superscript"/>
                <w:lang w:eastAsia="zh-HK"/>
              </w:rPr>
              <w:t>#</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3 Room 311</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Not measured</w:t>
            </w:r>
            <w:r w:rsidR="00587723">
              <w:rPr>
                <w:rFonts w:hint="eastAsia"/>
                <w:sz w:val="20"/>
                <w:szCs w:val="20"/>
                <w:lang w:eastAsia="zh-HK"/>
              </w:rPr>
              <w:t xml:space="preserve"> </w:t>
            </w:r>
            <w:r w:rsidR="00587723" w:rsidRPr="00587723">
              <w:rPr>
                <w:rFonts w:hint="eastAsia"/>
                <w:sz w:val="20"/>
                <w:szCs w:val="20"/>
                <w:vertAlign w:val="superscript"/>
                <w:lang w:eastAsia="zh-HK"/>
              </w:rPr>
              <w:t>(Notes)</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340*</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3 Room 218</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Not measured</w:t>
            </w:r>
            <w:r w:rsidR="00587723">
              <w:rPr>
                <w:rFonts w:hint="eastAsia"/>
                <w:sz w:val="20"/>
                <w:szCs w:val="20"/>
                <w:lang w:eastAsia="zh-HK"/>
              </w:rPr>
              <w:t xml:space="preserve"> </w:t>
            </w:r>
            <w:r w:rsidR="00587723" w:rsidRPr="00587723">
              <w:rPr>
                <w:rFonts w:hint="eastAsia"/>
                <w:sz w:val="20"/>
                <w:szCs w:val="20"/>
                <w:vertAlign w:val="superscript"/>
                <w:lang w:eastAsia="zh-HK"/>
              </w:rPr>
              <w:t>(Notes)</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392*</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3 Room 114</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706</w:t>
            </w:r>
            <w:r w:rsidR="00587723" w:rsidRPr="00587723">
              <w:rPr>
                <w:rFonts w:hint="eastAsia"/>
                <w:sz w:val="20"/>
                <w:szCs w:val="20"/>
                <w:vertAlign w:val="superscript"/>
                <w:lang w:eastAsia="zh-HK"/>
              </w:rPr>
              <w:t>#</w:t>
            </w:r>
          </w:p>
        </w:tc>
      </w:tr>
      <w:tr w:rsidR="007B4F9D" w:rsidTr="00E31F4E">
        <w:tc>
          <w:tcPr>
            <w:tcW w:w="1809"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3 Jan 2019</w:t>
            </w:r>
          </w:p>
        </w:tc>
        <w:tc>
          <w:tcPr>
            <w:tcW w:w="2127" w:type="dxa"/>
          </w:tcPr>
          <w:p w:rsidR="007B4F9D" w:rsidRPr="00587723" w:rsidRDefault="007B4F9D" w:rsidP="00587723">
            <w:pPr>
              <w:contextualSpacing/>
              <w:rPr>
                <w:sz w:val="20"/>
                <w:szCs w:val="20"/>
              </w:rPr>
            </w:pPr>
            <w:r w:rsidRPr="00587723">
              <w:rPr>
                <w:rFonts w:hint="eastAsia"/>
                <w:sz w:val="20"/>
                <w:szCs w:val="20"/>
                <w:lang w:eastAsia="zh-HK"/>
              </w:rPr>
              <w:t>PGH</w:t>
            </w:r>
            <w:r w:rsidRPr="00587723">
              <w:rPr>
                <w:rFonts w:hint="eastAsia"/>
                <w:sz w:val="20"/>
                <w:szCs w:val="20"/>
                <w:lang w:eastAsia="zh-HK"/>
              </w:rPr>
              <w:t xml:space="preserve"> 3 Room 109</w:t>
            </w:r>
          </w:p>
        </w:tc>
        <w:tc>
          <w:tcPr>
            <w:tcW w:w="2335"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&lt;10</w:t>
            </w:r>
          </w:p>
        </w:tc>
        <w:tc>
          <w:tcPr>
            <w:tcW w:w="2091" w:type="dxa"/>
          </w:tcPr>
          <w:p w:rsidR="007B4F9D" w:rsidRPr="00587723" w:rsidRDefault="007B4F9D" w:rsidP="00587723">
            <w:pPr>
              <w:contextualSpacing/>
              <w:jc w:val="both"/>
              <w:rPr>
                <w:rFonts w:hint="eastAsia"/>
                <w:sz w:val="20"/>
                <w:szCs w:val="20"/>
                <w:lang w:eastAsia="zh-HK"/>
              </w:rPr>
            </w:pPr>
            <w:r w:rsidRPr="00587723">
              <w:rPr>
                <w:rFonts w:hint="eastAsia"/>
                <w:sz w:val="20"/>
                <w:szCs w:val="20"/>
                <w:lang w:eastAsia="zh-HK"/>
              </w:rPr>
              <w:t>731</w:t>
            </w:r>
            <w:r w:rsidR="00587723" w:rsidRPr="00587723">
              <w:rPr>
                <w:rFonts w:hint="eastAsia"/>
                <w:sz w:val="20"/>
                <w:szCs w:val="20"/>
                <w:vertAlign w:val="superscript"/>
                <w:lang w:eastAsia="zh-HK"/>
              </w:rPr>
              <w:t>#</w:t>
            </w:r>
          </w:p>
        </w:tc>
      </w:tr>
    </w:tbl>
    <w:p w:rsidR="00587723" w:rsidRDefault="00587723" w:rsidP="00587723">
      <w:pPr>
        <w:snapToGrid w:val="0"/>
        <w:jc w:val="both"/>
        <w:rPr>
          <w:rFonts w:hint="eastAsia"/>
          <w:sz w:val="20"/>
          <w:szCs w:val="20"/>
          <w:lang w:eastAsia="zh-HK"/>
        </w:rPr>
      </w:pPr>
      <w:r>
        <w:rPr>
          <w:rFonts w:hint="eastAsia"/>
          <w:sz w:val="20"/>
          <w:szCs w:val="20"/>
          <w:lang w:eastAsia="zh-HK"/>
        </w:rPr>
        <w:t xml:space="preserve">Notes: formaldehyde was not measured in some locations due to the </w:t>
      </w:r>
      <w:r>
        <w:rPr>
          <w:sz w:val="20"/>
          <w:szCs w:val="20"/>
          <w:lang w:eastAsia="zh-HK"/>
        </w:rPr>
        <w:t>unavailability</w:t>
      </w:r>
      <w:r>
        <w:rPr>
          <w:rFonts w:hint="eastAsia"/>
          <w:sz w:val="20"/>
          <w:szCs w:val="20"/>
          <w:lang w:eastAsia="zh-HK"/>
        </w:rPr>
        <w:t xml:space="preserve"> of equipment</w:t>
      </w:r>
    </w:p>
    <w:p w:rsidR="00E31F4E" w:rsidRPr="00587723" w:rsidRDefault="00587723" w:rsidP="00587723">
      <w:pPr>
        <w:snapToGrid w:val="0"/>
        <w:jc w:val="both"/>
        <w:rPr>
          <w:rFonts w:hint="eastAsia"/>
          <w:sz w:val="20"/>
          <w:szCs w:val="20"/>
          <w:lang w:eastAsia="zh-HK"/>
        </w:rPr>
      </w:pPr>
      <w:r w:rsidRPr="00587723">
        <w:rPr>
          <w:rFonts w:hint="eastAsia"/>
          <w:sz w:val="20"/>
          <w:szCs w:val="20"/>
          <w:lang w:eastAsia="zh-HK"/>
        </w:rPr>
        <w:t xml:space="preserve"># </w:t>
      </w:r>
      <w:proofErr w:type="gramStart"/>
      <w:r w:rsidRPr="00587723">
        <w:rPr>
          <w:rFonts w:hint="eastAsia"/>
          <w:sz w:val="20"/>
          <w:szCs w:val="20"/>
          <w:lang w:eastAsia="zh-HK"/>
        </w:rPr>
        <w:t>measurement</w:t>
      </w:r>
      <w:proofErr w:type="gramEnd"/>
      <w:r w:rsidRPr="00587723">
        <w:rPr>
          <w:rFonts w:hint="eastAsia"/>
          <w:sz w:val="20"/>
          <w:szCs w:val="20"/>
          <w:lang w:eastAsia="zh-HK"/>
        </w:rPr>
        <w:t xml:space="preserve"> was taken by the equipment borrowed from </w:t>
      </w:r>
      <w:proofErr w:type="spellStart"/>
      <w:r w:rsidRPr="00587723">
        <w:rPr>
          <w:rFonts w:hint="eastAsia"/>
          <w:sz w:val="20"/>
          <w:szCs w:val="20"/>
          <w:lang w:eastAsia="zh-HK"/>
        </w:rPr>
        <w:t>PolyU</w:t>
      </w:r>
      <w:proofErr w:type="spellEnd"/>
    </w:p>
    <w:p w:rsidR="00587723" w:rsidRDefault="00587723" w:rsidP="00587723">
      <w:pPr>
        <w:snapToGrid w:val="0"/>
        <w:jc w:val="both"/>
        <w:rPr>
          <w:sz w:val="20"/>
          <w:szCs w:val="20"/>
          <w:lang w:eastAsia="zh-HK"/>
        </w:rPr>
      </w:pPr>
      <w:r w:rsidRPr="00587723">
        <w:rPr>
          <w:rFonts w:hint="eastAsia"/>
          <w:sz w:val="20"/>
          <w:szCs w:val="20"/>
          <w:lang w:eastAsia="zh-HK"/>
        </w:rPr>
        <w:t>*</w:t>
      </w:r>
      <w:r>
        <w:rPr>
          <w:rFonts w:hint="eastAsia"/>
          <w:sz w:val="20"/>
          <w:szCs w:val="20"/>
          <w:lang w:eastAsia="zh-HK"/>
        </w:rPr>
        <w:t xml:space="preserve">representing the </w:t>
      </w:r>
      <w:r w:rsidRPr="00587723">
        <w:rPr>
          <w:rFonts w:hint="eastAsia"/>
          <w:sz w:val="20"/>
          <w:szCs w:val="20"/>
          <w:lang w:eastAsia="zh-HK"/>
        </w:rPr>
        <w:t>averaged reading for the first three 30-min measurement</w:t>
      </w:r>
      <w:r>
        <w:rPr>
          <w:rFonts w:hint="eastAsia"/>
          <w:sz w:val="20"/>
          <w:szCs w:val="20"/>
          <w:lang w:eastAsia="zh-HK"/>
        </w:rPr>
        <w:t>s</w:t>
      </w:r>
      <w:r w:rsidRPr="00587723">
        <w:rPr>
          <w:rFonts w:hint="eastAsia"/>
          <w:sz w:val="20"/>
          <w:szCs w:val="20"/>
          <w:lang w:eastAsia="zh-HK"/>
        </w:rPr>
        <w:t xml:space="preserve">. The last 30-min measurement was discarded as it was measured by </w:t>
      </w:r>
      <w:proofErr w:type="gramStart"/>
      <w:r w:rsidRPr="00587723">
        <w:rPr>
          <w:rFonts w:hint="eastAsia"/>
          <w:sz w:val="20"/>
          <w:szCs w:val="20"/>
          <w:lang w:eastAsia="zh-HK"/>
        </w:rPr>
        <w:t>another equipment</w:t>
      </w:r>
      <w:proofErr w:type="gramEnd"/>
      <w:r w:rsidRPr="00587723">
        <w:rPr>
          <w:rFonts w:hint="eastAsia"/>
          <w:sz w:val="20"/>
          <w:szCs w:val="20"/>
          <w:lang w:eastAsia="zh-HK"/>
        </w:rPr>
        <w:t xml:space="preserve"> from </w:t>
      </w:r>
      <w:proofErr w:type="spellStart"/>
      <w:r w:rsidRPr="00587723">
        <w:rPr>
          <w:rFonts w:hint="eastAsia"/>
          <w:sz w:val="20"/>
          <w:szCs w:val="20"/>
          <w:lang w:eastAsia="zh-HK"/>
        </w:rPr>
        <w:t>PolyU</w:t>
      </w:r>
      <w:proofErr w:type="spellEnd"/>
      <w:r w:rsidR="00724AA5">
        <w:rPr>
          <w:rFonts w:hint="eastAsia"/>
          <w:sz w:val="20"/>
          <w:szCs w:val="20"/>
          <w:lang w:eastAsia="zh-HK"/>
        </w:rPr>
        <w:t xml:space="preserve"> since the </w:t>
      </w:r>
      <w:r w:rsidR="00724AA5">
        <w:rPr>
          <w:sz w:val="20"/>
          <w:szCs w:val="20"/>
          <w:lang w:eastAsia="zh-HK"/>
        </w:rPr>
        <w:t>original</w:t>
      </w:r>
      <w:r w:rsidR="00724AA5">
        <w:rPr>
          <w:rFonts w:hint="eastAsia"/>
          <w:sz w:val="20"/>
          <w:szCs w:val="20"/>
          <w:lang w:eastAsia="zh-HK"/>
        </w:rPr>
        <w:t xml:space="preserve"> instrument was out of service</w:t>
      </w:r>
      <w:r>
        <w:rPr>
          <w:rFonts w:hint="eastAsia"/>
          <w:sz w:val="20"/>
          <w:szCs w:val="20"/>
          <w:lang w:eastAsia="zh-HK"/>
        </w:rPr>
        <w:t>.</w:t>
      </w:r>
    </w:p>
    <w:p w:rsidR="00A202A8" w:rsidRDefault="00A202A8" w:rsidP="00A202A8">
      <w:pPr>
        <w:widowControl/>
        <w:rPr>
          <w:rFonts w:hint="eastAsia"/>
          <w:b/>
          <w:szCs w:val="24"/>
          <w:lang w:eastAsia="zh-HK"/>
        </w:rPr>
      </w:pPr>
    </w:p>
    <w:p w:rsidR="00587723" w:rsidRPr="00A202A8" w:rsidRDefault="00587723" w:rsidP="00A202A8">
      <w:pPr>
        <w:pStyle w:val="ListParagraph"/>
        <w:widowControl/>
        <w:numPr>
          <w:ilvl w:val="0"/>
          <w:numId w:val="1"/>
        </w:numPr>
        <w:ind w:leftChars="0"/>
        <w:rPr>
          <w:rFonts w:hint="eastAsia"/>
          <w:b/>
          <w:szCs w:val="24"/>
          <w:lang w:eastAsia="zh-HK"/>
        </w:rPr>
      </w:pPr>
      <w:r w:rsidRPr="00A202A8">
        <w:rPr>
          <w:rFonts w:hint="eastAsia"/>
          <w:b/>
          <w:szCs w:val="24"/>
          <w:lang w:eastAsia="zh-HK"/>
        </w:rPr>
        <w:t>Interpretation of Data</w:t>
      </w:r>
    </w:p>
    <w:p w:rsidR="00587723" w:rsidRDefault="00587723" w:rsidP="00587723">
      <w:pPr>
        <w:snapToGrid w:val="0"/>
        <w:jc w:val="both"/>
        <w:rPr>
          <w:rFonts w:hint="eastAsia"/>
          <w:szCs w:val="24"/>
          <w:lang w:eastAsia="zh-HK"/>
        </w:rPr>
      </w:pPr>
      <w:r>
        <w:rPr>
          <w:rFonts w:hint="eastAsia"/>
          <w:szCs w:val="24"/>
          <w:lang w:eastAsia="zh-HK"/>
        </w:rPr>
        <w:t>From the air monitoring taken in past few days, the concern over formaldehyde exposure could be excluded. Students could also be reassured by the declaration from Director of Campus Development that it has be</w:t>
      </w:r>
      <w:r w:rsidR="00724AA5">
        <w:rPr>
          <w:rFonts w:hint="eastAsia"/>
          <w:szCs w:val="24"/>
          <w:lang w:eastAsia="zh-HK"/>
        </w:rPr>
        <w:t>en</w:t>
      </w:r>
      <w:r>
        <w:rPr>
          <w:rFonts w:hint="eastAsia"/>
          <w:szCs w:val="24"/>
          <w:lang w:eastAsia="zh-HK"/>
        </w:rPr>
        <w:t xml:space="preserve"> CUHK practice of </w:t>
      </w:r>
      <w:r w:rsidR="00DA0B4A">
        <w:rPr>
          <w:rFonts w:hint="eastAsia"/>
          <w:szCs w:val="24"/>
          <w:lang w:eastAsia="zh-HK"/>
        </w:rPr>
        <w:t xml:space="preserve">using no or low VOC materials and </w:t>
      </w:r>
      <w:r>
        <w:rPr>
          <w:rFonts w:hint="eastAsia"/>
          <w:szCs w:val="24"/>
          <w:lang w:eastAsia="zh-HK"/>
        </w:rPr>
        <w:t xml:space="preserve">not using formaldehyde-containing materials and </w:t>
      </w:r>
      <w:r>
        <w:rPr>
          <w:szCs w:val="24"/>
          <w:lang w:eastAsia="zh-HK"/>
        </w:rPr>
        <w:t>furniture</w:t>
      </w:r>
      <w:r>
        <w:rPr>
          <w:rFonts w:hint="eastAsia"/>
          <w:szCs w:val="24"/>
          <w:lang w:eastAsia="zh-HK"/>
        </w:rPr>
        <w:t xml:space="preserve"> </w:t>
      </w:r>
      <w:r w:rsidR="00DA0B4A">
        <w:rPr>
          <w:rFonts w:hint="eastAsia"/>
          <w:szCs w:val="24"/>
          <w:lang w:eastAsia="zh-HK"/>
        </w:rPr>
        <w:t xml:space="preserve">in all construction projects within CUHK. </w:t>
      </w:r>
    </w:p>
    <w:p w:rsidR="00DA0B4A" w:rsidRDefault="00DA0B4A" w:rsidP="00587723">
      <w:pPr>
        <w:snapToGrid w:val="0"/>
        <w:jc w:val="both"/>
        <w:rPr>
          <w:rFonts w:hint="eastAsia"/>
          <w:szCs w:val="24"/>
          <w:lang w:eastAsia="zh-HK"/>
        </w:rPr>
      </w:pPr>
    </w:p>
    <w:p w:rsidR="00DA0B4A" w:rsidRDefault="00DA0B4A" w:rsidP="00587723">
      <w:pPr>
        <w:snapToGrid w:val="0"/>
        <w:jc w:val="both"/>
        <w:rPr>
          <w:rFonts w:hint="eastAsia"/>
          <w:szCs w:val="24"/>
          <w:lang w:eastAsia="zh-HK"/>
        </w:rPr>
      </w:pPr>
      <w:r>
        <w:rPr>
          <w:rFonts w:hint="eastAsia"/>
          <w:szCs w:val="24"/>
          <w:lang w:eastAsia="zh-HK"/>
        </w:rPr>
        <w:t xml:space="preserve">As for TVOC, care should be taken for data measured by using the equipment borrowed from </w:t>
      </w:r>
      <w:proofErr w:type="spellStart"/>
      <w:r>
        <w:rPr>
          <w:rFonts w:hint="eastAsia"/>
          <w:szCs w:val="24"/>
          <w:lang w:eastAsia="zh-HK"/>
        </w:rPr>
        <w:t>PolyU</w:t>
      </w:r>
      <w:proofErr w:type="spellEnd"/>
      <w:r>
        <w:rPr>
          <w:rFonts w:hint="eastAsia"/>
          <w:szCs w:val="24"/>
          <w:lang w:eastAsia="zh-HK"/>
        </w:rPr>
        <w:t xml:space="preserve"> as the equipment does not come with the external filter (PTFE filter) </w:t>
      </w:r>
      <w:r w:rsidR="00BB0BC4">
        <w:rPr>
          <w:rFonts w:hint="eastAsia"/>
          <w:szCs w:val="24"/>
          <w:lang w:eastAsia="zh-HK"/>
        </w:rPr>
        <w:t>for</w:t>
      </w:r>
      <w:r>
        <w:rPr>
          <w:rFonts w:hint="eastAsia"/>
          <w:szCs w:val="24"/>
          <w:lang w:eastAsia="zh-HK"/>
        </w:rPr>
        <w:t xml:space="preserve"> trap</w:t>
      </w:r>
      <w:r w:rsidR="00BB0BC4">
        <w:rPr>
          <w:rFonts w:hint="eastAsia"/>
          <w:szCs w:val="24"/>
          <w:lang w:eastAsia="zh-HK"/>
        </w:rPr>
        <w:t>ping</w:t>
      </w:r>
      <w:r>
        <w:rPr>
          <w:rFonts w:hint="eastAsia"/>
          <w:szCs w:val="24"/>
          <w:lang w:eastAsia="zh-HK"/>
        </w:rPr>
        <w:t xml:space="preserve"> dusts and moisture. </w:t>
      </w:r>
      <w:r>
        <w:rPr>
          <w:rFonts w:hint="eastAsia"/>
          <w:szCs w:val="24"/>
          <w:lang w:eastAsia="zh-HK"/>
        </w:rPr>
        <w:t xml:space="preserve">The students witnessing the measurement were also aware of the missing external filter </w:t>
      </w:r>
      <w:r w:rsidR="00BB0BC4">
        <w:rPr>
          <w:rFonts w:hint="eastAsia"/>
          <w:szCs w:val="24"/>
          <w:lang w:eastAsia="zh-HK"/>
        </w:rPr>
        <w:t>of</w:t>
      </w:r>
      <w:r>
        <w:rPr>
          <w:rFonts w:hint="eastAsia"/>
          <w:szCs w:val="24"/>
          <w:lang w:eastAsia="zh-HK"/>
        </w:rPr>
        <w:t xml:space="preserve"> that equipment.</w:t>
      </w:r>
      <w:r w:rsidR="00724AA5">
        <w:rPr>
          <w:rFonts w:hint="eastAsia"/>
          <w:szCs w:val="24"/>
          <w:lang w:eastAsia="zh-HK"/>
        </w:rPr>
        <w:t xml:space="preserve"> </w:t>
      </w:r>
      <w:r>
        <w:rPr>
          <w:rFonts w:hint="eastAsia"/>
          <w:szCs w:val="24"/>
          <w:lang w:eastAsia="zh-HK"/>
        </w:rPr>
        <w:t>According to the user</w:t>
      </w:r>
      <w:r>
        <w:rPr>
          <w:szCs w:val="24"/>
          <w:lang w:eastAsia="zh-HK"/>
        </w:rPr>
        <w:t>’</w:t>
      </w:r>
      <w:r>
        <w:rPr>
          <w:rFonts w:hint="eastAsia"/>
          <w:szCs w:val="24"/>
          <w:lang w:eastAsia="zh-HK"/>
        </w:rPr>
        <w:t xml:space="preserve">s manual of </w:t>
      </w:r>
      <w:proofErr w:type="spellStart"/>
      <w:r>
        <w:rPr>
          <w:rFonts w:hint="eastAsia"/>
          <w:szCs w:val="24"/>
          <w:lang w:eastAsia="zh-HK"/>
        </w:rPr>
        <w:t>ppbRAE</w:t>
      </w:r>
      <w:proofErr w:type="spellEnd"/>
      <w:r>
        <w:rPr>
          <w:rFonts w:hint="eastAsia"/>
          <w:szCs w:val="24"/>
          <w:lang w:eastAsia="zh-HK"/>
        </w:rPr>
        <w:t xml:space="preserve"> 3000, dirty filter and excessive </w:t>
      </w:r>
      <w:r>
        <w:rPr>
          <w:szCs w:val="24"/>
          <w:lang w:eastAsia="zh-HK"/>
        </w:rPr>
        <w:t>moisture</w:t>
      </w:r>
      <w:r>
        <w:rPr>
          <w:rFonts w:hint="eastAsia"/>
          <w:szCs w:val="24"/>
          <w:lang w:eastAsia="zh-HK"/>
        </w:rPr>
        <w:t xml:space="preserve"> would yield abnormally high reading and thus the reading should only be used with caution (Troubleshooting of </w:t>
      </w:r>
      <w:proofErr w:type="spellStart"/>
      <w:r>
        <w:rPr>
          <w:rFonts w:hint="eastAsia"/>
          <w:szCs w:val="24"/>
          <w:lang w:eastAsia="zh-HK"/>
        </w:rPr>
        <w:t>ppbRAE</w:t>
      </w:r>
      <w:proofErr w:type="spellEnd"/>
      <w:r>
        <w:rPr>
          <w:rFonts w:hint="eastAsia"/>
          <w:szCs w:val="24"/>
          <w:lang w:eastAsia="zh-HK"/>
        </w:rPr>
        <w:t xml:space="preserve"> 3000 User</w:t>
      </w:r>
      <w:r>
        <w:rPr>
          <w:szCs w:val="24"/>
          <w:lang w:eastAsia="zh-HK"/>
        </w:rPr>
        <w:t>’</w:t>
      </w:r>
      <w:r>
        <w:rPr>
          <w:rFonts w:hint="eastAsia"/>
          <w:szCs w:val="24"/>
          <w:lang w:eastAsia="zh-HK"/>
        </w:rPr>
        <w:t xml:space="preserve">s Guide). Therefore, the readings should be reasonably discounted. </w:t>
      </w:r>
    </w:p>
    <w:p w:rsidR="00DA0B4A" w:rsidRDefault="00DA0B4A" w:rsidP="00587723">
      <w:pPr>
        <w:snapToGrid w:val="0"/>
        <w:jc w:val="both"/>
        <w:rPr>
          <w:rFonts w:hint="eastAsia"/>
          <w:szCs w:val="24"/>
          <w:lang w:eastAsia="zh-HK"/>
        </w:rPr>
      </w:pPr>
    </w:p>
    <w:p w:rsidR="00D24F9F" w:rsidRDefault="00DA0B4A" w:rsidP="00587723">
      <w:pPr>
        <w:snapToGrid w:val="0"/>
        <w:jc w:val="both"/>
        <w:rPr>
          <w:rFonts w:hint="eastAsia"/>
          <w:szCs w:val="24"/>
          <w:lang w:eastAsia="zh-HK"/>
        </w:rPr>
      </w:pPr>
      <w:r>
        <w:rPr>
          <w:rFonts w:hint="eastAsia"/>
          <w:szCs w:val="24"/>
          <w:lang w:eastAsia="zh-HK"/>
        </w:rPr>
        <w:t xml:space="preserve">From the monitoring results of 16 hostel rooms, it was found that the TVOC levels were generally lower than 700 ppb (194 to 611 ppb) in an </w:t>
      </w:r>
      <w:proofErr w:type="spellStart"/>
      <w:r>
        <w:rPr>
          <w:rFonts w:hint="eastAsia"/>
          <w:szCs w:val="24"/>
          <w:lang w:eastAsia="zh-HK"/>
        </w:rPr>
        <w:t>unfavourable</w:t>
      </w:r>
      <w:proofErr w:type="spellEnd"/>
      <w:r>
        <w:rPr>
          <w:rFonts w:hint="eastAsia"/>
          <w:szCs w:val="24"/>
          <w:lang w:eastAsia="zh-HK"/>
        </w:rPr>
        <w:t xml:space="preserve"> (or inhabitable) conditions of having all the room windows closed with no fresh </w:t>
      </w:r>
      <w:r w:rsidR="00D24F9F">
        <w:rPr>
          <w:rFonts w:hint="eastAsia"/>
          <w:szCs w:val="24"/>
          <w:lang w:eastAsia="zh-HK"/>
        </w:rPr>
        <w:t>air supply</w:t>
      </w:r>
      <w:r w:rsidR="00724AA5">
        <w:rPr>
          <w:rFonts w:hint="eastAsia"/>
          <w:szCs w:val="24"/>
          <w:lang w:eastAsia="zh-HK"/>
        </w:rPr>
        <w:t xml:space="preserve"> throughout the sampling period</w:t>
      </w:r>
      <w:r w:rsidR="00D24F9F">
        <w:rPr>
          <w:rFonts w:hint="eastAsia"/>
          <w:szCs w:val="24"/>
          <w:lang w:eastAsia="zh-HK"/>
        </w:rPr>
        <w:t>. Since the testing conditions differ from</w:t>
      </w:r>
      <w:r w:rsidR="00BB0BC4">
        <w:rPr>
          <w:rFonts w:hint="eastAsia"/>
          <w:szCs w:val="24"/>
          <w:lang w:eastAsia="zh-HK"/>
        </w:rPr>
        <w:t xml:space="preserve"> the </w:t>
      </w:r>
      <w:r w:rsidR="00D24F9F">
        <w:rPr>
          <w:rFonts w:hint="eastAsia"/>
          <w:szCs w:val="24"/>
          <w:lang w:eastAsia="zh-HK"/>
        </w:rPr>
        <w:t xml:space="preserve">method suggested by </w:t>
      </w:r>
      <w:r w:rsidR="00BB0BC4">
        <w:rPr>
          <w:rFonts w:hint="eastAsia"/>
          <w:szCs w:val="24"/>
          <w:lang w:eastAsia="zh-HK"/>
        </w:rPr>
        <w:t xml:space="preserve">the </w:t>
      </w:r>
      <w:r w:rsidR="00D24F9F">
        <w:rPr>
          <w:rFonts w:hint="eastAsia"/>
          <w:szCs w:val="24"/>
          <w:lang w:eastAsia="zh-HK"/>
        </w:rPr>
        <w:t xml:space="preserve">IAQ Management Group, another TVOC </w:t>
      </w:r>
      <w:r w:rsidR="00BB0BC4">
        <w:rPr>
          <w:rFonts w:hint="eastAsia"/>
          <w:szCs w:val="24"/>
          <w:lang w:eastAsia="zh-HK"/>
        </w:rPr>
        <w:t xml:space="preserve">testing was also conducted </w:t>
      </w:r>
      <w:r w:rsidR="00D24F9F">
        <w:rPr>
          <w:rFonts w:hint="eastAsia"/>
          <w:szCs w:val="24"/>
          <w:lang w:eastAsia="zh-HK"/>
        </w:rPr>
        <w:t xml:space="preserve">in two hostel rooms at </w:t>
      </w:r>
      <w:proofErr w:type="spellStart"/>
      <w:r w:rsidR="00D24F9F">
        <w:rPr>
          <w:rFonts w:hint="eastAsia"/>
          <w:szCs w:val="24"/>
          <w:lang w:eastAsia="zh-HK"/>
        </w:rPr>
        <w:t>Chiangs</w:t>
      </w:r>
      <w:proofErr w:type="spellEnd"/>
      <w:r w:rsidR="00D24F9F">
        <w:rPr>
          <w:rFonts w:hint="eastAsia"/>
          <w:szCs w:val="24"/>
          <w:lang w:eastAsia="zh-HK"/>
        </w:rPr>
        <w:t xml:space="preserve"> Building with doors and windows closed. It was found that the TVOC levels </w:t>
      </w:r>
      <w:r w:rsidR="00C0029E">
        <w:rPr>
          <w:rFonts w:hint="eastAsia"/>
          <w:szCs w:val="24"/>
          <w:lang w:eastAsia="zh-HK"/>
        </w:rPr>
        <w:t xml:space="preserve">(four 30-min measurement) </w:t>
      </w:r>
      <w:r w:rsidR="00D24F9F">
        <w:rPr>
          <w:rFonts w:hint="eastAsia"/>
          <w:szCs w:val="24"/>
          <w:lang w:eastAsia="zh-HK"/>
        </w:rPr>
        <w:t xml:space="preserve">in two currently occupied hostel rooms were </w:t>
      </w:r>
      <w:r w:rsidR="00724AA5">
        <w:rPr>
          <w:rFonts w:hint="eastAsia"/>
          <w:szCs w:val="24"/>
          <w:lang w:eastAsia="zh-HK"/>
        </w:rPr>
        <w:t>450 ppb and 515 ppb that they were quite</w:t>
      </w:r>
      <w:r w:rsidR="00D24F9F">
        <w:rPr>
          <w:rFonts w:hint="eastAsia"/>
          <w:szCs w:val="24"/>
          <w:lang w:eastAsia="zh-HK"/>
        </w:rPr>
        <w:t xml:space="preserve"> similar to reading taken at the new buildings.</w:t>
      </w:r>
      <w:r w:rsidR="00C0029E">
        <w:rPr>
          <w:rFonts w:hint="eastAsia"/>
          <w:szCs w:val="24"/>
          <w:lang w:eastAsia="zh-HK"/>
        </w:rPr>
        <w:t xml:space="preserve"> It was also noted that the instance TVOC readings in two occupied rooms were even exceeding 800 ppb</w:t>
      </w:r>
      <w:r w:rsidR="00BB0BC4">
        <w:rPr>
          <w:rFonts w:hint="eastAsia"/>
          <w:szCs w:val="24"/>
          <w:lang w:eastAsia="zh-HK"/>
        </w:rPr>
        <w:t xml:space="preserve"> but</w:t>
      </w:r>
      <w:r w:rsidR="00C0029E">
        <w:rPr>
          <w:rFonts w:hint="eastAsia"/>
          <w:szCs w:val="24"/>
          <w:lang w:eastAsia="zh-HK"/>
        </w:rPr>
        <w:t xml:space="preserve"> no complaint was received from the occupants.</w:t>
      </w:r>
    </w:p>
    <w:p w:rsidR="00D24F9F" w:rsidRPr="00C0029E" w:rsidRDefault="00D24F9F" w:rsidP="00587723">
      <w:pPr>
        <w:snapToGrid w:val="0"/>
        <w:jc w:val="both"/>
        <w:rPr>
          <w:rFonts w:hint="eastAsia"/>
          <w:szCs w:val="24"/>
          <w:lang w:eastAsia="zh-HK"/>
        </w:rPr>
      </w:pPr>
    </w:p>
    <w:p w:rsidR="00D24F9F" w:rsidRDefault="00D24F9F" w:rsidP="00587723">
      <w:pPr>
        <w:snapToGrid w:val="0"/>
        <w:jc w:val="both"/>
        <w:rPr>
          <w:rFonts w:hint="eastAsia"/>
          <w:szCs w:val="24"/>
          <w:lang w:eastAsia="zh-HK"/>
        </w:rPr>
      </w:pPr>
      <w:r>
        <w:rPr>
          <w:rFonts w:hint="eastAsia"/>
          <w:szCs w:val="24"/>
          <w:lang w:eastAsia="zh-HK"/>
        </w:rPr>
        <w:t>Despite the prevailing TVOC readings are with</w:t>
      </w:r>
      <w:r w:rsidR="00724AA5">
        <w:rPr>
          <w:rFonts w:hint="eastAsia"/>
          <w:szCs w:val="24"/>
          <w:lang w:eastAsia="zh-HK"/>
        </w:rPr>
        <w:t>in</w:t>
      </w:r>
      <w:r>
        <w:rPr>
          <w:rFonts w:hint="eastAsia"/>
          <w:szCs w:val="24"/>
          <w:lang w:eastAsia="zh-HK"/>
        </w:rPr>
        <w:t xml:space="preserve"> the range of </w:t>
      </w:r>
      <w:r>
        <w:rPr>
          <w:szCs w:val="24"/>
          <w:lang w:eastAsia="zh-HK"/>
        </w:rPr>
        <w:t>multifactorial</w:t>
      </w:r>
      <w:r>
        <w:rPr>
          <w:rFonts w:hint="eastAsia"/>
          <w:szCs w:val="24"/>
          <w:lang w:eastAsia="zh-HK"/>
        </w:rPr>
        <w:t xml:space="preserve"> exposure suggested by </w:t>
      </w:r>
      <w:proofErr w:type="spellStart"/>
      <w:r>
        <w:rPr>
          <w:rFonts w:hint="eastAsia"/>
          <w:szCs w:val="24"/>
          <w:lang w:eastAsia="zh-HK"/>
        </w:rPr>
        <w:t>Molhave</w:t>
      </w:r>
      <w:proofErr w:type="spellEnd"/>
      <w:r>
        <w:rPr>
          <w:rFonts w:hint="eastAsia"/>
          <w:szCs w:val="24"/>
          <w:lang w:eastAsia="zh-HK"/>
        </w:rPr>
        <w:t xml:space="preserve"> (1991), it is still far below the range of discomfort (i.e. &lt;1,305 ppb)</w:t>
      </w:r>
      <w:r w:rsidR="00724AA5">
        <w:rPr>
          <w:rFonts w:hint="eastAsia"/>
          <w:szCs w:val="24"/>
          <w:lang w:eastAsia="zh-HK"/>
        </w:rPr>
        <w:t xml:space="preserve"> suggested by the same author</w:t>
      </w:r>
      <w:r>
        <w:rPr>
          <w:rFonts w:hint="eastAsia"/>
          <w:szCs w:val="24"/>
          <w:lang w:eastAsia="zh-HK"/>
        </w:rPr>
        <w:t xml:space="preserve">. Therefore, there is no evidence to prove that the </w:t>
      </w:r>
      <w:r>
        <w:rPr>
          <w:rFonts w:hint="eastAsia"/>
          <w:szCs w:val="24"/>
          <w:lang w:eastAsia="zh-HK"/>
        </w:rPr>
        <w:lastRenderedPageBreak/>
        <w:t>existing TVOC level would induce any adverse health effects in general public.</w:t>
      </w:r>
    </w:p>
    <w:p w:rsidR="00C0029E" w:rsidRDefault="00C0029E" w:rsidP="00587723">
      <w:pPr>
        <w:snapToGrid w:val="0"/>
        <w:jc w:val="both"/>
        <w:rPr>
          <w:rFonts w:hint="eastAsia"/>
          <w:szCs w:val="24"/>
          <w:lang w:eastAsia="zh-HK"/>
        </w:rPr>
      </w:pPr>
    </w:p>
    <w:p w:rsidR="00D24F9F" w:rsidRPr="00A202A8" w:rsidRDefault="00D24F9F" w:rsidP="00D24F9F">
      <w:pPr>
        <w:pStyle w:val="ListParagraph"/>
        <w:numPr>
          <w:ilvl w:val="0"/>
          <w:numId w:val="1"/>
        </w:numPr>
        <w:snapToGrid w:val="0"/>
        <w:ind w:leftChars="0"/>
        <w:jc w:val="both"/>
        <w:rPr>
          <w:rFonts w:hint="eastAsia"/>
          <w:b/>
          <w:szCs w:val="24"/>
          <w:lang w:eastAsia="zh-HK"/>
        </w:rPr>
      </w:pPr>
      <w:r w:rsidRPr="00A202A8">
        <w:rPr>
          <w:rFonts w:hint="eastAsia"/>
          <w:b/>
          <w:szCs w:val="24"/>
          <w:lang w:eastAsia="zh-HK"/>
        </w:rPr>
        <w:t xml:space="preserve"> Conclusion</w:t>
      </w:r>
    </w:p>
    <w:p w:rsidR="00A202A8" w:rsidRDefault="00D24F9F" w:rsidP="00D24F9F">
      <w:pPr>
        <w:snapToGrid w:val="0"/>
        <w:jc w:val="both"/>
        <w:rPr>
          <w:rFonts w:hint="eastAsia"/>
          <w:szCs w:val="24"/>
          <w:lang w:eastAsia="zh-HK"/>
        </w:rPr>
      </w:pPr>
      <w:r>
        <w:rPr>
          <w:rFonts w:hint="eastAsia"/>
          <w:szCs w:val="24"/>
          <w:lang w:eastAsia="zh-HK"/>
        </w:rPr>
        <w:t xml:space="preserve">There is no legislative requirement in Hong Kong to require developer to conduct thorough IAQ measurement at pre-occupational stage of any premises. The IAQ Objectives is by no </w:t>
      </w:r>
      <w:r>
        <w:rPr>
          <w:szCs w:val="24"/>
          <w:lang w:eastAsia="zh-HK"/>
        </w:rPr>
        <w:t>means</w:t>
      </w:r>
      <w:r w:rsidR="00C0029E">
        <w:rPr>
          <w:rFonts w:hint="eastAsia"/>
          <w:szCs w:val="24"/>
          <w:lang w:eastAsia="zh-HK"/>
        </w:rPr>
        <w:t xml:space="preserve"> being</w:t>
      </w:r>
      <w:r>
        <w:rPr>
          <w:rFonts w:hint="eastAsia"/>
          <w:szCs w:val="24"/>
          <w:lang w:eastAsia="zh-HK"/>
        </w:rPr>
        <w:t xml:space="preserve"> the </w:t>
      </w:r>
      <w:r>
        <w:rPr>
          <w:szCs w:val="24"/>
          <w:lang w:eastAsia="zh-HK"/>
        </w:rPr>
        <w:t>statutory</w:t>
      </w:r>
      <w:r>
        <w:rPr>
          <w:rFonts w:hint="eastAsia"/>
          <w:szCs w:val="24"/>
          <w:lang w:eastAsia="zh-HK"/>
        </w:rPr>
        <w:t xml:space="preserve"> requirement but </w:t>
      </w:r>
      <w:r w:rsidR="00C0029E">
        <w:rPr>
          <w:rFonts w:hint="eastAsia"/>
          <w:szCs w:val="24"/>
          <w:lang w:eastAsia="zh-HK"/>
        </w:rPr>
        <w:t xml:space="preserve">serving </w:t>
      </w:r>
      <w:r>
        <w:rPr>
          <w:rFonts w:hint="eastAsia"/>
          <w:szCs w:val="24"/>
          <w:lang w:eastAsia="zh-HK"/>
        </w:rPr>
        <w:t xml:space="preserve">as a good practice and reference. </w:t>
      </w:r>
      <w:r w:rsidR="00A202A8">
        <w:rPr>
          <w:rFonts w:hint="eastAsia"/>
          <w:szCs w:val="24"/>
          <w:lang w:eastAsia="zh-HK"/>
        </w:rPr>
        <w:t>According to the recent visit by the Environmental Protector Officer</w:t>
      </w:r>
      <w:r w:rsidR="00724AA5">
        <w:rPr>
          <w:rFonts w:hint="eastAsia"/>
          <w:szCs w:val="24"/>
          <w:lang w:eastAsia="zh-HK"/>
        </w:rPr>
        <w:t>s</w:t>
      </w:r>
      <w:r w:rsidR="00A202A8">
        <w:rPr>
          <w:rFonts w:hint="eastAsia"/>
          <w:szCs w:val="24"/>
          <w:lang w:eastAsia="zh-HK"/>
        </w:rPr>
        <w:t xml:space="preserve"> of EPD</w:t>
      </w:r>
      <w:r w:rsidR="00C0029E">
        <w:rPr>
          <w:rFonts w:hint="eastAsia"/>
          <w:szCs w:val="24"/>
          <w:lang w:eastAsia="zh-HK"/>
        </w:rPr>
        <w:t xml:space="preserve"> on 31 December 2018</w:t>
      </w:r>
      <w:r w:rsidR="00A202A8">
        <w:rPr>
          <w:rFonts w:hint="eastAsia"/>
          <w:szCs w:val="24"/>
          <w:lang w:eastAsia="zh-HK"/>
        </w:rPr>
        <w:t>, they</w:t>
      </w:r>
      <w:r w:rsidR="00C0029E">
        <w:rPr>
          <w:rFonts w:hint="eastAsia"/>
          <w:szCs w:val="24"/>
          <w:lang w:eastAsia="zh-HK"/>
        </w:rPr>
        <w:t xml:space="preserve"> also</w:t>
      </w:r>
      <w:r w:rsidR="00A202A8">
        <w:rPr>
          <w:rFonts w:hint="eastAsia"/>
          <w:szCs w:val="24"/>
          <w:lang w:eastAsia="zh-HK"/>
        </w:rPr>
        <w:t xml:space="preserve"> considered the condition in JCPGH 2 &amp; 3 acceptable and the</w:t>
      </w:r>
      <w:r w:rsidR="00724AA5">
        <w:rPr>
          <w:rFonts w:hint="eastAsia"/>
          <w:szCs w:val="24"/>
          <w:lang w:eastAsia="zh-HK"/>
        </w:rPr>
        <w:t xml:space="preserve"> IAQ</w:t>
      </w:r>
      <w:r w:rsidR="00A202A8">
        <w:rPr>
          <w:rFonts w:hint="eastAsia"/>
          <w:szCs w:val="24"/>
          <w:lang w:eastAsia="zh-HK"/>
        </w:rPr>
        <w:t xml:space="preserve"> complaint was not justifiable</w:t>
      </w:r>
      <w:r w:rsidR="00724AA5">
        <w:rPr>
          <w:rFonts w:hint="eastAsia"/>
          <w:szCs w:val="24"/>
          <w:lang w:eastAsia="zh-HK"/>
        </w:rPr>
        <w:t xml:space="preserve"> and substantiated</w:t>
      </w:r>
      <w:r w:rsidR="00A202A8">
        <w:rPr>
          <w:rFonts w:hint="eastAsia"/>
          <w:szCs w:val="24"/>
          <w:lang w:eastAsia="zh-HK"/>
        </w:rPr>
        <w:t>.</w:t>
      </w:r>
      <w:r w:rsidR="00C0029E">
        <w:rPr>
          <w:rFonts w:hint="eastAsia"/>
          <w:szCs w:val="24"/>
          <w:lang w:eastAsia="zh-HK"/>
        </w:rPr>
        <w:t xml:space="preserve"> Having reviewed by various governmental departments, no breach of prevailing rules and regulations is observed.</w:t>
      </w:r>
      <w:r w:rsidR="00A202A8">
        <w:rPr>
          <w:rFonts w:hint="eastAsia"/>
          <w:szCs w:val="24"/>
          <w:lang w:eastAsia="zh-HK"/>
        </w:rPr>
        <w:t xml:space="preserve"> Since t</w:t>
      </w:r>
      <w:r w:rsidR="00C0029E">
        <w:rPr>
          <w:rFonts w:hint="eastAsia"/>
          <w:szCs w:val="24"/>
          <w:lang w:eastAsia="zh-HK"/>
        </w:rPr>
        <w:t>he result of TVOC measurement presented in this paper represents the</w:t>
      </w:r>
      <w:r w:rsidR="00A202A8">
        <w:rPr>
          <w:rFonts w:hint="eastAsia"/>
          <w:szCs w:val="24"/>
          <w:lang w:eastAsia="zh-HK"/>
        </w:rPr>
        <w:t xml:space="preserve"> </w:t>
      </w:r>
      <w:r w:rsidR="00A202A8">
        <w:rPr>
          <w:szCs w:val="24"/>
          <w:lang w:eastAsia="zh-HK"/>
        </w:rPr>
        <w:t>worst case</w:t>
      </w:r>
      <w:r w:rsidR="00A202A8">
        <w:rPr>
          <w:rFonts w:hint="eastAsia"/>
          <w:szCs w:val="24"/>
          <w:lang w:eastAsia="zh-HK"/>
        </w:rPr>
        <w:t xml:space="preserve"> scenario</w:t>
      </w:r>
      <w:r w:rsidR="00C0029E">
        <w:rPr>
          <w:rFonts w:hint="eastAsia"/>
          <w:szCs w:val="24"/>
          <w:lang w:eastAsia="zh-HK"/>
        </w:rPr>
        <w:t xml:space="preserve"> when the measurement</w:t>
      </w:r>
      <w:r w:rsidR="00DB518A">
        <w:rPr>
          <w:rFonts w:hint="eastAsia"/>
          <w:szCs w:val="24"/>
          <w:lang w:eastAsia="zh-HK"/>
        </w:rPr>
        <w:t>s were</w:t>
      </w:r>
      <w:r w:rsidR="00C0029E">
        <w:rPr>
          <w:rFonts w:hint="eastAsia"/>
          <w:szCs w:val="24"/>
          <w:lang w:eastAsia="zh-HK"/>
        </w:rPr>
        <w:t xml:space="preserve"> taken with door and windows closed</w:t>
      </w:r>
      <w:r w:rsidR="00A202A8">
        <w:rPr>
          <w:rFonts w:hint="eastAsia"/>
          <w:szCs w:val="24"/>
          <w:lang w:eastAsia="zh-HK"/>
        </w:rPr>
        <w:t xml:space="preserve">, it is believed that the IAQ within the premises </w:t>
      </w:r>
      <w:r w:rsidR="00C0029E">
        <w:rPr>
          <w:rFonts w:hint="eastAsia"/>
          <w:szCs w:val="24"/>
          <w:lang w:eastAsia="zh-HK"/>
        </w:rPr>
        <w:t>c</w:t>
      </w:r>
      <w:r w:rsidR="00A202A8">
        <w:rPr>
          <w:rFonts w:hint="eastAsia"/>
          <w:szCs w:val="24"/>
          <w:lang w:eastAsia="zh-HK"/>
        </w:rPr>
        <w:t>ould be greatly improved by opening t</w:t>
      </w:r>
      <w:r w:rsidR="00BB0BC4">
        <w:rPr>
          <w:rFonts w:hint="eastAsia"/>
          <w:szCs w:val="24"/>
          <w:lang w:eastAsia="zh-HK"/>
        </w:rPr>
        <w:t>he window when they are</w:t>
      </w:r>
      <w:bookmarkStart w:id="0" w:name="_GoBack"/>
      <w:bookmarkEnd w:id="0"/>
      <w:r w:rsidR="00A202A8">
        <w:rPr>
          <w:rFonts w:hint="eastAsia"/>
          <w:szCs w:val="24"/>
          <w:lang w:eastAsia="zh-HK"/>
        </w:rPr>
        <w:t xml:space="preserve"> occupied. </w:t>
      </w:r>
    </w:p>
    <w:p w:rsidR="00A202A8" w:rsidRDefault="00A202A8" w:rsidP="00D24F9F">
      <w:pPr>
        <w:snapToGrid w:val="0"/>
        <w:jc w:val="both"/>
        <w:rPr>
          <w:rFonts w:hint="eastAsia"/>
          <w:szCs w:val="24"/>
          <w:lang w:eastAsia="zh-HK"/>
        </w:rPr>
      </w:pPr>
    </w:p>
    <w:p w:rsidR="00A202A8" w:rsidRPr="00A202A8" w:rsidRDefault="00A202A8" w:rsidP="00A202A8">
      <w:pPr>
        <w:pStyle w:val="ListParagraph"/>
        <w:numPr>
          <w:ilvl w:val="0"/>
          <w:numId w:val="1"/>
        </w:numPr>
        <w:snapToGrid w:val="0"/>
        <w:ind w:leftChars="0"/>
        <w:jc w:val="both"/>
        <w:rPr>
          <w:rFonts w:hint="eastAsia"/>
          <w:b/>
          <w:szCs w:val="24"/>
          <w:lang w:eastAsia="zh-HK"/>
        </w:rPr>
      </w:pPr>
      <w:r w:rsidRPr="00A202A8">
        <w:rPr>
          <w:rFonts w:hint="eastAsia"/>
          <w:b/>
          <w:szCs w:val="24"/>
          <w:lang w:eastAsia="zh-HK"/>
        </w:rPr>
        <w:t>References</w:t>
      </w:r>
    </w:p>
    <w:p w:rsidR="00A202A8" w:rsidRPr="00A202A8" w:rsidRDefault="00A202A8" w:rsidP="00C0029E">
      <w:pPr>
        <w:jc w:val="both"/>
        <w:rPr>
          <w:rFonts w:hint="eastAsia"/>
          <w:i/>
          <w:lang w:eastAsia="zh-HK"/>
        </w:rPr>
      </w:pPr>
      <w:r>
        <w:rPr>
          <w:rFonts w:hint="eastAsia"/>
        </w:rPr>
        <w:t>Indoor Air Quality Management Group</w:t>
      </w:r>
      <w:r>
        <w:rPr>
          <w:rFonts w:hint="eastAsia"/>
        </w:rPr>
        <w:t xml:space="preserve"> (2003)</w:t>
      </w:r>
      <w:r>
        <w:rPr>
          <w:rFonts w:hint="eastAsia"/>
          <w:lang w:eastAsia="zh-HK"/>
        </w:rPr>
        <w:t>.</w:t>
      </w:r>
      <w:r>
        <w:rPr>
          <w:rFonts w:hint="eastAsia"/>
        </w:rPr>
        <w:t xml:space="preserve"> </w:t>
      </w:r>
      <w:proofErr w:type="gramStart"/>
      <w:r w:rsidRPr="00A202A8">
        <w:rPr>
          <w:rFonts w:hint="eastAsia"/>
        </w:rPr>
        <w:t>Guidance Notes for the Management of Indoor Air Quality in Offices and Public Places</w:t>
      </w:r>
      <w:r>
        <w:rPr>
          <w:rFonts w:hint="eastAsia"/>
          <w:lang w:eastAsia="zh-HK"/>
        </w:rPr>
        <w:t>.</w:t>
      </w:r>
      <w:proofErr w:type="gramEnd"/>
      <w:r>
        <w:rPr>
          <w:rFonts w:hint="eastAsia"/>
          <w:lang w:eastAsia="zh-HK"/>
        </w:rPr>
        <w:t xml:space="preserve"> </w:t>
      </w:r>
      <w:proofErr w:type="gramStart"/>
      <w:r>
        <w:rPr>
          <w:rFonts w:hint="eastAsia"/>
          <w:lang w:eastAsia="zh-HK"/>
        </w:rPr>
        <w:t>Environmental Protection Department.</w:t>
      </w:r>
      <w:proofErr w:type="gramEnd"/>
      <w:r>
        <w:rPr>
          <w:rFonts w:hint="eastAsia"/>
          <w:lang w:eastAsia="zh-HK"/>
        </w:rPr>
        <w:t xml:space="preserve">  </w:t>
      </w:r>
      <w:proofErr w:type="gramStart"/>
      <w:r>
        <w:rPr>
          <w:rFonts w:hint="eastAsia"/>
          <w:lang w:eastAsia="zh-HK"/>
        </w:rPr>
        <w:t>Hong Kong Special Administrative Region Government.</w:t>
      </w:r>
      <w:proofErr w:type="gramEnd"/>
    </w:p>
    <w:p w:rsidR="00A202A8" w:rsidRPr="00A202A8" w:rsidRDefault="00A202A8" w:rsidP="00C0029E">
      <w:pPr>
        <w:snapToGrid w:val="0"/>
        <w:jc w:val="both"/>
        <w:rPr>
          <w:rFonts w:hint="eastAsia"/>
          <w:szCs w:val="24"/>
          <w:lang w:eastAsia="zh-HK"/>
        </w:rPr>
      </w:pPr>
    </w:p>
    <w:p w:rsidR="00A202A8" w:rsidRDefault="00A202A8" w:rsidP="00C0029E">
      <w:pPr>
        <w:snapToGrid w:val="0"/>
        <w:jc w:val="both"/>
        <w:rPr>
          <w:rFonts w:hint="eastAsia"/>
          <w:szCs w:val="24"/>
          <w:lang w:eastAsia="zh-HK"/>
        </w:rPr>
      </w:pPr>
      <w:proofErr w:type="spellStart"/>
      <w:r>
        <w:rPr>
          <w:rFonts w:hint="eastAsia"/>
          <w:szCs w:val="24"/>
          <w:lang w:eastAsia="zh-HK"/>
        </w:rPr>
        <w:t>Molhave</w:t>
      </w:r>
      <w:proofErr w:type="spellEnd"/>
      <w:r>
        <w:rPr>
          <w:rFonts w:hint="eastAsia"/>
          <w:szCs w:val="24"/>
          <w:lang w:eastAsia="zh-HK"/>
        </w:rPr>
        <w:t xml:space="preserve">, L. (1991). </w:t>
      </w:r>
      <w:proofErr w:type="gramStart"/>
      <w:r>
        <w:rPr>
          <w:rFonts w:hint="eastAsia"/>
          <w:szCs w:val="24"/>
          <w:lang w:eastAsia="zh-HK"/>
        </w:rPr>
        <w:t xml:space="preserve">Volatile organic compounds, indoor air </w:t>
      </w:r>
      <w:r>
        <w:rPr>
          <w:szCs w:val="24"/>
          <w:lang w:eastAsia="zh-HK"/>
        </w:rPr>
        <w:t>quality</w:t>
      </w:r>
      <w:r>
        <w:rPr>
          <w:rFonts w:hint="eastAsia"/>
          <w:szCs w:val="24"/>
          <w:lang w:eastAsia="zh-HK"/>
        </w:rPr>
        <w:t xml:space="preserve"> and health.</w:t>
      </w:r>
      <w:proofErr w:type="gramEnd"/>
      <w:r>
        <w:rPr>
          <w:rFonts w:hint="eastAsia"/>
          <w:szCs w:val="24"/>
          <w:lang w:eastAsia="zh-HK"/>
        </w:rPr>
        <w:t xml:space="preserve"> Indoor Air, 4, 357-376.</w:t>
      </w:r>
    </w:p>
    <w:p w:rsidR="00A202A8" w:rsidRDefault="00A202A8" w:rsidP="00A202A8">
      <w:pPr>
        <w:snapToGrid w:val="0"/>
        <w:jc w:val="both"/>
        <w:rPr>
          <w:rFonts w:hint="eastAsia"/>
          <w:szCs w:val="24"/>
          <w:lang w:eastAsia="zh-HK"/>
        </w:rPr>
      </w:pPr>
    </w:p>
    <w:p w:rsidR="00A202A8" w:rsidRPr="00A202A8" w:rsidRDefault="00A202A8" w:rsidP="00A202A8">
      <w:pPr>
        <w:snapToGrid w:val="0"/>
        <w:jc w:val="both"/>
        <w:rPr>
          <w:rFonts w:hint="eastAsia"/>
          <w:szCs w:val="24"/>
          <w:lang w:eastAsia="zh-HK"/>
        </w:rPr>
      </w:pPr>
    </w:p>
    <w:p w:rsidR="00A202A8" w:rsidRDefault="00A202A8" w:rsidP="00D24F9F">
      <w:pPr>
        <w:snapToGrid w:val="0"/>
        <w:jc w:val="both"/>
        <w:rPr>
          <w:rFonts w:hint="eastAsia"/>
          <w:szCs w:val="24"/>
          <w:lang w:eastAsia="zh-HK"/>
        </w:rPr>
      </w:pPr>
    </w:p>
    <w:p w:rsidR="00A202A8" w:rsidRDefault="00A202A8" w:rsidP="00D24F9F">
      <w:pPr>
        <w:snapToGrid w:val="0"/>
        <w:jc w:val="both"/>
        <w:rPr>
          <w:rFonts w:hint="eastAsia"/>
          <w:szCs w:val="24"/>
          <w:lang w:eastAsia="zh-HK"/>
        </w:rPr>
      </w:pPr>
      <w:r>
        <w:rPr>
          <w:rFonts w:hint="eastAsia"/>
          <w:szCs w:val="24"/>
          <w:lang w:eastAsia="zh-HK"/>
        </w:rPr>
        <w:t>University Safety Office</w:t>
      </w:r>
    </w:p>
    <w:p w:rsidR="00D24F9F" w:rsidRPr="00D24F9F" w:rsidRDefault="00A202A8" w:rsidP="00D24F9F">
      <w:pPr>
        <w:snapToGrid w:val="0"/>
        <w:jc w:val="both"/>
        <w:rPr>
          <w:szCs w:val="24"/>
          <w:lang w:eastAsia="zh-HK"/>
        </w:rPr>
      </w:pPr>
      <w:r>
        <w:rPr>
          <w:rFonts w:hint="eastAsia"/>
          <w:szCs w:val="24"/>
          <w:lang w:eastAsia="zh-HK"/>
        </w:rPr>
        <w:t xml:space="preserve">4 January 2019 </w:t>
      </w:r>
    </w:p>
    <w:sectPr w:rsidR="00D24F9F" w:rsidRPr="00D24F9F" w:rsidSect="00A202A8">
      <w:footerReference w:type="default" r:id="rId9"/>
      <w:pgSz w:w="11906" w:h="16838"/>
      <w:pgMar w:top="1560" w:right="1800" w:bottom="1701"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ADC" w:rsidRDefault="00C23ADC" w:rsidP="00A202A8">
      <w:r>
        <w:separator/>
      </w:r>
    </w:p>
  </w:endnote>
  <w:endnote w:type="continuationSeparator" w:id="0">
    <w:p w:rsidR="00C23ADC" w:rsidRDefault="00C23ADC" w:rsidP="00A20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641602"/>
      <w:docPartObj>
        <w:docPartGallery w:val="Page Numbers (Bottom of Page)"/>
        <w:docPartUnique/>
      </w:docPartObj>
    </w:sdtPr>
    <w:sdtEndPr>
      <w:rPr>
        <w:noProof/>
      </w:rPr>
    </w:sdtEndPr>
    <w:sdtContent>
      <w:p w:rsidR="00A202A8" w:rsidRDefault="00A202A8">
        <w:pPr>
          <w:pStyle w:val="Footer"/>
          <w:jc w:val="right"/>
        </w:pPr>
        <w:r>
          <w:fldChar w:fldCharType="begin"/>
        </w:r>
        <w:r>
          <w:instrText xml:space="preserve"> PAGE   \* MERGEFORMAT </w:instrText>
        </w:r>
        <w:r>
          <w:fldChar w:fldCharType="separate"/>
        </w:r>
        <w:r w:rsidR="00BB0BC4">
          <w:rPr>
            <w:noProof/>
          </w:rPr>
          <w:t>5</w:t>
        </w:r>
        <w:r>
          <w:rPr>
            <w:noProof/>
          </w:rPr>
          <w:fldChar w:fldCharType="end"/>
        </w:r>
      </w:p>
    </w:sdtContent>
  </w:sdt>
  <w:p w:rsidR="00A202A8" w:rsidRDefault="00A202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ADC" w:rsidRDefault="00C23ADC" w:rsidP="00A202A8">
      <w:r>
        <w:separator/>
      </w:r>
    </w:p>
  </w:footnote>
  <w:footnote w:type="continuationSeparator" w:id="0">
    <w:p w:rsidR="00C23ADC" w:rsidRDefault="00C23ADC" w:rsidP="00A202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B63B4"/>
    <w:multiLevelType w:val="hybridMultilevel"/>
    <w:tmpl w:val="1A3A92DC"/>
    <w:lvl w:ilvl="0" w:tplc="D8606A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48860541"/>
    <w:multiLevelType w:val="hybridMultilevel"/>
    <w:tmpl w:val="5C6C0D78"/>
    <w:lvl w:ilvl="0" w:tplc="04090019">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F0C3864"/>
    <w:multiLevelType w:val="hybridMultilevel"/>
    <w:tmpl w:val="0B54F6D4"/>
    <w:lvl w:ilvl="0" w:tplc="AF1AE7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7DD816C4"/>
    <w:multiLevelType w:val="hybridMultilevel"/>
    <w:tmpl w:val="853A873C"/>
    <w:lvl w:ilvl="0" w:tplc="246805DE">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CFA"/>
    <w:rsid w:val="00076FFB"/>
    <w:rsid w:val="000F6874"/>
    <w:rsid w:val="00300ED2"/>
    <w:rsid w:val="004129CE"/>
    <w:rsid w:val="004D2507"/>
    <w:rsid w:val="0056458A"/>
    <w:rsid w:val="00587723"/>
    <w:rsid w:val="00724AA5"/>
    <w:rsid w:val="00737E1E"/>
    <w:rsid w:val="007B4F9D"/>
    <w:rsid w:val="007F1C5F"/>
    <w:rsid w:val="00860279"/>
    <w:rsid w:val="008B3AE3"/>
    <w:rsid w:val="00933CFA"/>
    <w:rsid w:val="00A202A8"/>
    <w:rsid w:val="00AA682F"/>
    <w:rsid w:val="00BB0BC4"/>
    <w:rsid w:val="00C0012D"/>
    <w:rsid w:val="00C0029E"/>
    <w:rsid w:val="00C23ADC"/>
    <w:rsid w:val="00CA1FD2"/>
    <w:rsid w:val="00D24F9F"/>
    <w:rsid w:val="00DA0B4A"/>
    <w:rsid w:val="00DB518A"/>
    <w:rsid w:val="00E31F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2D"/>
    <w:pPr>
      <w:ind w:leftChars="200" w:left="480"/>
    </w:pPr>
  </w:style>
  <w:style w:type="table" w:styleId="TableGrid">
    <w:name w:val="Table Grid"/>
    <w:basedOn w:val="TableNormal"/>
    <w:uiPriority w:val="59"/>
    <w:rsid w:val="00E31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202A8"/>
    <w:pPr>
      <w:snapToGrid w:val="0"/>
    </w:pPr>
    <w:rPr>
      <w:sz w:val="20"/>
      <w:szCs w:val="20"/>
    </w:rPr>
  </w:style>
  <w:style w:type="character" w:customStyle="1" w:styleId="FootnoteTextChar">
    <w:name w:val="Footnote Text Char"/>
    <w:basedOn w:val="DefaultParagraphFont"/>
    <w:link w:val="FootnoteText"/>
    <w:uiPriority w:val="99"/>
    <w:semiHidden/>
    <w:rsid w:val="00A202A8"/>
    <w:rPr>
      <w:sz w:val="20"/>
      <w:szCs w:val="20"/>
    </w:rPr>
  </w:style>
  <w:style w:type="character" w:styleId="FootnoteReference">
    <w:name w:val="footnote reference"/>
    <w:basedOn w:val="DefaultParagraphFont"/>
    <w:uiPriority w:val="99"/>
    <w:semiHidden/>
    <w:unhideWhenUsed/>
    <w:rsid w:val="00A202A8"/>
    <w:rPr>
      <w:vertAlign w:val="superscript"/>
    </w:rPr>
  </w:style>
  <w:style w:type="paragraph" w:styleId="Header">
    <w:name w:val="header"/>
    <w:basedOn w:val="Normal"/>
    <w:link w:val="HeaderChar"/>
    <w:uiPriority w:val="99"/>
    <w:unhideWhenUsed/>
    <w:rsid w:val="00A202A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202A8"/>
    <w:rPr>
      <w:sz w:val="20"/>
      <w:szCs w:val="20"/>
    </w:rPr>
  </w:style>
  <w:style w:type="paragraph" w:styleId="Footer">
    <w:name w:val="footer"/>
    <w:basedOn w:val="Normal"/>
    <w:link w:val="FooterChar"/>
    <w:uiPriority w:val="99"/>
    <w:unhideWhenUsed/>
    <w:rsid w:val="00A202A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202A8"/>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2D"/>
    <w:pPr>
      <w:ind w:leftChars="200" w:left="480"/>
    </w:pPr>
  </w:style>
  <w:style w:type="table" w:styleId="TableGrid">
    <w:name w:val="Table Grid"/>
    <w:basedOn w:val="TableNormal"/>
    <w:uiPriority w:val="59"/>
    <w:rsid w:val="00E31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202A8"/>
    <w:pPr>
      <w:snapToGrid w:val="0"/>
    </w:pPr>
    <w:rPr>
      <w:sz w:val="20"/>
      <w:szCs w:val="20"/>
    </w:rPr>
  </w:style>
  <w:style w:type="character" w:customStyle="1" w:styleId="FootnoteTextChar">
    <w:name w:val="Footnote Text Char"/>
    <w:basedOn w:val="DefaultParagraphFont"/>
    <w:link w:val="FootnoteText"/>
    <w:uiPriority w:val="99"/>
    <w:semiHidden/>
    <w:rsid w:val="00A202A8"/>
    <w:rPr>
      <w:sz w:val="20"/>
      <w:szCs w:val="20"/>
    </w:rPr>
  </w:style>
  <w:style w:type="character" w:styleId="FootnoteReference">
    <w:name w:val="footnote reference"/>
    <w:basedOn w:val="DefaultParagraphFont"/>
    <w:uiPriority w:val="99"/>
    <w:semiHidden/>
    <w:unhideWhenUsed/>
    <w:rsid w:val="00A202A8"/>
    <w:rPr>
      <w:vertAlign w:val="superscript"/>
    </w:rPr>
  </w:style>
  <w:style w:type="paragraph" w:styleId="Header">
    <w:name w:val="header"/>
    <w:basedOn w:val="Normal"/>
    <w:link w:val="HeaderChar"/>
    <w:uiPriority w:val="99"/>
    <w:unhideWhenUsed/>
    <w:rsid w:val="00A202A8"/>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A202A8"/>
    <w:rPr>
      <w:sz w:val="20"/>
      <w:szCs w:val="20"/>
    </w:rPr>
  </w:style>
  <w:style w:type="paragraph" w:styleId="Footer">
    <w:name w:val="footer"/>
    <w:basedOn w:val="Normal"/>
    <w:link w:val="FooterChar"/>
    <w:uiPriority w:val="99"/>
    <w:unhideWhenUsed/>
    <w:rsid w:val="00A202A8"/>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A202A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063701-D11F-43DA-B9B1-73AA65145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5</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Ralph_Lee</dc:creator>
  <cp:lastModifiedBy>Ralph_Lee</cp:lastModifiedBy>
  <cp:revision>4</cp:revision>
  <dcterms:created xsi:type="dcterms:W3CDTF">2019-01-04T01:41:00Z</dcterms:created>
  <dcterms:modified xsi:type="dcterms:W3CDTF">2019-01-04T08:03:00Z</dcterms:modified>
</cp:coreProperties>
</file>