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drives industrial output in five emerging economies</w:t>
      </w:r>
    </w:p>
    <w:p>
      <w:pPr>
        <w:pStyle w:val="Subtitle"/>
      </w:pPr>
      <w:r>
        <w:t xml:space="preserve">Across 27 years of monthly data, global risk appetite, rather than domestic policy rates, is the robust driver of industrial output</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What moves industrial output growth in a small set of open emerging economies: domestic monetary policy, or conditions set abroad?</w:t>
            </w:r>
          </w:p>
          <w:p>
            <w:pPr>
              <w:pStyle w:val="Compact"/>
              <w:numPr>
                <w:ilvl w:val="0"/>
                <w:numId w:val="1001"/>
              </w:numPr>
            </w:pPr>
            <w:r>
              <w:rPr>
                <w:b/>
                <w:bCs/>
              </w:rPr>
              <w:t xml:space="preserve">Approach.</w:t>
            </w:r>
            <w:r>
              <w:t xml:space="preserve"> </w:t>
            </w:r>
            <w:r>
              <w:t xml:space="preserve">A dynamic panel of five economies, monthly from 1999 to 2026, estimated by several methods that treat persistence and endogeneity differently.</w:t>
            </w:r>
          </w:p>
          <w:p>
            <w:pPr>
              <w:pStyle w:val="Compact"/>
              <w:numPr>
                <w:ilvl w:val="0"/>
                <w:numId w:val="1001"/>
              </w:numPr>
            </w:pPr>
            <w:r>
              <w:rPr>
                <w:b/>
                <w:bCs/>
              </w:rPr>
              <w:t xml:space="preserve">Finding.</w:t>
            </w:r>
            <w:r>
              <w:t xml:space="preserve"> </w:t>
            </w:r>
            <w:r>
              <w:t xml:space="preserve">Output growth is highly persistent. Global risk appetite is the one driver that survives every specification. The policy rate has no measurable direct effect.</w:t>
            </w:r>
          </w:p>
          <w:p>
            <w:pPr>
              <w:pStyle w:val="Compact"/>
              <w:numPr>
                <w:ilvl w:val="0"/>
                <w:numId w:val="1001"/>
              </w:numPr>
            </w:pPr>
            <w:r>
              <w:rPr>
                <w:b/>
                <w:bCs/>
              </w:rPr>
              <w:t xml:space="preserve">Why it matters.</w:t>
            </w:r>
            <w:r>
              <w:t xml:space="preserve"> </w:t>
            </w:r>
            <w:r>
              <w:t xml:space="preserve">For a forecaster or a policymaker, it shifts attention from the domestic rate path to the global risk regime, and it shows how fragile a</w:t>
            </w:r>
            <w:r>
              <w:t xml:space="preserve"> </w:t>
            </w:r>
            <w:r>
              <w:t xml:space="preserve">“significant”</w:t>
            </w:r>
            <w:r>
              <w:t xml:space="preserve"> </w:t>
            </w:r>
            <w:r>
              <w:t xml:space="preserve">policy effect can be.</w:t>
            </w:r>
          </w:p>
        </w:tc>
      </w:tr>
    </w:tbl>
    <w:bookmarkStart w:id="9" w:name="the-question"/>
    <w:p>
      <w:pPr>
        <w:pStyle w:val="Heading2"/>
      </w:pPr>
      <w:r>
        <w:t xml:space="preserve">The question</w:t>
      </w:r>
    </w:p>
    <w:p>
      <w:pPr>
        <w:pStyle w:val="FirstParagraph"/>
      </w:pPr>
      <w:r>
        <w:t xml:space="preserve">Emerging-economy industrial output is often modelled as a response to domestic conditions: the policy rate, inflation, the exchange rate. Yet these economies are small, open and exposed to the same global swings in risk appetite, commodity prices and financing conditions. A model that includes only domestic variables can attribute to home policy what really belongs to the world.</w:t>
      </w:r>
    </w:p>
    <w:p>
      <w:pPr>
        <w:pStyle w:val="BodyText"/>
      </w:pPr>
      <w:r>
        <w:t xml:space="preserve">The project asks a plain question: once persistence is accounted for, which variables have a stable, measurable association with industrial output growth across five emerging economies? The obvious approach, a single regression on one country, falls short for three reasons. A single country offers too little variation to separate global from local forces. Output growth is strongly autocorrelated, which biases naive estimates. And policy rates respond to the same conditions they are supposed to influence, so a simple regression mixes cause and effect.</w:t>
      </w:r>
    </w:p>
    <w:bookmarkEnd w:id="9"/>
    <w:bookmarkStart w:id="10" w:name="approach"/>
    <w:p>
      <w:pPr>
        <w:pStyle w:val="Heading2"/>
      </w:pPr>
      <w:r>
        <w:t xml:space="preserve">Approach</w:t>
      </w:r>
    </w:p>
    <w:p>
      <w:pPr>
        <w:pStyle w:val="FirstParagraph"/>
      </w:pPr>
      <w:r>
        <w:rPr>
          <w:b/>
          <w:bCs/>
        </w:rPr>
        <w:t xml:space="preserve">Data.</w:t>
      </w:r>
      <w:r>
        <w:t xml:space="preserve"> </w:t>
      </w:r>
      <w:r>
        <w:t xml:space="preserve">The panel covers five emerging economies at monthly frequency from January 1999 to February 2026, a balanced panel of about 326 months per economy, or 1,630 country-months before lags. The outcome is the year-on-year growth rate of industrial production. The explanatory variables are the policy rate, domestic inflation, changes in sovereign spreads and the oil price in the main specification, with a second specification on the monetary channel using the real interest rate, the change in the real effective exchange rate and a measure of global equity-market volatility. Daily and weekly series were averaged to monthly rather than sampled at month end, which matters in crisis months when volatility is extreme.</w:t>
      </w:r>
    </w:p>
    <w:p>
      <w:pPr>
        <w:pStyle w:val="BodyText"/>
      </w:pPr>
      <w:r>
        <w:rPr>
          <w:b/>
          <w:bCs/>
        </w:rPr>
        <w:t xml:space="preserve">Method.</w:t>
      </w:r>
      <w:r>
        <w:t xml:space="preserve"> </w:t>
      </w:r>
      <w:r>
        <w:t xml:space="preserve">The core model is a dynamic panel: output growth depends on its own lag plus the drivers above. It was estimated several ways, so that no conclusion depends on a single estimator:</w:t>
      </w:r>
    </w:p>
    <w:p>
      <w:pPr>
        <w:pStyle w:val="Compact"/>
        <w:numPr>
          <w:ilvl w:val="0"/>
          <w:numId w:val="1002"/>
        </w:numPr>
      </w:pPr>
      <w:r>
        <w:t xml:space="preserve">pooled least squares, which ignores country differences;</w:t>
      </w:r>
    </w:p>
    <w:p>
      <w:pPr>
        <w:pStyle w:val="Compact"/>
        <w:numPr>
          <w:ilvl w:val="0"/>
          <w:numId w:val="1002"/>
        </w:numPr>
      </w:pPr>
      <w:r>
        <w:t xml:space="preserve">fixed effects, with standard errors that allow for correlation across countries within the same month;</w:t>
      </w:r>
    </w:p>
    <w:p>
      <w:pPr>
        <w:pStyle w:val="Compact"/>
        <w:numPr>
          <w:ilvl w:val="0"/>
          <w:numId w:val="1002"/>
        </w:numPr>
      </w:pPr>
      <w:r>
        <w:t xml:space="preserve">feasible generalised least squares;</w:t>
      </w:r>
    </w:p>
    <w:p>
      <w:pPr>
        <w:pStyle w:val="Compact"/>
        <w:numPr>
          <w:ilvl w:val="0"/>
          <w:numId w:val="1002"/>
        </w:numPr>
      </w:pPr>
      <w:r>
        <w:t xml:space="preserve">two instrumental-variable estimators that use lagged levels of output growth to handle the endogeneity that lagged outcomes create.</w:t>
      </w:r>
    </w:p>
    <w:p>
      <w:pPr>
        <w:pStyle w:val="FirstParagraph"/>
      </w:pPr>
      <w:r>
        <w:rPr>
          <w:b/>
          <w:bCs/>
        </w:rPr>
        <w:t xml:space="preserve">Checks.</w:t>
      </w:r>
      <w:r>
        <w:t xml:space="preserve"> </w:t>
      </w:r>
      <w:r>
        <w:t xml:space="preserve">With only five economies and a long time dimension, the usual dynamic-panel worry runs the other way. The classic small-sample bias in fixed effects is of order one over T, roughly 0.003 here, so fixed effects is reliable. By contrast, estimators designed for many units and few periods can generate far more moment conditions than there are cross-sections. A very large instrument set produces a pathological over-identification test and a spurious significant policy-rate coefficient; a small, pooled instrument set gives a test that does not reject. Each economy’s inflation series was also validated before estimation, a step that removed a spurious significance in the real rate and strengthened the global-risk effect.</w:t>
      </w:r>
    </w:p>
    <w:bookmarkEnd w:id="10"/>
    <w:bookmarkStart w:id="23" w:name="what-the-work-shows"/>
    <w:p>
      <w:pPr>
        <w:pStyle w:val="Heading2"/>
      </w:pPr>
      <w:r>
        <w:t xml:space="preserve">What the work shows</w:t>
      </w:r>
    </w:p>
    <w:p>
      <w:pPr>
        <w:pStyle w:val="FirstParagraph"/>
      </w:pPr>
      <w:r>
        <w:rPr>
          <w:b/>
          <w:bCs/>
        </w:rPr>
        <w:t xml:space="preserve">Persistence dominates.</w:t>
      </w:r>
      <w:r>
        <w:t xml:space="preserve"> </w:t>
      </w:r>
      <w:r>
        <w:t xml:space="preserve">The coefficient on lagged output growth is about 0.84 under fixed effects, close to the pooled value, and 0.67 to 0.70 under the instrumental-variable estimators. That ordering is what theory predicts: pooled estimation overstates persistence, and the instrumented estimates sit lower. At 0.84 a shock to output growth has a half-life of roughly four months. Most of the explained variation, about 71 per cent in the levels models, comes from this inertia.</w:t>
      </w:r>
    </w:p>
    <w:p>
      <w:pPr>
        <w:pStyle w:val="BodyText"/>
      </w:pPr>
      <w:r>
        <w:rPr>
          <w:b/>
          <w:bCs/>
        </w:rPr>
        <w:t xml:space="preserve">Global risk appetite is the one robust driver.</w:t>
      </w:r>
      <w:r>
        <w:t xml:space="preserve"> </w:t>
      </w:r>
      <w:r>
        <w:t xml:space="preserve">In the monetary-channel specification the coefficient on global equity-market volatility is about −0.09 under fixed effects and −0.10 under instrumental variables, and it is significant at the one per cent level in both. A one-point rise in the volatility measure lowers output growth by about a tenth of a percentage point in the same month. Because of persistence, the cumulative cost of a one-off 20-point surge is roughly 10 percentage points of output growth spread over the decay path, with about 1.9 points on impact. That is the scale of episodes such as the global financial crisis and the pandemic.</w:t>
      </w:r>
    </w:p>
    <w:p>
      <w:pPr>
        <w:pStyle w:val="BodyText"/>
      </w:pPr>
      <w:r>
        <w:rPr>
          <w:b/>
          <w:bCs/>
        </w:rPr>
        <w:t xml:space="preserve">No measurable direct effect of the policy rate.</w:t>
      </w:r>
      <w:r>
        <w:t xml:space="preserve"> </w:t>
      </w:r>
      <w:r>
        <w:t xml:space="preserve">In the main specification the policy-rate coefficient is −0.014 with a robust standard error of 0.076 under fixed effects, and +0.190 with a standard error of 0.341 under the GMM instrumental-variable estimator. Neither is distinguishable from zero, and the sign changes. The real rate gives the same answer. Two forces plausibly offset: higher rates restrain activity, while central banks raise rates when activity is strong. The work does not claim policy is irrelevant. It claims that a direct, contemporaneous effect cannot be measured in this panel once global conditions are controlled.</w:t>
      </w:r>
    </w:p>
    <w:tbl>
      <w:tblPr>
        <w:tblStyle w:val="Table"/>
        <w:tblW w:type="pct" w:w="5000"/>
        <w:tblLayout w:type="fixed"/>
        <w:tblLook w:firstRow="0" w:lastRow="0" w:firstColumn="0" w:lastColumn="0" w:noHBand="0" w:noVBand="0" w:val="0000"/>
      </w:tblPr>
      <w:tblGrid>
        <w:gridCol w:w="7920"/>
      </w:tblGrid>
      <w:tr>
        <w:tc>
          <w:tcPr/>
          <w:bookmarkStart w:id="14" w:name="fig-coef"/>
          <w:p>
            <w:pPr>
              <w:pStyle w:val="Compact"/>
              <w:jc w:val="center"/>
            </w:pPr>
            <w:r>
              <w:drawing>
                <wp:inline>
                  <wp:extent cx="5334000" cy="2417253"/>
                  <wp:effectExtent b="0" l="0" r="0" t="0"/>
                  <wp:docPr descr="" title="" id="12" name="Picture"/>
                  <a:graphic>
                    <a:graphicData uri="http://schemas.openxmlformats.org/drawingml/2006/picture">
                      <pic:pic>
                        <pic:nvPicPr>
                          <pic:cNvPr descr="index_files/figure-docx/fig-coef-output-1.png" id="13" name="Picture"/>
                          <pic:cNvPicPr>
                            <a:picLocks noChangeArrowheads="1" noChangeAspect="1"/>
                          </pic:cNvPicPr>
                        </pic:nvPicPr>
                        <pic:blipFill>
                          <a:blip r:embed="rId11"/>
                          <a:stretch>
                            <a:fillRect/>
                          </a:stretch>
                        </pic:blipFill>
                        <pic:spPr bwMode="auto">
                          <a:xfrm>
                            <a:off x="0" y="0"/>
                            <a:ext cx="5334000" cy="24172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Estimated coefficients with 95% intervals, by estimator. Left and centre: the main specification (the two instrumental-variable estimators are in first differences). Right: global equity-market volatility in the monetary-channel specification, fixed effects with month-clustered errors and the first-difference instrumental-variable estimator. Five economies, monthly, 1999 to 2026. Source: public macroeconomic and market series; the author’s estimates.</w:t>
            </w:r>
          </w:p>
          <w:bookmarkEnd w:id="14"/>
        </w:tc>
      </w:tr>
    </w:tbl>
    <w:p>
      <w:pPr>
        <w:pStyle w:val="BodyText"/>
      </w:pPr>
      <w:r>
        <w:rPr>
          <w:b/>
          <w:bCs/>
        </w:rPr>
        <w:t xml:space="preserve">The other channels are weak or conditional.</w:t>
      </w:r>
      <w:r>
        <w:t xml:space="preserve"> </w:t>
      </w:r>
      <w:r>
        <w:t xml:space="preserve">Inflation has a negative sign in every specification, consistent with a cost channel, but it is significant only at the ten per cent level and loses significance once errors are clustered by month. Oil is insignificant in levels but positive in first differences, which reads as a global-demand proxy rather than a supply shock for these economies. Sovereign-spread changes have no contemporaneous effect. The work left three other routes open (longer lags, spread levels and a stress threshold), and a follow-up in October 2026 tested all three, with the lag length, the threshold rule and the decision rule fixed before any estimate was seen. Lagged changes over six months add nothing: the joint test of the lags gives p = 0.67, and the cumulative effect is −1.3 with a standard error of 1.0. A stress regime, defined as a spread above the economy’s own 80th percentile, does not change the slope (p = 0.24), and neither does a cut at the 75th or 90th percentile. Only the spread level carries a signal: one percentage point of spread is associated with output growth about 0.21 points lower in the following month (p = 0.026). Four tests were run, so that does not clear a multiple-testing bar, and it is reported as a lead to test out of sample rather than a finding.</w:t>
      </w:r>
    </w:p>
    <w:tbl>
      <w:tblPr>
        <w:tblStyle w:val="Table"/>
        <w:tblW w:type="pct" w:w="5000"/>
        <w:tblLayout w:type="fixed"/>
        <w:tblLook w:firstRow="0" w:lastRow="0" w:firstColumn="0" w:lastColumn="0" w:noHBand="0" w:noVBand="0" w:val="0000"/>
      </w:tblPr>
      <w:tblGrid>
        <w:gridCol w:w="7920"/>
      </w:tblGrid>
      <w:tr>
        <w:tc>
          <w:tcPr/>
          <w:bookmarkStart w:id="18" w:name="fig-irf"/>
          <w:p>
            <w:pPr>
              <w:pStyle w:val="Compact"/>
              <w:jc w:val="center"/>
            </w:pPr>
            <w:r>
              <w:drawing>
                <wp:inline>
                  <wp:extent cx="5334000" cy="2185328"/>
                  <wp:effectExtent b="0" l="0" r="0" t="0"/>
                  <wp:docPr descr="" title="" id="16" name="Picture"/>
                  <a:graphic>
                    <a:graphicData uri="http://schemas.openxmlformats.org/drawingml/2006/picture">
                      <pic:pic>
                        <pic:nvPicPr>
                          <pic:cNvPr descr="index_files/figure-docx/fig-irf-output-1.png" id="17" name="Picture"/>
                          <pic:cNvPicPr>
                            <a:picLocks noChangeArrowheads="1" noChangeAspect="1"/>
                          </pic:cNvPicPr>
                        </pic:nvPicPr>
                        <pic:blipFill>
                          <a:blip r:embed="rId15"/>
                          <a:stretch>
                            <a:fillRect/>
                          </a:stretch>
                        </pic:blipFill>
                        <pic:spPr bwMode="auto">
                          <a:xfrm>
                            <a:off x="0" y="0"/>
                            <a:ext cx="5334000" cy="218532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Response of output growth to a one-off 20-point rise in global volatility, from the estimated persistence (0.81) and volatility coefficient (−0.093) of the monetary-channel fixed-effects model. Shaded: 90% band from 4,000 draws of the two coefficients. Source: public macroeconomic and market series; the author’s estimates.</w:t>
            </w:r>
          </w:p>
          <w:bookmarkEnd w:id="18"/>
        </w:tc>
      </w:tr>
    </w:tbl>
    <w:tbl>
      <w:tblPr>
        <w:tblStyle w:val="Table"/>
        <w:tblW w:type="pct" w:w="5000"/>
        <w:tblLayout w:type="fixed"/>
        <w:tblLook w:firstRow="0" w:lastRow="0" w:firstColumn="0" w:lastColumn="0" w:noHBand="0" w:noVBand="0" w:val="0000"/>
      </w:tblPr>
      <w:tblGrid>
        <w:gridCol w:w="7920"/>
      </w:tblGrid>
      <w:tr>
        <w:tc>
          <w:tcPr/>
          <w:bookmarkStart w:id="22" w:name="fig-spread"/>
          <w:p>
            <w:pPr>
              <w:pStyle w:val="Compact"/>
              <w:jc w:val="center"/>
            </w:pPr>
            <w:r>
              <w:drawing>
                <wp:inline>
                  <wp:extent cx="5334000" cy="2542699"/>
                  <wp:effectExtent b="0" l="0" r="0" t="0"/>
                  <wp:docPr descr="" title="" id="20" name="Picture"/>
                  <a:graphic>
                    <a:graphicData uri="http://schemas.openxmlformats.org/drawingml/2006/picture">
                      <pic:pic>
                        <pic:nvPicPr>
                          <pic:cNvPr descr="index_files/figure-docx/fig-spread-output-1.png" id="21" name="Picture"/>
                          <pic:cNvPicPr>
                            <a:picLocks noChangeArrowheads="1" noChangeAspect="1"/>
                          </pic:cNvPicPr>
                        </pic:nvPicPr>
                        <pic:blipFill>
                          <a:blip r:embed="rId19"/>
                          <a:stretch>
                            <a:fillRect/>
                          </a:stretch>
                        </pic:blipFill>
                        <pic:spPr bwMode="auto">
                          <a:xfrm>
                            <a:off x="0" y="0"/>
                            <a:ext cx="5334000" cy="25426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Output growth and changes in the sovereign spread, by lag. Coefficients on the change in the spread in the same month and in each of the six months before, with 95% intervals, fixed effects with month-clustered errors. None is distinguishable from zero, and jointly the lags add nothing. Five economies, monthly, 2000 to 2025. Source: public macroeconomic and market series; the author’s estimates (2026).</w:t>
            </w:r>
          </w:p>
          <w:bookmarkEnd w:id="22"/>
        </w:tc>
      </w:tr>
    </w:tbl>
    <w:bookmarkEnd w:id="23"/>
    <w:bookmarkStart w:id="24" w:name="insights"/>
    <w:p>
      <w:pPr>
        <w:pStyle w:val="Heading2"/>
      </w:pPr>
      <w:r>
        <w:t xml:space="preserve">Insights</w:t>
      </w:r>
    </w:p>
    <w:p>
      <w:pPr>
        <w:pStyle w:val="Compact"/>
        <w:numPr>
          <w:ilvl w:val="0"/>
          <w:numId w:val="1003"/>
        </w:numPr>
      </w:pPr>
      <w:r>
        <w:rPr>
          <w:b/>
          <w:bCs/>
        </w:rPr>
        <w:t xml:space="preserve">Look abroad first.</w:t>
      </w:r>
      <w:r>
        <w:t xml:space="preserve"> </w:t>
      </w:r>
      <w:r>
        <w:t xml:space="preserve">In small open economies the global risk regime explains more output variation than any domestic variable tested.</w:t>
      </w:r>
    </w:p>
    <w:p>
      <w:pPr>
        <w:pStyle w:val="Compact"/>
        <w:numPr>
          <w:ilvl w:val="0"/>
          <w:numId w:val="1003"/>
        </w:numPr>
      </w:pPr>
      <w:r>
        <w:rPr>
          <w:b/>
          <w:bCs/>
        </w:rPr>
        <w:t xml:space="preserve">A null is a result.</w:t>
      </w:r>
      <w:r>
        <w:t xml:space="preserve"> </w:t>
      </w:r>
      <w:r>
        <w:t xml:space="preserve">The absence of a direct policy effect holds across estimators once the instrument set is credible; an over-instrumented estimator can manufacture significance where there is none.</w:t>
      </w:r>
    </w:p>
    <w:p>
      <w:pPr>
        <w:pStyle w:val="Compact"/>
        <w:numPr>
          <w:ilvl w:val="0"/>
          <w:numId w:val="1003"/>
        </w:numPr>
      </w:pPr>
      <w:r>
        <w:rPr>
          <w:b/>
          <w:bCs/>
        </w:rPr>
        <w:t xml:space="preserve">Match the estimator to the panel.</w:t>
      </w:r>
      <w:r>
        <w:t xml:space="preserve"> </w:t>
      </w:r>
      <w:r>
        <w:t xml:space="preserve">With few units and many periods, fixed effects is sound and heavily instrumented GMM is the hazard, the reverse of the textbook case.</w:t>
      </w:r>
    </w:p>
    <w:p>
      <w:pPr>
        <w:pStyle w:val="Compact"/>
        <w:numPr>
          <w:ilvl w:val="0"/>
          <w:numId w:val="1003"/>
        </w:numPr>
      </w:pPr>
      <w:r>
        <w:rPr>
          <w:b/>
          <w:bCs/>
        </w:rPr>
        <w:t xml:space="preserve">Persistence amplifies.</w:t>
      </w:r>
      <w:r>
        <w:t xml:space="preserve"> </w:t>
      </w:r>
      <w:r>
        <w:t xml:space="preserve">A small contemporaneous effect becomes a large cumulative one when output growth has a four-month half-life.</w:t>
      </w:r>
    </w:p>
    <w:p>
      <w:pPr>
        <w:pStyle w:val="Compact"/>
        <w:numPr>
          <w:ilvl w:val="0"/>
          <w:numId w:val="1003"/>
        </w:numPr>
      </w:pPr>
      <w:r>
        <w:rPr>
          <w:b/>
          <w:bCs/>
        </w:rPr>
        <w:t xml:space="preserve">Data validation can change conclusions.</w:t>
      </w:r>
      <w:r>
        <w:t xml:space="preserve"> </w:t>
      </w:r>
      <w:r>
        <w:t xml:space="preserve">Correcting one country’s series moved three of the headline coefficients.</w:t>
      </w:r>
    </w:p>
    <w:bookmarkEnd w:id="24"/>
    <w:bookmarkStart w:id="25" w:name="scope-and-next-steps"/>
    <w:p>
      <w:pPr>
        <w:pStyle w:val="Heading2"/>
      </w:pPr>
      <w:r>
        <w:t xml:space="preserve">Scope and next steps</w:t>
      </w:r>
    </w:p>
    <w:p>
      <w:pPr>
        <w:pStyle w:val="FirstParagraph"/>
      </w:pPr>
      <w:r>
        <w:t xml:space="preserve">The panel is built to separate a direct, contemporaneous effect of the policy rate on industrial output from global conditions, using fixed-effects and instrumental-variable estimators with the instrument set tested for validity.</w:t>
      </w:r>
    </w:p>
    <w:p>
      <w:pPr>
        <w:pStyle w:val="BodyText"/>
      </w:pPr>
      <w:r>
        <w:t xml:space="preserve">The natural extensions are three. First, a larger panel of economies and broader activity measures. Second, separate pre- and post-crisis samples, and the channels a direct effect does not capture: expectations, forward guidance and longer lags. Third, an out-of-sample test of the lead carried by the spread level.</w:t>
      </w:r>
    </w:p>
    <w:bookmarkEnd w:id="25"/>
    <w:bookmarkStart w:id="26" w:name="about-the-evidence"/>
    <w:p>
      <w:pPr>
        <w:pStyle w:val="Heading2"/>
      </w:pPr>
      <w:r>
        <w:t xml:space="preserve">About the evidence</w:t>
      </w:r>
    </w:p>
    <w:p>
      <w:pPr>
        <w:pStyle w:val="FirstParagraph"/>
      </w:pPr>
      <w:r>
        <w:t xml:space="preserve">The study is real work on public macroeconomic and market series, covering 1999 to early 2026, carried out in an AI-assisted workflow during 2025 and 2026. All three figures show the project’s own estimates. The first two are re-fitted from the stored panel, which reproduces the reported results exactly. The spread-channel tests are new work from October 2026 on the same panel, specified before estimation.</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drives industrial output in five emerging economies</dc:title>
  <dc:creator>Carlos Galindo</dc:creator>
  <dc:description>A dynamic panel study of industrial output growth in five emerging economies: persistence is high, global risk appetite matters, and the direct effect of policy rates is not distinguishable from zero.</dc:description>
  <dc:language>en-GB</dc:language>
  <cp:keywords/>
  <dcterms:created xsi:type="dcterms:W3CDTF">2026-10-13T13:02:21Z</dcterms:created>
  <dcterms:modified xsi:type="dcterms:W3CDTF">2026-10-13T13:02:21Z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labels">
    <vt:lpwstr/>
  </property>
  <property fmtid="{D5CDD505-2E9C-101B-9397-08002B2CF9AE}" pid="12" name="order">
    <vt:lpwstr>304</vt:lpwstr>
  </property>
  <property fmtid="{D5CDD505-2E9C-101B-9397-08002B2CF9AE}" pid="13" name="period">
    <vt:lpwstr>2025–2026</vt:lpwstr>
  </property>
  <property fmtid="{D5CDD505-2E9C-101B-9397-08002B2CF9AE}" pid="14" name="status">
    <vt:lpwstr>complete</vt:lpwstr>
  </property>
  <property fmtid="{D5CDD505-2E9C-101B-9397-08002B2CF9AE}" pid="15" name="subtitle">
    <vt:lpwstr>Across 27 years of monthly data, global risk appetite, rather than domestic policy rates, is the robust driver of industrial output</vt:lpwstr>
  </property>
  <property fmtid="{D5CDD505-2E9C-101B-9397-08002B2CF9AE}" pid="16" name="title-block-banner">
    <vt:lpwstr>False</vt:lpwstr>
  </property>
  <property fmtid="{D5CDD505-2E9C-101B-9397-08002B2CF9AE}" pid="17" name="toc-title">
    <vt:lpwstr>Table of contents</vt:lpwstr>
  </property>
</Properties>
</file>