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exchange-rate overshooting and interest parity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The study is built as a ladder of model families, solved and compared for the regularities each can reproduce, so that the choice of model for a forecast, a scenario or a policy question can be made deliberately. Its figures illustrate that qualitative behaviour.</w:t>
      </w:r>
    </w:p>
    <w:p>
      <w:pPr>
        <w:pStyle w:val="BodyText"/>
      </w:pPr>
      <w:r>
        <w:t xml:space="preserve">The natural extensions are three. First, calibrating a small open economy projection model to a chosen country. Second, estimating its implied reduced form. Third, comparing the out-of-sample forecast performance of the rungs of the ladder.</w:t>
      </w:r>
    </w:p>
    <w:p>
      <w:pPr>
        <w:pStyle w:val="BodyText"/>
      </w:pPr>
      <w:r>
        <w:t xml:space="preserve">The comparison can be discussed on request.</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2026-10-13T13:10:06Z</dcterms:created>
  <dcterms:modified xsi:type="dcterms:W3CDTF">2026-10-13T13:10:06Z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exchange-rate overshooting and interest parity</vt:lpwstr>
  </property>
  <property fmtid="{D5CDD505-2E9C-101B-9397-08002B2CF9AE}" pid="17" name="title-block-banner">
    <vt:lpwstr>False</vt:lpwstr>
  </property>
  <property fmtid="{D5CDD505-2E9C-101B-9397-08002B2CF9AE}" pid="18" name="toc-title">
    <vt:lpwstr>Table of contents</vt:lpwstr>
  </property>
</Properties>
</file>