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scope-and-next-steps"/>
    <w:p>
      <w:pPr>
        <w:pStyle w:val="Heading2"/>
      </w:pPr>
      <w:r>
        <w:t xml:space="preserve">Scope and next steps</w:t>
      </w:r>
    </w:p>
    <w:p>
      <w:pPr>
        <w:pStyle w:val="FirstParagraph"/>
      </w:pPr>
      <w:r>
        <w:t xml:space="preserve">The prototype is built to nowcast quarterly activity from monthly indicators as they are published, keeping the timing of each release, with a shock module that adjusts after sudden events while keeping each prediction bounded. It is developed on simulated data, where the true path is known.</w:t>
      </w:r>
    </w:p>
    <w:p>
      <w:pPr>
        <w:pStyle w:val="BodyText"/>
      </w:pPr>
      <w:r>
        <w:t xml:space="preserve">The natural extensions are three. First, a real-time vintage dataset for one economy and a pseudo-real-time test, by information vintage, against a simple benchmark. Second, training the shock module on genuine event features and reporting its cross-validated contribution to the nowcast. Third, a revision model that treats early releases as noisy measurements of later ones, together with publication-date calendars.</w:t>
      </w:r>
    </w:p>
    <w:p>
      <w:pPr>
        <w:pStyle w:val="BodyText"/>
      </w:pPr>
      <w:r>
        <w:t xml:space="preserve">The design can be discussed on request.</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2026-10-13T13:11:32Z</dcterms:created>
  <dcterms:modified xsi:type="dcterms:W3CDTF">2026-10-13T13:11:32Z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