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wide is the range of outcomes?</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grounded, while the model’s drivers explain where and why the outlook departs from it.</w:t>
            </w:r>
          </w:p>
          <w:p>
            <w:pPr>
              <w:pStyle w:val="Compact"/>
              <w:numPr>
                <w:ilvl w:val="0"/>
                <w:numId w:val="1001"/>
              </w:numPr>
            </w:pPr>
            <w:r>
              <w:rPr>
                <w:b/>
                <w:bCs/>
              </w:rPr>
              <w:t xml:space="preserve">Why it matters.</w:t>
            </w:r>
            <w:r>
              <w:t xml:space="preserve"> </w:t>
            </w:r>
            <w:r>
              <w:t xml:space="preserve">Policy and market readers need a consistent, comparable read of underlying inflation across economies, and a forecast that shows its range of outcomes as well as its central path.</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 Seasonal adjustment and cycle extraction are automated and robust, so that every economy is cleaned the same way each month.</w:t>
      </w:r>
    </w:p>
    <w:bookmarkEnd w:id="10"/>
    <w:bookmarkStart w:id="12"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broad commodity and financial-conditions factors distilled from large panels of data.</w:t>
      </w:r>
    </w:p>
    <w:p>
      <w:pPr>
        <w:pStyle w:val="Compact"/>
        <w:numPr>
          <w:ilvl w:val="0"/>
          <w:numId w:val="1003"/>
        </w:numPr>
      </w:pPr>
      <w:r>
        <w:rPr>
          <w:b/>
          <w:bCs/>
        </w:rPr>
        <w:t xml:space="preserve">Selection.</w:t>
      </w:r>
      <w:r>
        <w:t xml:space="preserve"> </w:t>
      </w:r>
      <w:r>
        <w:t xml:space="preserve">Each economy gets the specification its own data support, chosen systematically rather than by hand.</w:t>
      </w:r>
    </w:p>
    <w:p>
      <w:pPr>
        <w:pStyle w:val="Compact"/>
        <w:numPr>
          <w:ilvl w:val="0"/>
          <w:numId w:val="1003"/>
        </w:numPr>
      </w:pPr>
      <w:r>
        <w:rPr>
          <w:b/>
          <w:bCs/>
        </w:rPr>
        <w:t xml:space="preserve">An ensemble of paths.</w:t>
      </w:r>
      <w:r>
        <w:t xml:space="preserve"> </w:t>
      </w:r>
      <w:r>
        <w:t xml:space="preserve">Rather than one regression, the system fits many variants across forecast settings and origins. The forecast distribution is the cross-section of those paths, not an assumed bell curve.</w:t>
      </w:r>
    </w:p>
    <w:p>
      <w:pPr>
        <w:pStyle w:val="Compact"/>
        <w:numPr>
          <w:ilvl w:val="0"/>
          <w:numId w:val="1003"/>
        </w:numPr>
      </w:pPr>
      <w:r>
        <w:rPr>
          <w:b/>
          <w:bCs/>
        </w:rPr>
        <w:t xml:space="preserve">An outside anchor.</w:t>
      </w:r>
      <w:r>
        <w:t xml:space="preserve"> </w:t>
      </w:r>
      <w:r>
        <w:t xml:space="preserve">An external benchmark forecast enters as one of the drivers, blended with the model’s own target.</w:t>
      </w:r>
    </w:p>
    <w:p>
      <w:pPr>
        <w:pStyle w:val="Compact"/>
        <w:numPr>
          <w:ilvl w:val="0"/>
          <w:numId w:val="1003"/>
        </w:numPr>
      </w:pPr>
      <w:r>
        <w:rPr>
          <w:b/>
          <w:bCs/>
        </w:rPr>
        <w:t xml:space="preserve">Regimes and fans.</w:t>
      </w:r>
      <w:r>
        <w:t xml:space="preserve"> </w:t>
      </w:r>
      <w:r>
        <w:t xml:space="preserve">A regime model gives the probability of each inflation regime, and fan charts show the range of outcomes at every horizon.</w:t>
      </w:r>
    </w:p>
    <w:p>
      <w:pPr>
        <w:pStyle w:val="Compact"/>
        <w:numPr>
          <w:ilvl w:val="0"/>
          <w:numId w:val="1003"/>
        </w:numPr>
      </w:pPr>
      <w:r>
        <w:rPr>
          <w:b/>
          <w:bCs/>
        </w:rPr>
        <w:t xml:space="preserve">Scenarios.</w:t>
      </w:r>
      <w:r>
        <w:t xml:space="preserve"> </w:t>
      </w:r>
      <w:r>
        <w:t xml:space="preserve">A grid of exchange-rate and oil shocks in each direction maps how headline inflation would respond.</w:t>
      </w:r>
    </w:p>
    <w:p>
      <w:pPr>
        <w:pStyle w:val="FirstParagraph"/>
      </w:pPr>
      <w:r>
        <w:t xml:space="preserve">The probabilistic readings built on this system, from threshold probabilities to pooled forecast distributions, are set out in a companion note,</w:t>
      </w:r>
      <w:r>
        <w:t xml:space="preserve"> </w:t>
      </w:r>
      <w:hyperlink r:id="rId11">
        <w:r>
          <w:rPr>
            <w:rStyle w:val="Hyperlink"/>
          </w:rPr>
          <w:t xml:space="preserve">Inflation forecasts as probabilities, not single numbers</w:t>
        </w:r>
      </w:hyperlink>
      <w:r>
        <w:t xml:space="preserve">.</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ensemble produces many candidate paths, the system yields a full distribution at each horizon and not just a central line. Anchoring on an external benchmark keeps near-term projections grounded;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paths avoids assuming a shape, and shows when risks are skewed.</w:t>
      </w:r>
    </w:p>
    <w:p>
      <w:pPr>
        <w:pStyle w:val="Compact"/>
        <w:numPr>
          <w:ilvl w:val="0"/>
          <w:numId w:val="1004"/>
        </w:numPr>
      </w:pPr>
      <w:r>
        <w:rPr>
          <w:b/>
          <w:bCs/>
        </w:rPr>
        <w:t xml:space="preserve">An outside anchor disciplines the near term.</w:t>
      </w:r>
      <w:r>
        <w:t xml:space="preserve"> </w:t>
      </w:r>
      <w:r>
        <w:t xml:space="preserve">Blending in an external forecast keeps the first months grounded and lets the model’s drivers explain where, and why, the outlook departs from 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bookmarkEnd w:id="27"/>
    <w:bookmarkStart w:id="28" w:name="scope-and-next-steps"/>
    <w:p>
      <w:pPr>
        <w:pStyle w:val="Heading2"/>
      </w:pPr>
      <w:r>
        <w:t xml:space="preserve">Scope and next steps</w:t>
      </w:r>
    </w:p>
    <w:p>
      <w:pPr>
        <w:pStyle w:val="FirstParagraph"/>
      </w:pPr>
      <w:r>
        <w:t xml:space="preserve">The system is built for monthly, cross-country monitoring: one consistent read of underlying inflation and its outlook for each of 22 economies, refreshed automatically, with projections to January 2025.</w:t>
      </w:r>
    </w:p>
    <w:p>
      <w:pPr>
        <w:pStyle w:val="BodyText"/>
      </w:pPr>
      <w:r>
        <w:t xml:space="preserve">The natural extensions are three. First, a systematic out-of-sample scoring of the projections and their fans against the external benchmark, economy by economy and horizon by horizon. Second, probability-based scores for the full distributions, so that the ensemble’s weights can be learned from its own record. Third, extending the exchange-rate and oil scenario grid to every economy in each edition.</w:t>
      </w:r>
    </w:p>
    <w:p>
      <w:pPr>
        <w:pStyle w:val="BodyText"/>
      </w:pPr>
      <w:r>
        <w:t xml:space="preserve">The full method and worked examples can be discussed on request.</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11" Target="../inflation-forecast-probabilities/index.html" TargetMode="External" /></Relationships>
</file>

<file path=word/_rels/footnotes.xml.rels><?xml version="1.0" encoding="UTF-8"?><Relationships xmlns="http://schemas.openxmlformats.org/package/2006/relationships"><Relationship Type="http://schemas.openxmlformats.org/officeDocument/2006/relationships/hyperlink" Id="rId11" Target="../inflation-forecast-probabilitie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and improving a multi-country monitor of underlying inflation and the headline and core projection system behind it.</dc:description>
  <dc:language>en-GB</dc:language>
  <cp:keywords/>
  <dcterms:created xsi:type="dcterms:W3CDTF">2026-10-13T13:16:23Z</dcterms:created>
  <dcterms:modified xsi:type="dcterms:W3CDTF">2026-10-13T13:16:23Z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