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Population structure matters for growth, but social fabric decides how much of it is realised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Working-age population growth and inequality line up with projected growth in the expected directions, yet several economies sit far from the pattern, which points to social fabric and productivity as the swing factors.</w:t>
            </w:r>
          </w:p>
          <w:p>
            <w:pPr>
              <w:pStyle w:val="Compact"/>
              <w:numPr>
                <w:ilvl w:val="0"/>
                <w:numId w:val="1001"/>
              </w:numPr>
            </w:pPr>
            <w:r>
              <w:rPr>
                <w:b/>
                <w:bCs/>
              </w:rPr>
              <w:t xml:space="preserve">Why it matters.</w:t>
            </w:r>
            <w:r>
              <w:t xml:space="preserve"> </w:t>
            </w:r>
            <w:r>
              <w:t xml:space="preserve">It turns the</w:t>
            </w:r>
            <w:r>
              <w:t xml:space="preserve"> </w:t>
            </w:r>
            <w:r>
              <w:t xml:space="preserve">“demographic dividend”</w:t>
            </w:r>
            <w:r>
              <w:t xml:space="preserve"> </w:t>
            </w:r>
            <w:r>
              <w:t xml:space="preserve">slogan into a screen that separates economies with a dividend from those able to cash it.</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modestly.</w:t>
      </w:r>
      <w:r>
        <w:t xml:space="preserve"> </w:t>
      </w:r>
      <w:r>
        <w:t xml:space="preserve">Across the sample, growth of the economically active population and projected potential growth moved together, with a correlation of about 0.56 in one run of the data. Population growth and active-population growth were close to the same thing, as expected, with a correlation near 0.9. The simulated figure below shows what such a relationship looks like for 18 economies: an upward slope with a lot of scatter around it.</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3306826"/>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33068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Growth of the economically active population against projected potential growth, 18 economies, shaded by inequality tercile (simulated data).</w:t>
            </w:r>
          </w:p>
          <w:bookmarkEnd w:id="14"/>
        </w:tc>
      </w:tr>
    </w:tbl>
    <w:p>
      <w:pPr>
        <w:pStyle w:val="BodyText"/>
      </w:pPr>
      <w:r>
        <w:rPr>
          <w:b/>
          <w:bCs/>
        </w:rPr>
        <w:t xml:space="preserve">Inequality travels with weaker growth.</w:t>
      </w:r>
      <w:r>
        <w:t xml:space="preserve"> </w:t>
      </w:r>
      <w:r>
        <w:t xml:space="preserve">Higher income inequality was associated with lower projected growth, and the inequality-growth association was the strongest of the social indicators in one run (a correlation of about −0.74). Literacy and urbanisation correlated negatively with projected growth in the sample, which looks perverse until one notices who is in it: economies that are already highly urbanised and literate are the mature ones, with lower growth ceilings. These are level effects, not evidence that schooling hurts. The note says so plainly, because a naive reading would recommend the opposite of what the development literature shows.</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about 6.2% a year,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a projected potential growth of only about 1.0% a year.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Each factor, alone, accounted for about 0.37 and 0.38 of the variation (R-squared) in projected growth, and the composite did better than either. The factors themselves summarise their blocks unevenly: the first demographic component captured about 63.0% of the variance of its six variables, the social component about 44.5% of its twelve.</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Demography sets the ceiling; social fabric sets how much of it is reached.</w:t>
      </w:r>
      <w:r>
        <w:t xml:space="preserve"> </w:t>
      </w:r>
      <w:r>
        <w:t xml:space="preserve">The same working-age growth appears alongside very different projected growth, and inequality and human capital are the most natural candidates for the gap.</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limits-and-next-steps"/>
    <w:p>
      <w:pPr>
        <w:pStyle w:val="Heading2"/>
      </w:pPr>
      <w:r>
        <w:t xml:space="preserve">Limits and next steps</w:t>
      </w:r>
    </w:p>
    <w:p>
      <w:pPr>
        <w:pStyle w:val="FirstParagraph"/>
      </w:pPr>
      <w:r>
        <w:t xml:space="preserve">The comparison is cross-sectional, with 18 observations, and the growth variable is itself a projection rather than an outcome. It therefore shows how forecasts line up with fundamentals, not what fundamentals cause. The projections already embed demographic assumptions, so some of the demography-growth link is built in.</w:t>
      </w:r>
    </w:p>
    <w:p>
      <w:pPr>
        <w:pStyle w:val="BodyText"/>
      </w:pPr>
      <w:r>
        <w:t xml:space="preserve">The demographic factor, as constructed, was dominated by population size rather than by the speed or shape of change, which is not the dimension that the dividend argument cares about. A better version would build the factor from growth and timing variables only. Early summaries also reported different correlations for the same relationship, a reminder to freeze one dataset, regenerate every figure from it, and quote only that version. Next steps are to add dependency-ratio timing as an explicit regressor, to include a measure of productivity growth, and to test whether the inequality effect survives once the sample is widened beyond 18 economies.</w:t>
      </w:r>
    </w:p>
    <w:p>
      <w:pPr>
        <w:pStyle w:val="BodyText"/>
      </w:pPr>
      <w:r>
        <w:t xml:space="preserve">The investment-style tiering that accompanied the early drafts was a presentation device, not a result, and is not offered here as advice.</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Statements of correlation and explained variance in the text are the project’s own results; the specific values are those reported in the working outputs. All charts on this page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2026-10-08T07:49:33Z</dcterms:created>
  <dcterms:modified xsi:type="dcterms:W3CDTF">2026-10-08T07:49:33Z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Population structure matters for growth, but social fabric decides how much of it is realised</vt:lpwstr>
  </property>
  <property fmtid="{D5CDD505-2E9C-101B-9397-08002B2CF9AE}" pid="17" name="title-block-banner">
    <vt:lpwstr>False</vt:lpwstr>
  </property>
  <property fmtid="{D5CDD505-2E9C-101B-9397-08002B2CF9AE}" pid="18" name="toc-title">
    <vt:lpwstr>Table of contents</vt:lpwstr>
  </property>
</Properties>
</file>