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trading signal that did not survive honest testing</w:t>
      </w:r>
    </w:p>
    <w:p>
      <w:pPr>
        <w:pStyle w:val="Subtitle"/>
      </w:pPr>
      <w:r>
        <w:t xml:space="preserve">A pre-registered, net-of-cost, out-of-sample test of a time-varying-sensitivity trading rule found no edge, and the null was reported as such</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No edge. The signal lost money net of costs, trailed buy-and-hold, and its deflated Sharpe ratio was essentially zero. A second, simpler calendar rule on equities also failed the same bar.</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Six configurations were counted honestly.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limits-and-next-steps"/>
    <w:p>
      <w:pPr>
        <w:pStyle w:val="Heading2"/>
      </w:pPr>
      <w:r>
        <w:t xml:space="preserve">Limits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trading signal that did not survive honest testing</dc:title>
  <dc:creator>Carlos Galindo</dc:creator>
  <dc:description>How a plausible macro-driven trading rule was tested under a fixed design, and why a clean null is a useful result.</dc:description>
  <dc:language>en-GB</dc:language>
  <cp:keywords/>
  <dcterms:created xsi:type="dcterms:W3CDTF">2026-10-08T07:59:33Z</dcterms:created>
  <dcterms:modified xsi:type="dcterms:W3CDTF">2026-10-08T07:59:33Z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pre-registered, net-of-cost, out-of-sample test of a time-varying-sensitivity trading rule found no edge, and the null was reported as such</vt:lpwstr>
  </property>
  <property fmtid="{D5CDD505-2E9C-101B-9397-08002B2CF9AE}" pid="17" name="title-block-banner">
    <vt:lpwstr>False</vt:lpwstr>
  </property>
  <property fmtid="{D5CDD505-2E9C-101B-9397-08002B2CF9AE}" pid="18" name="toc-title">
    <vt:lpwstr>Table of contents</vt:lpwstr>
  </property>
</Properties>
</file>