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early-warning indicators for 63 jurisdictions.</w:t>
            </w:r>
          </w:p>
          <w:p>
            <w:pPr>
              <w:pStyle w:val="Compact"/>
              <w:numPr>
                <w:ilvl w:val="0"/>
                <w:numId w:val="1001"/>
              </w:numPr>
            </w:pPr>
            <w:r>
              <w:rPr>
                <w:b/>
                <w:bCs/>
              </w:rPr>
              <w:t xml:space="preserve">Finding.</w:t>
            </w:r>
            <w:r>
              <w:t xml:space="preserve"> </w:t>
            </w:r>
            <w:r>
              <w:t xml:space="preserve">One harmonised panel now serves monthly and quarterly analysis of five economies, with debt-service and credit-gap early-warning indicators for 63 jurisdictions. Its first use, a dynamic panel of industrial output, found global market volatility the one channel that survives every specification and no robust direct effect of domestic policy rates.</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a wider early-warning dataset of debt-service ratios and credit-to-GDP gaps covers 63 jurisdictions, with histories reaching back to the 1920s for some. The five-economy panel inherits the same indicators.</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Where the original dynamic-panel estimation used a very large instrument set relative to five countries, it was replaced by a parsimonious one and the test of instrument validity re-run.</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A significant negative result that appeared under the earlier, over-instrumented estimation disappeared once the instrument set was made credible, and the test of instrument validity then no longer rejected.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wider early-warning dataset records debt-service ratios and credit-to-GDP gaps for 63 jurisdictions. The figure below shows the kind of screen the framework supports: jurisdictions with a high debt-service burden and a positive credit gap are flagged for closer attention.</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635138"/>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for 63 jurisdictions: credit gap against debt-service ratio, flagged where both are elevated (simulated data).</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the claim honest.</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limits-and-next-steps"/>
    <w:p>
      <w:pPr>
        <w:pStyle w:val="Heading2"/>
      </w:pPr>
      <w:r>
        <w:t xml:space="preserve">Limits and next steps</w:t>
      </w:r>
    </w:p>
    <w:p>
      <w:pPr>
        <w:pStyle w:val="FirstParagraph"/>
      </w:pPr>
      <w:r>
        <w:t xml:space="preserve">The panel has only five economies, so the results describe a small group, not emerging markets in general. Estimates are contemporaneous and linear; they do not capture thresholds or longer credit lags, and the volatility effect may partly reflect common global demand. The activity model uses one output measure and should be extended to labour-market and external-account outcomes. The downstream step, turning the diagnostics into regular written macro briefs, has been designed but not built. The early-warning screen needs a validated threshold and an out-of-sample test before any ranking is used.</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figures here are simulated to share its structure (five units, monthly frequency, 63 jurisdictions) and are not the project’s estimates.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2026-10-08T09:48:43Z</dcterms:created>
  <dcterms:modified xsi:type="dcterms:W3CDTF">2026-10-08T09:48:43Z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-“Show the early-warning indicator map for the 63 jurisdictions using the real debt-service and credit-gap series”</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303</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An automated monthly and quarterly panel for five small open economies, organised around global shocks, uncertainty and financial vulnerability</vt:lpwstr>
  </property>
  <property fmtid="{D5CDD505-2E9C-101B-9397-08002B2CF9AE}" pid="17" name="title-block-banner">
    <vt:lpwstr>False</vt:lpwstr>
  </property>
  <property fmtid="{D5CDD505-2E9C-101B-9397-08002B2CF9AE}" pid="18" name="toc-title">
    <vt:lpwstr>Table of contents</vt:lpwstr>
  </property>
</Properties>
</file>