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limits-and-next-steps"/>
    <w:p>
      <w:pPr>
        <w:pStyle w:val="Heading2"/>
      </w:pPr>
      <w:r>
        <w:t xml:space="preserve">Limits and next steps</w:t>
      </w:r>
    </w:p>
    <w:p>
      <w:pPr>
        <w:pStyle w:val="FirstParagraph"/>
      </w:pPr>
      <w:r>
        <w:t xml:space="preserve">The honest status is a working prototype. It has not been evaluated out of sample on real data, so it makes no claim about forecast accuracy or about whether the shock module adds value in practice. The module was trained and exercised on simulated data only. The model is linear in its core and has a single latent-factor flavour, with no treatment of data revisions or of publication-date calendars.</w:t>
      </w:r>
    </w:p>
    <w:p>
      <w:pPr>
        <w:pStyle w:val="BodyText"/>
      </w:pPr>
      <w:r>
        <w:t xml:space="preserve">Three steps would turn it into evidence. First, assemble a real-time vintage dataset for one economy and run a pseudo-real-time test by information vintage against a simple benchmark. Second, train the shock module on genuine event features and report its cross-validated error, then test whether it improves the nowcast. Third, add a revision model so that early releases are treated as noisy measurements of later ones.</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2026-10-08T09:41:30Z</dcterms:created>
  <dcterms:modified xsi:type="dcterms:W3CDTF">2026-10-08T09:41:30Z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