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tested the hard way</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honestly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honest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honest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limits-and-next-steps"/>
    <w:p>
      <w:pPr>
        <w:pStyle w:val="Heading2"/>
      </w:pPr>
      <w:r>
        <w:t xml:space="preserve">Limits and next steps</w:t>
      </w:r>
    </w:p>
    <w:p>
      <w:pPr>
        <w:pStyle w:val="FirstParagraph"/>
      </w:pPr>
      <w:r>
        <w:t xml:space="preserve">The sources I salvaged document the design of the engine and the existence of back-test runs for 2024–2025; they do not contain a finished results table, so this note makes no claim about how large the gains over the naive benchmark were. The figures here are simulated and show the method’s logic only.</w:t>
      </w:r>
    </w:p>
    <w:p>
      <w:pPr>
        <w:pStyle w:val="BodyText"/>
      </w:pPr>
      <w:r>
        <w:t xml:space="preserve">The forecasts also depend on the quality of the underlying price data, which differ in revisions and definitions across economies. Point accuracy is judged here; calibrated probability bands would need a separate evaluation. Next steps are to re-extract the stored back-test results into a clean per-economy table, add a UK panel, and test whether the combination weights remain stable across origins.</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tested the hard way</dc:title>
  <dc:creator>Carlos Galindo</dc:creator>
  <dc:description>How a multi-method inflation forecasting engine was rebuilt and back-tested across 20 economies, and what a fair out-of-sample test demands.</dc:description>
  <dc:language>en-GB</dc:language>
  <cp:keywords/>
  <dcterms:created xsi:type="dcterms:W3CDTF">2026-10-08T09:42:13Z</dcterms:created>
  <dcterms:modified xsi:type="dcterms:W3CDTF">2026-10-08T09:42:13Z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