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trading signal that did not survive honest testing</w:t>
      </w:r>
    </w:p>
    <w:p>
      <w:pPr>
        <w:pStyle w:val="Subtitle"/>
      </w:pPr>
      <w:r>
        <w:t xml:space="preserve">A pre-registered, net-of-cost, out-of-sample test of a time-varying-sensitivity trading rule found no edge, and the null was reported as such</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No edge. The signal lost money net of costs, trailed buy-and-hold, and its deflated Sharpe ratio was essentially zero. A second, simpler calendar rule on equities also failed the same bar.</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Six configurations were counted honestly.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limits-and-next-steps"/>
    <w:p>
      <w:pPr>
        <w:pStyle w:val="Heading2"/>
      </w:pPr>
      <w:r>
        <w:t xml:space="preserve">Limits and next steps</w:t>
      </w:r>
    </w:p>
    <w:p>
      <w:pPr>
        <w:pStyle w:val="FirstParagraph"/>
      </w:pPr>
      <w:r>
        <w:t xml:space="preserve">The test covers one family of rules on one asset at daily frequency. It says nothing about intraday strategies, options, leverage or volatility targeting, other instruments, or regime-switching variants, all of which were declared out of scope in advance and none of which can rescue this result. The data substitutions were logged, though a different dollar measure or real-yield definition could shift the numbers slightly. Costs are retail-scale and applied as a flat charge per unit of turnover, with no market impact. The sample is long, but a single path of history is still one draw.</w:t>
      </w:r>
    </w:p>
    <w:p>
      <w:pPr>
        <w:pStyle w:val="BodyText"/>
      </w:pPr>
      <w:r>
        <w:t xml:space="preserve">Natural extensions would be to apply the same pre-registered template to other candidate signals, so that the number of trials is tracked across a whole research programme and not only within one test, and to examine low-frequency levels relationships, where the original motivation lives, with the same standards.</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trading signal that did not survive honest testing</dc:title>
  <dc:creator>Carlos Galindo</dc:creator>
  <dc:description>How a plausible macro-driven trading rule was tested under a fixed design, and why a clean null is a useful result.</dc:description>
  <dc:language>en-GB</dc:language>
  <cp:keywords/>
  <dcterms:created xsi:type="dcterms:W3CDTF">2026-10-08T09:45:15Z</dcterms:created>
  <dcterms:modified xsi:type="dcterms:W3CDTF">2026-10-08T09:45:15Z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pre-registered, net-of-cost, out-of-sample test of a time-varying-sensitivity trading rule found no edge, and the null was reported as such</vt:lpwstr>
  </property>
  <property fmtid="{D5CDD505-2E9C-101B-9397-08002B2CF9AE}" pid="17" name="title-block-banner">
    <vt:lpwstr>False</vt:lpwstr>
  </property>
  <property fmtid="{D5CDD505-2E9C-101B-9397-08002B2CF9AE}" pid="18" name="toc-title">
    <vt:lpwstr>Table of contents</vt:lpwstr>
  </property>
</Properties>
</file>