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earlier version of the worked case overwrote the computed tactical premium with a sourced figure; removing that override kept the results driven by the inputs rather than by the answer expected.</w:t>
      </w:r>
    </w:p>
    <w:bookmarkEnd w:id="24"/>
    <w:bookmarkStart w:id="25" w:name="scope-and-next-steps"/>
    <w:p>
      <w:pPr>
        <w:pStyle w:val="Heading2"/>
      </w:pPr>
      <w:r>
        <w:t xml:space="preserve">Scope and next steps</w:t>
      </w:r>
    </w:p>
    <w:p>
      <w:pPr>
        <w:pStyle w:val="FirstParagraph"/>
      </w:pPr>
      <w:r>
        <w:t xml:space="preserve">The weights linking drivers to premiums are illustrative and were not estimated from a panel, so the scenario probabilities are structured judgements, not forecasts with a track record. The political scores are analyst-assigned and will differ between analysts. The simulation treats the yield shock in a tail regime as a single draw, with no dynamics after the shock. The model is not a full structural solution: the fiscal block is minimal and the political terms enter as additive premiums rather than inside a policy rule.</w:t>
      </w:r>
    </w:p>
    <w:p>
      <w:pPr>
        <w:pStyle w:val="BodyText"/>
      </w:pPr>
      <w:r>
        <w:t xml:space="preserve">The next steps are the ones flagged for drill-down: show the calibrated outputs for all five economies, estimate the weights on a cross-section of economies, and test whether the credibility score adds predictive power for the exchange rate out of sample against a plain interest-parity benchmark.</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2026-10-08T16:19:06Z</dcterms:created>
  <dcterms:modified xsi:type="dcterms:W3CDTF">2026-10-08T16:19:06Z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