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This was a monitoring exercise, not an estimated model. The notes organise reasoning and evidence; they do not quantify the weight of each force, and the vulnerability framework was not calibrated against a history of crises. The sources are the maps and notes themselves, so the quantitative results behind individual calls are not reproduced here.</w:t>
      </w:r>
    </w:p>
    <w:p>
      <w:pPr>
        <w:pStyle w:val="BodyText"/>
      </w:pPr>
      <w:r>
        <w:t xml:space="preserve">The natural next step is calibration. With a panel of past episodes, one could estimate how much each family adds to the probability of a financing stress and test whether the coincidence of thin reserves, short maturities and a weak current account really does better than any single indicator. The cross-country decomposition could likewise be tested against subsequent policy decisions to check whether the signs and the swing factors had predictive value.</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2026-10-08T16:24:36Z</dcterms:created>
  <dcterms:modified xsi:type="dcterms:W3CDTF">2026-10-08T16:24:36Z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